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7"/>
          <w:szCs w:val="17"/>
          <w:color w:val="auto"/>
        </w:rPr>
        <w:t>SCHEDULE 14A</w:t>
      </w:r>
    </w:p>
    <w:p>
      <w:pPr>
        <w:ind w:left="2100"/>
        <w:spacing w:after="0" w:line="238" w:lineRule="auto"/>
        <w:rPr>
          <w:sz w:val="20"/>
          <w:szCs w:val="20"/>
          <w:color w:val="auto"/>
        </w:rPr>
      </w:pPr>
      <w:r>
        <w:rPr>
          <w:rFonts w:ascii="Courier New" w:cs="Courier New" w:eastAsia="Courier New" w:hAnsi="Courier New"/>
          <w:sz w:val="17"/>
          <w:szCs w:val="17"/>
          <w:color w:val="auto"/>
        </w:rPr>
        <w:t>INFORMATION REQUIRED IN PROXY STATEMENT</w:t>
      </w:r>
    </w:p>
    <w:p>
      <w:pPr>
        <w:ind w:left="2780"/>
        <w:spacing w:after="0" w:line="238" w:lineRule="auto"/>
        <w:rPr>
          <w:sz w:val="20"/>
          <w:szCs w:val="20"/>
          <w:color w:val="auto"/>
        </w:rPr>
      </w:pPr>
      <w:r>
        <w:rPr>
          <w:rFonts w:ascii="Courier New" w:cs="Courier New" w:eastAsia="Courier New" w:hAnsi="Courier New"/>
          <w:sz w:val="17"/>
          <w:szCs w:val="17"/>
          <w:color w:val="auto"/>
        </w:rPr>
        <w:t>SCHEDULE 14A INFORMATION</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3"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Securities Exchange Act to 1934</w:t>
      </w:r>
    </w:p>
    <w:p>
      <w:pPr>
        <w:jc w:val="center"/>
        <w:ind w:right="2259"/>
        <w:spacing w:after="0" w:line="238" w:lineRule="auto"/>
        <w:rPr>
          <w:sz w:val="20"/>
          <w:szCs w:val="20"/>
          <w:color w:val="auto"/>
        </w:rPr>
      </w:pPr>
      <w:r>
        <w:rPr>
          <w:rFonts w:ascii="Courier New" w:cs="Courier New" w:eastAsia="Courier New" w:hAnsi="Courier New"/>
          <w:sz w:val="17"/>
          <w:szCs w:val="17"/>
          <w:color w:val="auto"/>
        </w:rPr>
        <w:t>(Amendment No. )</w:t>
      </w:r>
    </w:p>
    <w:p>
      <w:pPr>
        <w:sectPr>
          <w:pgSz w:w="11900" w:h="16838" w:orient="portrait"/>
          <w:cols w:equalWidth="0" w:num="1">
            <w:col w:w="10219"/>
          </w:cols>
          <w:pgMar w:left="240" w:top="428" w:right="1440" w:bottom="378" w:gutter="0" w:footer="0" w:header="0"/>
        </w:sectPr>
      </w:pP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4380" w:space="300"/>
            <w:col w:w="5539"/>
          </w:cols>
          <w:pgMar w:left="240" w:top="428" w:right="1440" w:bottom="378"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0" w:lineRule="exact"/>
        <w:rPr>
          <w:sz w:val="24"/>
          <w:szCs w:val="24"/>
          <w:color w:val="auto"/>
        </w:rPr>
      </w:pPr>
    </w:p>
    <w:p>
      <w:pPr>
        <w:ind w:left="400" w:hanging="398"/>
        <w:spacing w:after="0"/>
        <w:tabs>
          <w:tab w:leader="none" w:pos="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Preliminary Proxy Statement</w:t>
      </w:r>
    </w:p>
    <w:p>
      <w:pPr>
        <w:spacing w:after="0" w:line="5" w:lineRule="exact"/>
        <w:rPr>
          <w:sz w:val="24"/>
          <w:szCs w:val="24"/>
          <w:color w:val="auto"/>
        </w:rPr>
      </w:pPr>
    </w:p>
    <w:p>
      <w:pPr>
        <w:ind w:left="600" w:right="3559" w:hanging="598"/>
        <w:spacing w:after="0" w:line="235" w:lineRule="auto"/>
        <w:tabs>
          <w:tab w:leader="none" w:pos="4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 (2))</w:t>
      </w:r>
    </w:p>
    <w:p>
      <w:pPr>
        <w:spacing w:after="0" w:line="190" w:lineRule="exact"/>
        <w:rPr>
          <w:sz w:val="24"/>
          <w:szCs w:val="24"/>
          <w:color w:val="auto"/>
        </w:rPr>
      </w:pPr>
    </w:p>
    <w:p>
      <w:pPr>
        <w:ind w:left="400" w:hanging="398"/>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ind w:left="400" w:hanging="398"/>
        <w:spacing w:after="0" w:line="238"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Rule 14a-11 (c) or Rule 14a-12</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NN, Inc.</w:t>
      </w:r>
    </w:p>
    <w:p>
      <w:pPr>
        <w:spacing w:after="0" w:line="238" w:lineRule="auto"/>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computed on table below per Exchange Act Rules 14a-6(i) (1) and 0-11.</w:t>
      </w:r>
    </w:p>
    <w:p>
      <w:pPr>
        <w:spacing w:after="0" w:line="190" w:lineRule="exact"/>
        <w:rPr>
          <w:sz w:val="24"/>
          <w:szCs w:val="24"/>
          <w:color w:val="auto"/>
        </w:rPr>
      </w:pPr>
    </w:p>
    <w:p>
      <w:pPr>
        <w:ind w:left="900" w:hanging="898"/>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ind w:left="900" w:hanging="898"/>
        <w:spacing w:after="0" w:line="238" w:lineRule="auto"/>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5" w:lineRule="exact"/>
        <w:rPr>
          <w:rFonts w:ascii="Courier New" w:cs="Courier New" w:eastAsia="Courier New" w:hAnsi="Courier New"/>
          <w:sz w:val="17"/>
          <w:szCs w:val="17"/>
          <w:color w:val="auto"/>
        </w:rPr>
      </w:pPr>
    </w:p>
    <w:p>
      <w:pPr>
        <w:ind w:left="900" w:right="3259" w:hanging="898"/>
        <w:spacing w:after="0" w:line="236" w:lineRule="auto"/>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Courier New" w:cs="Courier New" w:eastAsia="Courier New" w:hAnsi="Courier New"/>
          <w:sz w:val="17"/>
          <w:szCs w:val="17"/>
          <w:color w:val="auto"/>
        </w:rPr>
      </w:pPr>
    </w:p>
    <w:p>
      <w:pPr>
        <w:ind w:left="900" w:hanging="898"/>
        <w:spacing w:after="0" w:line="238" w:lineRule="auto"/>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ind w:left="900" w:hanging="898"/>
        <w:spacing w:after="0" w:line="238" w:lineRule="auto"/>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0"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196" w:lineRule="exact"/>
        <w:rPr>
          <w:sz w:val="24"/>
          <w:szCs w:val="24"/>
          <w:color w:val="auto"/>
        </w:rPr>
      </w:pPr>
    </w:p>
    <w:p>
      <w:pPr>
        <w:ind w:left="500" w:right="2359" w:hanging="498"/>
        <w:spacing w:after="0" w:line="236" w:lineRule="auto"/>
        <w:tabs>
          <w:tab w:leader="none" w:pos="2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 (a) (2) and identify the filing for which the offsetting fee was paid previously. Identify the previous filing by registration statement number, or the Form or Schedule and the date of its filing.</w:t>
      </w:r>
    </w:p>
    <w:p>
      <w:pPr>
        <w:spacing w:after="0" w:line="192" w:lineRule="exact"/>
        <w:rPr>
          <w:sz w:val="24"/>
          <w:szCs w:val="24"/>
          <w:color w:val="auto"/>
        </w:rPr>
      </w:pPr>
    </w:p>
    <w:p>
      <w:pPr>
        <w:ind w:left="900" w:hanging="898"/>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ind w:left="900" w:hanging="898"/>
        <w:spacing w:after="0" w:line="238" w:lineRule="auto"/>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ind w:left="900" w:hanging="898"/>
        <w:spacing w:after="0" w:line="238" w:lineRule="auto"/>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ind w:left="900" w:hanging="898"/>
        <w:spacing w:after="0" w:line="238" w:lineRule="auto"/>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337820</wp:posOffset>
            </wp:positionV>
            <wp:extent cx="727964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April 12, 2002</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Dear Stockholder:</w:t>
      </w:r>
    </w:p>
    <w:p>
      <w:pPr>
        <w:spacing w:after="0" w:line="196" w:lineRule="exact"/>
        <w:rPr>
          <w:sz w:val="24"/>
          <w:szCs w:val="24"/>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You are cordially invited to attend the 2002 Annual Meeting of NN, Inc., which will be held on May 16, 2002 at 10:00 a.m., local time, at the Greenville - Spartanburg Airport Marriott, One Parkway East, Greenville, South Carolina, 29615.</w:t>
      </w:r>
    </w:p>
    <w:p>
      <w:pPr>
        <w:spacing w:after="0" w:line="199" w:lineRule="exact"/>
        <w:rPr>
          <w:sz w:val="24"/>
          <w:szCs w:val="24"/>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The business to be conducted at the Annual Meeting is described in the attached Notice of Meeting and Proxy Statement. You are urged to read the Proxy Statement carefully before completing the enclosed proxy card.</w:t>
      </w:r>
    </w:p>
    <w:p>
      <w:pPr>
        <w:spacing w:after="0" w:line="197" w:lineRule="exact"/>
        <w:rPr>
          <w:sz w:val="24"/>
          <w:szCs w:val="24"/>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Sincerely,</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 Roderick R. Baty</w:t>
      </w:r>
    </w:p>
    <w:p>
      <w:pPr>
        <w:spacing w:after="0" w:line="238" w:lineRule="auto"/>
        <w:rPr>
          <w:sz w:val="20"/>
          <w:szCs w:val="20"/>
          <w:color w:val="auto"/>
        </w:rPr>
      </w:pPr>
      <w:r>
        <w:rPr>
          <w:rFonts w:ascii="Courier New" w:cs="Courier New" w:eastAsia="Courier New" w:hAnsi="Courier New"/>
          <w:sz w:val="17"/>
          <w:szCs w:val="17"/>
          <w:color w:val="auto"/>
        </w:rPr>
        <w:t>Roderick R. Baty</w:t>
      </w:r>
    </w:p>
    <w:p>
      <w:pPr>
        <w:spacing w:after="0" w:line="238" w:lineRule="auto"/>
        <w:rPr>
          <w:sz w:val="20"/>
          <w:szCs w:val="20"/>
          <w:color w:val="auto"/>
        </w:rPr>
      </w:pPr>
      <w:r>
        <w:rPr>
          <w:rFonts w:ascii="Courier New" w:cs="Courier New" w:eastAsia="Courier New" w:hAnsi="Courier New"/>
          <w:sz w:val="17"/>
          <w:szCs w:val="17"/>
          <w:color w:val="auto"/>
        </w:rPr>
        <w:t>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337820</wp:posOffset>
            </wp:positionV>
            <wp:extent cx="727964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ectPr>
          <w:pgSz w:w="11900" w:h="16838" w:orient="portrait"/>
          <w:cols w:equalWidth="0" w:num="1">
            <w:col w:w="10219"/>
          </w:cols>
          <w:pgMar w:left="240" w:top="428" w:right="1440" w:bottom="378" w:gutter="0" w:footer="0" w:header="0"/>
          <w:type w:val="continuous"/>
        </w:sectPr>
      </w:pPr>
    </w:p>
    <w:bookmarkStart w:id="1" w:name="page2"/>
    <w:bookmarkEnd w:id="1"/>
    <w:p>
      <w:pPr>
        <w:jc w:val="center"/>
        <w:ind w:right="2259"/>
        <w:spacing w:after="0"/>
        <w:rPr>
          <w:sz w:val="20"/>
          <w:szCs w:val="20"/>
          <w:color w:val="auto"/>
        </w:rPr>
      </w:pPr>
      <w:r>
        <w:rPr>
          <w:rFonts w:ascii="Courier New" w:cs="Courier New" w:eastAsia="Courier New" w:hAnsi="Courier New"/>
          <w:sz w:val="17"/>
          <w:szCs w:val="17"/>
          <w:b w:val="1"/>
          <w:bCs w:val="1"/>
          <w:color w:val="auto"/>
        </w:rPr>
        <w:t>NN, Inc.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b w:val="1"/>
          <w:bCs w:val="1"/>
          <w:color w:val="auto"/>
        </w:rPr>
        <w:t>2000 Waters Edge Drive</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b w:val="1"/>
          <w:bCs w:val="1"/>
          <w:color w:val="auto"/>
        </w:rPr>
        <w:t>Johnson City, TN 37604</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ANNUAL MEETING OF STOCKHOLDERS</w:t>
      </w:r>
    </w:p>
    <w:p>
      <w:pPr>
        <w:spacing w:after="0" w:line="388"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Notice is hereby given that the Annual Meeting of Stockholders of NN, Inc., a Delaware corporation, will be held on May 16, 2002, at 10:00 a.m., local time, at the Greenville - Spartanburg Airport Marriott, One Parkway East, Greenville, South Carolina 29615, for the following purposes:</w:t>
      </w:r>
    </w:p>
    <w:p>
      <w:pPr>
        <w:spacing w:after="0" w:line="199" w:lineRule="exact"/>
        <w:rPr>
          <w:sz w:val="20"/>
          <w:szCs w:val="20"/>
          <w:color w:val="auto"/>
        </w:rPr>
      </w:pPr>
    </w:p>
    <w:p>
      <w:pPr>
        <w:ind w:left="500" w:right="2859" w:hanging="498"/>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three Class III directors, each to serve for a term of three years;</w:t>
      </w:r>
    </w:p>
    <w:p>
      <w:pPr>
        <w:spacing w:after="0" w:line="196" w:lineRule="exact"/>
        <w:rPr>
          <w:rFonts w:ascii="Courier New" w:cs="Courier New" w:eastAsia="Courier New" w:hAnsi="Courier New"/>
          <w:sz w:val="17"/>
          <w:szCs w:val="17"/>
          <w:color w:val="auto"/>
        </w:rPr>
      </w:pPr>
    </w:p>
    <w:p>
      <w:pPr>
        <w:ind w:left="500" w:right="2559" w:hanging="498"/>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selection of KPMG LLP as the Company's independent auditor for the fiscal year ending December 31, 2002; and</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conduct such other business as properly may come before the meeting.</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RECOMMENDS A VOTE FOR THESE PROPOSALS.</w:t>
      </w:r>
    </w:p>
    <w:p>
      <w:pPr>
        <w:spacing w:after="0" w:line="19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Details regarding these matters are contained in the accompanying Proxy Statement.</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Holders of record of Common Stock at the close of business on March 25, 2002, are entitled to notice of and to vote at the Annual Meeting.</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C. Kelly, Jr.</w:t>
      </w:r>
    </w:p>
    <w:p>
      <w:pPr>
        <w:spacing w:after="0" w:line="238" w:lineRule="auto"/>
        <w:rPr>
          <w:sz w:val="20"/>
          <w:szCs w:val="20"/>
          <w:color w:val="auto"/>
        </w:rPr>
      </w:pPr>
      <w:r>
        <w:rPr>
          <w:rFonts w:ascii="Courier New" w:cs="Courier New" w:eastAsia="Courier New" w:hAnsi="Courier New"/>
          <w:sz w:val="17"/>
          <w:szCs w:val="17"/>
          <w:color w:val="auto"/>
        </w:rPr>
        <w:t>William C. Kelly, Jr.</w:t>
      </w:r>
    </w:p>
    <w:p>
      <w:pPr>
        <w:spacing w:after="0" w:line="238" w:lineRule="auto"/>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Johnson City, Tennessee</w:t>
      </w:r>
    </w:p>
    <w:p>
      <w:pPr>
        <w:spacing w:after="0" w:line="238" w:lineRule="auto"/>
        <w:rPr>
          <w:sz w:val="20"/>
          <w:szCs w:val="20"/>
          <w:color w:val="auto"/>
        </w:rPr>
      </w:pPr>
      <w:r>
        <w:rPr>
          <w:rFonts w:ascii="Courier New" w:cs="Courier New" w:eastAsia="Courier New" w:hAnsi="Courier New"/>
          <w:sz w:val="17"/>
          <w:szCs w:val="17"/>
          <w:color w:val="auto"/>
        </w:rPr>
        <w:t>April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215900</wp:posOffset>
            </wp:positionV>
            <wp:extent cx="727964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b w:val="1"/>
          <w:bCs w:val="1"/>
          <w:color w:val="auto"/>
        </w:rPr>
        <w:t>NN, INC.</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b w:val="1"/>
          <w:bCs w:val="1"/>
          <w:color w:val="auto"/>
        </w:rPr>
        <w:t>PROXY STATEMENT</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b w:val="1"/>
          <w:bCs w:val="1"/>
          <w:color w:val="auto"/>
        </w:rPr>
        <w:t>FOR</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b w:val="1"/>
          <w:bCs w:val="1"/>
          <w:color w:val="auto"/>
        </w:rPr>
        <w:t>2002 ANNUAL MEETING OF STOCKHOLDERS</w:t>
      </w:r>
    </w:p>
    <w:p>
      <w:pPr>
        <w:spacing w:after="0" w:line="3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 xml:space="preserve">Proxies are being solicited by the Board of Directors of NN, Inc. (the "Company"), in connection with the annual meeting of stockholders to be held on May 16, 2002 at the </w:t>
      </w:r>
      <w:r>
        <w:rPr>
          <w:rFonts w:ascii="Courier New" w:cs="Courier New" w:eastAsia="Courier New" w:hAnsi="Courier New"/>
          <w:sz w:val="17"/>
          <w:szCs w:val="17"/>
          <w:b w:val="1"/>
          <w:bCs w:val="1"/>
          <w:color w:val="auto"/>
        </w:rPr>
        <w:t>Greenville - Spartanburg Airport Marriott, One Parkway East,</w:t>
      </w:r>
      <w:r>
        <w:rPr>
          <w:rFonts w:ascii="Courier New" w:cs="Courier New" w:eastAsia="Courier New" w:hAnsi="Courier New"/>
          <w:sz w:val="17"/>
          <w:szCs w:val="17"/>
          <w:color w:val="auto"/>
        </w:rPr>
        <w:t xml:space="preserve"> </w:t>
      </w:r>
      <w:r>
        <w:rPr>
          <w:rFonts w:ascii="Courier New" w:cs="Courier New" w:eastAsia="Courier New" w:hAnsi="Courier New"/>
          <w:sz w:val="17"/>
          <w:szCs w:val="17"/>
          <w:b w:val="1"/>
          <w:bCs w:val="1"/>
          <w:color w:val="auto"/>
        </w:rPr>
        <w:t xml:space="preserve">Greenville, South Carolina 29615 </w:t>
      </w:r>
      <w:r>
        <w:rPr>
          <w:rFonts w:ascii="Courier New" w:cs="Courier New" w:eastAsia="Courier New" w:hAnsi="Courier New"/>
          <w:sz w:val="17"/>
          <w:szCs w:val="17"/>
          <w:color w:val="auto"/>
        </w:rPr>
        <w:t>(the "Annual Meeting"), for the purpose of</w:t>
      </w:r>
      <w:r>
        <w:rPr>
          <w:rFonts w:ascii="Courier New" w:cs="Courier New" w:eastAsia="Courier New" w:hAnsi="Courier New"/>
          <w:sz w:val="17"/>
          <w:szCs w:val="17"/>
          <w:b w:val="1"/>
          <w:bCs w:val="1"/>
          <w:color w:val="auto"/>
        </w:rPr>
        <w:t xml:space="preserve"> </w:t>
      </w:r>
      <w:r>
        <w:rPr>
          <w:rFonts w:ascii="Courier New" w:cs="Courier New" w:eastAsia="Courier New" w:hAnsi="Courier New"/>
          <w:sz w:val="17"/>
          <w:szCs w:val="17"/>
          <w:color w:val="auto"/>
        </w:rPr>
        <w:t>considering and acting upon the matters set forth in the foregoing Notice of Annual Meeting of Stockholders (the "Notice"). Stockholders of record of the Company's common stock, par value $.01 per share ("Common Stock"), as of the close of business on March 25, 2002, will be entitled to vote at the meeting. On March 25, 2002 (the "Record Date"), 15,340,806 shares of Common Stock were issued and outstanding.</w:t>
      </w:r>
    </w:p>
    <w:p>
      <w:pPr>
        <w:spacing w:after="0" w:line="202"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99"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The mailing address of the Company's executive office is 2000 Waters Edge Drive, Johnson City, Tennessee 37604. This Proxy Statement and the form of proxy was mailed to stockholders on or about April 12,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Voting; Quorum; Proxies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Each share of Common Stock outstanding on the Record Date is entitled</w:t>
      </w:r>
    </w:p>
    <w:p>
      <w:pPr>
        <w:sectPr>
          <w:pgSz w:w="11900" w:h="16838" w:orient="portrait"/>
          <w:cols w:equalWidth="0" w:num="1">
            <w:col w:w="10219"/>
          </w:cols>
          <w:pgMar w:left="240" w:top="518" w:right="1440" w:bottom="0" w:gutter="0" w:footer="0" w:header="0"/>
        </w:sectPr>
      </w:pPr>
    </w:p>
    <w:bookmarkStart w:id="2" w:name="page3"/>
    <w:bookmarkEnd w:id="2"/>
    <w:p>
      <w:pPr>
        <w:ind w:right="2259"/>
        <w:spacing w:after="0" w:line="237" w:lineRule="auto"/>
        <w:rPr>
          <w:sz w:val="20"/>
          <w:szCs w:val="20"/>
          <w:color w:val="auto"/>
        </w:rPr>
      </w:pPr>
      <w:r>
        <w:rPr>
          <w:rFonts w:ascii="Courier New" w:cs="Courier New" w:eastAsia="Courier New" w:hAnsi="Courier New"/>
          <w:sz w:val="17"/>
          <w:szCs w:val="17"/>
          <w:color w:val="auto"/>
        </w:rPr>
        <w:t>to one vote on each matter submitted to a vote of stockholders at the Annual Meeting. A quorum for the conduct of business is established when the holders of at least a majority of the outstanding shares of Common Stock entitled to vote in the election of directors is present at the meeting or are represented by proxy. Representatives of the Company will serve as inspectors of election for the Annual Meeting.</w:t>
      </w:r>
    </w:p>
    <w:p>
      <w:pPr>
        <w:spacing w:after="0" w:line="19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KPMG LLP to serve as the Company's independent auditor for 2002.</w:t>
      </w:r>
    </w:p>
    <w:p>
      <w:pPr>
        <w:spacing w:after="0" w:line="198"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88"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A proxy may be revoked at any time before it is exercised by delivery to the Secretary of the Company of a written revocation or a subsequently dated proxy and will be deemed revoked if the stockholder votes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217170</wp:posOffset>
            </wp:positionV>
            <wp:extent cx="72796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Voting Rights and Outstanding Shares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Approval of Proposal I requires the affirmative vote of a majority of the shares of Common Stock represented in person or by proxy at the meeting and entitled to vote on such matter. Abstentions (shares not voted by a stockholder present at the Annual Meeting) will be treated as "no" votes. Because directors are elected by a plurality of the votes cast, votes withheld will not affect the outcome of the election of directors.</w:t>
      </w:r>
    </w:p>
    <w:p>
      <w:pPr>
        <w:spacing w:after="0" w:line="191"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b w:val="1"/>
          <w:bCs w:val="1"/>
          <w:color w:val="auto"/>
        </w:rPr>
        <w:t>BENEFICIAL OWNERSHIP OF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Security Ownership of Management</w:t>
      </w:r>
    </w:p>
    <w:p>
      <w:pPr>
        <w:spacing w:after="0" w:line="19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The following table shows, as of March 25, 2002, the beneficial ownership of Common Stock by each director, each executive officer named in the Summary Compensation Table, and all directors and executive officers as a group, in each case as reported to the Company by such persons.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4220" w:type="dxa"/>
            <w:vAlign w:val="bottom"/>
          </w:tcPr>
          <w:p>
            <w:pPr>
              <w:jc w:val="right"/>
              <w:ind w:right="857"/>
              <w:spacing w:after="0"/>
              <w:rPr>
                <w:sz w:val="20"/>
                <w:szCs w:val="20"/>
                <w:color w:val="auto"/>
              </w:rPr>
            </w:pPr>
            <w:r>
              <w:rPr>
                <w:rFonts w:ascii="Courier New" w:cs="Courier New" w:eastAsia="Courier New" w:hAnsi="Courier New"/>
                <w:sz w:val="17"/>
                <w:szCs w:val="17"/>
                <w:b w:val="1"/>
                <w:bCs w:val="1"/>
                <w:color w:val="auto"/>
              </w:rPr>
              <w:t>Name and Address of</w:t>
            </w:r>
          </w:p>
        </w:tc>
        <w:tc>
          <w:tcPr>
            <w:tcW w:w="2400" w:type="dxa"/>
            <w:vAlign w:val="bottom"/>
            <w:gridSpan w:val="2"/>
          </w:tcPr>
          <w:p>
            <w:pPr>
              <w:jc w:val="center"/>
              <w:ind w:right="17"/>
              <w:spacing w:after="0"/>
              <w:rPr>
                <w:sz w:val="20"/>
                <w:szCs w:val="20"/>
                <w:color w:val="auto"/>
              </w:rPr>
            </w:pPr>
            <w:r>
              <w:rPr>
                <w:rFonts w:ascii="Courier New" w:cs="Courier New" w:eastAsia="Courier New" w:hAnsi="Courier New"/>
                <w:sz w:val="17"/>
                <w:szCs w:val="17"/>
                <w:b w:val="1"/>
                <w:bCs w:val="1"/>
                <w:color w:val="auto"/>
                <w:w w:val="96"/>
              </w:rPr>
              <w:t>Number of Shares</w:t>
            </w:r>
          </w:p>
        </w:tc>
        <w:tc>
          <w:tcPr>
            <w:tcW w:w="2320" w:type="dxa"/>
            <w:vAlign w:val="bottom"/>
          </w:tcPr>
          <w:p>
            <w:pPr>
              <w:jc w:val="right"/>
              <w:ind w:right="497"/>
              <w:spacing w:after="0"/>
              <w:rPr>
                <w:sz w:val="20"/>
                <w:szCs w:val="20"/>
                <w:color w:val="auto"/>
              </w:rPr>
            </w:pPr>
            <w:r>
              <w:rPr>
                <w:rFonts w:ascii="Courier New" w:cs="Courier New" w:eastAsia="Courier New" w:hAnsi="Courier New"/>
                <w:sz w:val="17"/>
                <w:szCs w:val="17"/>
                <w:b w:val="1"/>
                <w:bCs w:val="1"/>
                <w:color w:val="auto"/>
              </w:rPr>
              <w:t>Percentage</w:t>
            </w:r>
          </w:p>
        </w:tc>
      </w:tr>
      <w:tr>
        <w:trPr>
          <w:trHeight w:val="191"/>
        </w:trPr>
        <w:tc>
          <w:tcPr>
            <w:tcW w:w="500" w:type="dxa"/>
            <w:vAlign w:val="bottom"/>
          </w:tcPr>
          <w:p>
            <w:pPr>
              <w:spacing w:after="0"/>
              <w:rPr>
                <w:sz w:val="16"/>
                <w:szCs w:val="16"/>
                <w:color w:val="auto"/>
              </w:rPr>
            </w:pPr>
          </w:p>
        </w:tc>
        <w:tc>
          <w:tcPr>
            <w:tcW w:w="422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b w:val="1"/>
                <w:bCs w:val="1"/>
                <w:color w:val="auto"/>
              </w:rPr>
              <w:t>Beneficial Owner (1)</w:t>
            </w:r>
          </w:p>
        </w:tc>
        <w:tc>
          <w:tcPr>
            <w:tcW w:w="2400" w:type="dxa"/>
            <w:vAlign w:val="bottom"/>
            <w:gridSpan w:val="2"/>
          </w:tcPr>
          <w:p>
            <w:pPr>
              <w:jc w:val="center"/>
              <w:ind w:right="17"/>
              <w:spacing w:after="0" w:line="191" w:lineRule="exact"/>
              <w:rPr>
                <w:sz w:val="20"/>
                <w:szCs w:val="20"/>
                <w:color w:val="auto"/>
              </w:rPr>
            </w:pPr>
            <w:r>
              <w:rPr>
                <w:rFonts w:ascii="Courier New" w:cs="Courier New" w:eastAsia="Courier New" w:hAnsi="Courier New"/>
                <w:sz w:val="17"/>
                <w:szCs w:val="17"/>
                <w:b w:val="1"/>
                <w:bCs w:val="1"/>
                <w:color w:val="auto"/>
                <w:w w:val="97"/>
              </w:rPr>
              <w:t>Beneficially Owned (2)</w:t>
            </w:r>
          </w:p>
        </w:tc>
        <w:tc>
          <w:tcPr>
            <w:tcW w:w="2320" w:type="dxa"/>
            <w:vAlign w:val="bottom"/>
          </w:tcPr>
          <w:p>
            <w:pPr>
              <w:ind w:left="140"/>
              <w:spacing w:after="0" w:line="191" w:lineRule="exact"/>
              <w:rPr>
                <w:sz w:val="20"/>
                <w:szCs w:val="20"/>
                <w:color w:val="auto"/>
              </w:rPr>
            </w:pPr>
            <w:r>
              <w:rPr>
                <w:rFonts w:ascii="Courier New" w:cs="Courier New" w:eastAsia="Courier New" w:hAnsi="Courier New"/>
                <w:sz w:val="17"/>
                <w:szCs w:val="17"/>
                <w:b w:val="1"/>
                <w:bCs w:val="1"/>
                <w:color w:val="auto"/>
                <w:w w:val="96"/>
              </w:rPr>
              <w:t>Beneficially Owned (2)</w:t>
            </w:r>
          </w:p>
        </w:tc>
      </w:tr>
      <w:tr>
        <w:trPr>
          <w:trHeight w:val="191"/>
        </w:trPr>
        <w:tc>
          <w:tcPr>
            <w:tcW w:w="500" w:type="dxa"/>
            <w:vAlign w:val="bottom"/>
          </w:tcPr>
          <w:p>
            <w:pPr>
              <w:spacing w:after="0"/>
              <w:rPr>
                <w:sz w:val="16"/>
                <w:szCs w:val="16"/>
                <w:color w:val="auto"/>
              </w:rPr>
            </w:pPr>
          </w:p>
        </w:tc>
        <w:tc>
          <w:tcPr>
            <w:tcW w:w="422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400" w:type="dxa"/>
            <w:vAlign w:val="bottom"/>
            <w:gridSpan w:val="2"/>
          </w:tcPr>
          <w:p>
            <w:pPr>
              <w:jc w:val="center"/>
              <w:ind w:right="17"/>
              <w:spacing w:after="0" w:line="191" w:lineRule="exact"/>
              <w:rPr>
                <w:sz w:val="20"/>
                <w:szCs w:val="20"/>
                <w:color w:val="auto"/>
              </w:rPr>
            </w:pPr>
            <w:r>
              <w:rPr>
                <w:rFonts w:ascii="Courier New" w:cs="Courier New" w:eastAsia="Courier New" w:hAnsi="Courier New"/>
                <w:sz w:val="17"/>
                <w:szCs w:val="17"/>
                <w:b w:val="1"/>
                <w:bCs w:val="1"/>
                <w:color w:val="auto"/>
                <w:w w:val="97"/>
              </w:rPr>
              <w:t>----------------------</w:t>
            </w:r>
          </w:p>
        </w:tc>
        <w:tc>
          <w:tcPr>
            <w:tcW w:w="2320" w:type="dxa"/>
            <w:vAlign w:val="bottom"/>
          </w:tcPr>
          <w:p>
            <w:pPr>
              <w:ind w:left="140"/>
              <w:spacing w:after="0" w:line="191" w:lineRule="exact"/>
              <w:rPr>
                <w:sz w:val="20"/>
                <w:szCs w:val="20"/>
                <w:color w:val="auto"/>
              </w:rPr>
            </w:pPr>
            <w:r>
              <w:rPr>
                <w:rFonts w:ascii="Courier New" w:cs="Courier New" w:eastAsia="Courier New" w:hAnsi="Courier New"/>
                <w:sz w:val="17"/>
                <w:szCs w:val="17"/>
                <w:b w:val="1"/>
                <w:bCs w:val="1"/>
                <w:color w:val="auto"/>
                <w:w w:val="96"/>
              </w:rPr>
              <w:t>----------------------</w:t>
            </w:r>
          </w:p>
        </w:tc>
      </w:tr>
      <w:tr>
        <w:trPr>
          <w:trHeight w:val="383"/>
        </w:trPr>
        <w:tc>
          <w:tcPr>
            <w:tcW w:w="4720" w:type="dxa"/>
            <w:vAlign w:val="bottom"/>
            <w:gridSpan w:val="2"/>
          </w:tcPr>
          <w:p>
            <w:pPr>
              <w:spacing w:after="0"/>
              <w:rPr>
                <w:sz w:val="20"/>
                <w:szCs w:val="20"/>
                <w:color w:val="auto"/>
              </w:rPr>
            </w:pPr>
            <w:r>
              <w:rPr>
                <w:rFonts w:ascii="Courier New" w:cs="Courier New" w:eastAsia="Courier New" w:hAnsi="Courier New"/>
                <w:sz w:val="17"/>
                <w:szCs w:val="17"/>
                <w:color w:val="auto"/>
              </w:rPr>
              <w:t>Richard D. Ennen (3)</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2,788,868</w:t>
            </w:r>
          </w:p>
        </w:tc>
        <w:tc>
          <w:tcPr>
            <w:tcW w:w="600" w:type="dxa"/>
            <w:vAlign w:val="bottom"/>
          </w:tcPr>
          <w:p>
            <w:pPr>
              <w:spacing w:after="0"/>
              <w:rPr>
                <w:sz w:val="24"/>
                <w:szCs w:val="24"/>
                <w:color w:val="auto"/>
              </w:rPr>
            </w:pPr>
          </w:p>
        </w:tc>
        <w:tc>
          <w:tcPr>
            <w:tcW w:w="232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18.2%</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Michael D. Huff (3)</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663,227</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(4)</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4.3%</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James L. Earsley</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224,428</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(5)</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1.5%</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Roderick R. Baty</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126,162</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(6)</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Frank T. Gentry III</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66,611</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(7)</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Michael E. Werner</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18,287</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(8)</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G. Ronald Morris</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18,000</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(9)</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Steven T. Warshaw</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15,000</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(10)</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David L. Dyckman</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35,083</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(11)</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Robert R. Sams</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23,783</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(12)</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William C. Kelly, Jr.</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16,433</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(13)</w:t>
            </w:r>
          </w:p>
        </w:tc>
        <w:tc>
          <w:tcPr>
            <w:tcW w:w="232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All directors and executive officers as a group</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3,995,882</w:t>
            </w:r>
          </w:p>
        </w:tc>
        <w:tc>
          <w:tcPr>
            <w:tcW w:w="600" w:type="dxa"/>
            <w:vAlign w:val="bottom"/>
          </w:tcPr>
          <w:p>
            <w:pPr>
              <w:spacing w:after="0"/>
              <w:rPr>
                <w:sz w:val="16"/>
                <w:szCs w:val="16"/>
                <w:color w:val="auto"/>
              </w:rPr>
            </w:pPr>
          </w:p>
        </w:tc>
        <w:tc>
          <w:tcPr>
            <w:tcW w:w="232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26.0%</w:t>
            </w:r>
          </w:p>
        </w:tc>
      </w:tr>
      <w:tr>
        <w:trPr>
          <w:trHeight w:val="191"/>
        </w:trPr>
        <w:tc>
          <w:tcPr>
            <w:tcW w:w="4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1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83"/>
        </w:trPr>
        <w:tc>
          <w:tcPr>
            <w:tcW w:w="5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220" w:type="dxa"/>
            <w:vAlign w:val="bottom"/>
          </w:tcPr>
          <w:p>
            <w:pPr>
              <w:jc w:val="right"/>
              <w:ind w:right="2537"/>
              <w:spacing w:after="0"/>
              <w:rPr>
                <w:sz w:val="20"/>
                <w:szCs w:val="20"/>
                <w:color w:val="auto"/>
              </w:rPr>
            </w:pPr>
            <w:r>
              <w:rPr>
                <w:rFonts w:ascii="Courier New" w:cs="Courier New" w:eastAsia="Courier New" w:hAnsi="Courier New"/>
                <w:sz w:val="17"/>
                <w:szCs w:val="17"/>
                <w:color w:val="auto"/>
              </w:rPr>
              <w:t>Less than 1%</w:t>
            </w: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196" w:lineRule="exact"/>
        <w:rPr>
          <w:sz w:val="20"/>
          <w:szCs w:val="20"/>
          <w:color w:val="auto"/>
        </w:rPr>
      </w:pPr>
    </w:p>
    <w:p>
      <w:pPr>
        <w:ind w:left="500" w:right="2859"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address of the beneficial owner is c/o NN, Inc., 2000 Waters Edge Drive, Johnson City, Tennessee 37604.</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Computed in accordance with Rule 13d-3.</w:t>
      </w:r>
    </w:p>
    <w:p>
      <w:pPr>
        <w:spacing w:after="0" w:line="196" w:lineRule="exact"/>
        <w:rPr>
          <w:rFonts w:ascii="Courier New" w:cs="Courier New" w:eastAsia="Courier New" w:hAnsi="Courier New"/>
          <w:sz w:val="17"/>
          <w:szCs w:val="17"/>
          <w:color w:val="auto"/>
        </w:rPr>
      </w:pPr>
    </w:p>
    <w:p>
      <w:pPr>
        <w:ind w:left="500" w:right="2259" w:hanging="498"/>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1 to "Security Ownership of Certain Beneficial Owners" below for a description of the stockholder group of which Messrs. Ennen and Huff are members.</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13,000 shares of Common Stock that Mr. Huff holds as an option to purchase and 225,000 shares of Common Stock registered in the name of Mr. Huff's wife.</w:t>
      </w:r>
    </w:p>
    <w:p>
      <w:pPr>
        <w:spacing w:after="0" w:line="196" w:lineRule="exact"/>
        <w:rPr>
          <w:rFonts w:ascii="Courier New" w:cs="Courier New" w:eastAsia="Courier New" w:hAnsi="Courier New"/>
          <w:sz w:val="17"/>
          <w:szCs w:val="17"/>
          <w:color w:val="auto"/>
        </w:rPr>
      </w:pPr>
    </w:p>
    <w:p>
      <w:pPr>
        <w:ind w:left="500" w:right="3059"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2,818 shares of Common Stock registered in the name of Mr. Earsley's son.</w:t>
      </w:r>
    </w:p>
    <w:p>
      <w:pPr>
        <w:spacing w:after="0" w:line="196" w:lineRule="exact"/>
        <w:rPr>
          <w:rFonts w:ascii="Courier New" w:cs="Courier New" w:eastAsia="Courier New" w:hAnsi="Courier New"/>
          <w:sz w:val="17"/>
          <w:szCs w:val="17"/>
          <w:color w:val="auto"/>
        </w:rPr>
      </w:pPr>
    </w:p>
    <w:p>
      <w:pPr>
        <w:ind w:left="500" w:right="2259"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123,767 shares of Common Stock that Mr. Baty holds as an option to purchase.</w:t>
      </w:r>
    </w:p>
    <w:p>
      <w:pPr>
        <w:sectPr>
          <w:pgSz w:w="11900" w:h="16838" w:orient="portrait"/>
          <w:cols w:equalWidth="0" w:num="1">
            <w:col w:w="10219"/>
          </w:cols>
          <w:pgMar w:left="240" w:top="142" w:right="1440" w:bottom="0" w:gutter="0" w:footer="0" w:header="0"/>
        </w:sectPr>
      </w:pPr>
    </w:p>
    <w:bookmarkStart w:id="3" w:name="page4"/>
    <w:bookmarkEnd w:id="3"/>
    <w:p>
      <w:pPr>
        <w:ind w:left="500" w:right="2459" w:hanging="498"/>
        <w:spacing w:after="0" w:line="235"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35,050 shares of Common Stock that Mr. Gentry holds as an option to purchase.</w:t>
      </w:r>
    </w:p>
    <w:p>
      <w:pPr>
        <w:spacing w:after="0" w:line="196" w:lineRule="exact"/>
        <w:rPr>
          <w:rFonts w:ascii="Courier New" w:cs="Courier New" w:eastAsia="Courier New" w:hAnsi="Courier New"/>
          <w:sz w:val="17"/>
          <w:szCs w:val="17"/>
          <w:color w:val="auto"/>
        </w:rPr>
      </w:pPr>
    </w:p>
    <w:p>
      <w:pPr>
        <w:ind w:left="500" w:right="2459" w:hanging="498"/>
        <w:spacing w:after="0" w:line="236"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13,000 shares of Common Stock that Mr. Werner holds as an option to purchase and 5,287 shares of Common Stock reregistered in the name of Mr. Werner's wife.</w:t>
      </w:r>
    </w:p>
    <w:p>
      <w:pPr>
        <w:spacing w:after="0" w:line="196" w:lineRule="exact"/>
        <w:rPr>
          <w:rFonts w:ascii="Courier New" w:cs="Courier New" w:eastAsia="Courier New" w:hAnsi="Courier New"/>
          <w:sz w:val="17"/>
          <w:szCs w:val="17"/>
          <w:color w:val="auto"/>
        </w:rPr>
      </w:pPr>
    </w:p>
    <w:p>
      <w:pPr>
        <w:ind w:left="500" w:right="2459" w:hanging="498"/>
        <w:spacing w:after="0" w:line="235"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13,000 shares of Common Stock that Mr. Morris holds as an option to purchase.</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00" w:hanging="498"/>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13,000 shares that Mr. Warshaw holds as an option to purchase.</w:t>
      </w:r>
    </w:p>
    <w:p>
      <w:pPr>
        <w:spacing w:after="0" w:line="196" w:lineRule="exact"/>
        <w:rPr>
          <w:rFonts w:ascii="Courier New" w:cs="Courier New" w:eastAsia="Courier New" w:hAnsi="Courier New"/>
          <w:sz w:val="17"/>
          <w:szCs w:val="17"/>
          <w:color w:val="auto"/>
        </w:rPr>
      </w:pPr>
    </w:p>
    <w:p>
      <w:pPr>
        <w:ind w:left="500" w:right="2359" w:hanging="498"/>
        <w:spacing w:after="0" w:line="235"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34,983 shares of Common Stock that Mr. Dyckman holds as an option to purchase.</w:t>
      </w:r>
    </w:p>
    <w:p>
      <w:pPr>
        <w:spacing w:after="0" w:line="196" w:lineRule="exact"/>
        <w:rPr>
          <w:rFonts w:ascii="Courier New" w:cs="Courier New" w:eastAsia="Courier New" w:hAnsi="Courier New"/>
          <w:sz w:val="17"/>
          <w:szCs w:val="17"/>
          <w:color w:val="auto"/>
        </w:rPr>
      </w:pPr>
    </w:p>
    <w:p>
      <w:pPr>
        <w:ind w:left="500" w:right="2359" w:hanging="498"/>
        <w:spacing w:after="0" w:line="235"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23,733 shares of Common Stock that Mr. Sams holds as an option to purchase.</w:t>
      </w:r>
    </w:p>
    <w:p>
      <w:pPr>
        <w:spacing w:after="0" w:line="196" w:lineRule="exact"/>
        <w:rPr>
          <w:rFonts w:ascii="Courier New" w:cs="Courier New" w:eastAsia="Courier New" w:hAnsi="Courier New"/>
          <w:sz w:val="17"/>
          <w:szCs w:val="17"/>
          <w:color w:val="auto"/>
        </w:rPr>
      </w:pPr>
    </w:p>
    <w:p>
      <w:pPr>
        <w:ind w:left="500" w:right="2259" w:hanging="498"/>
        <w:spacing w:after="0" w:line="235"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16,033 shares of Common Stock that Mr. Kelly holds as an option to purchase.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Security Ownership of Certain Beneficial Owners</w:t>
      </w:r>
    </w:p>
    <w:p>
      <w:pPr>
        <w:spacing w:after="0" w:line="196"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The following table sets forth the number of shares of the Company's Common Stock beneficially owned by the only parties known to the Company's management to own more than 5% of the Company's Common Stock.</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ind w:left="1000"/>
              <w:spacing w:after="0"/>
              <w:rPr>
                <w:sz w:val="20"/>
                <w:szCs w:val="20"/>
                <w:color w:val="auto"/>
              </w:rPr>
            </w:pPr>
            <w:r>
              <w:rPr>
                <w:rFonts w:ascii="Courier New" w:cs="Courier New" w:eastAsia="Courier New" w:hAnsi="Courier New"/>
                <w:sz w:val="17"/>
                <w:szCs w:val="17"/>
                <w:b w:val="1"/>
                <w:bCs w:val="1"/>
                <w:color w:val="auto"/>
              </w:rPr>
              <w:t>Name and Address of</w:t>
            </w:r>
          </w:p>
        </w:tc>
        <w:tc>
          <w:tcPr>
            <w:tcW w:w="2900" w:type="dxa"/>
            <w:vAlign w:val="bottom"/>
            <w:gridSpan w:val="2"/>
          </w:tcPr>
          <w:p>
            <w:pPr>
              <w:jc w:val="right"/>
              <w:ind w:right="777"/>
              <w:spacing w:after="0"/>
              <w:rPr>
                <w:sz w:val="20"/>
                <w:szCs w:val="20"/>
                <w:color w:val="auto"/>
              </w:rPr>
            </w:pPr>
            <w:r>
              <w:rPr>
                <w:rFonts w:ascii="Courier New" w:cs="Courier New" w:eastAsia="Courier New" w:hAnsi="Courier New"/>
                <w:sz w:val="17"/>
                <w:szCs w:val="17"/>
                <w:b w:val="1"/>
                <w:bCs w:val="1"/>
                <w:color w:val="auto"/>
              </w:rPr>
              <w:t>Number of Shares</w:t>
            </w:r>
          </w:p>
        </w:tc>
        <w:tc>
          <w:tcPr>
            <w:tcW w:w="2320" w:type="dxa"/>
            <w:vAlign w:val="bottom"/>
          </w:tcPr>
          <w:p>
            <w:pPr>
              <w:ind w:left="840"/>
              <w:spacing w:after="0"/>
              <w:rPr>
                <w:sz w:val="20"/>
                <w:szCs w:val="20"/>
                <w:color w:val="auto"/>
              </w:rPr>
            </w:pPr>
            <w:r>
              <w:rPr>
                <w:rFonts w:ascii="Courier New" w:cs="Courier New" w:eastAsia="Courier New" w:hAnsi="Courier New"/>
                <w:sz w:val="17"/>
                <w:szCs w:val="17"/>
                <w:b w:val="1"/>
                <w:bCs w:val="1"/>
                <w:color w:val="auto"/>
              </w:rPr>
              <w:t>Percentage</w:t>
            </w:r>
          </w:p>
        </w:tc>
      </w:tr>
      <w:tr>
        <w:trPr>
          <w:trHeight w:val="191"/>
        </w:trPr>
        <w:tc>
          <w:tcPr>
            <w:tcW w:w="4320" w:type="dxa"/>
            <w:vAlign w:val="bottom"/>
          </w:tcPr>
          <w:p>
            <w:pPr>
              <w:ind w:left="1200"/>
              <w:spacing w:after="0" w:line="191" w:lineRule="exact"/>
              <w:rPr>
                <w:sz w:val="20"/>
                <w:szCs w:val="20"/>
                <w:color w:val="auto"/>
              </w:rPr>
            </w:pPr>
            <w:r>
              <w:rPr>
                <w:rFonts w:ascii="Courier New" w:cs="Courier New" w:eastAsia="Courier New" w:hAnsi="Courier New"/>
                <w:sz w:val="17"/>
                <w:szCs w:val="17"/>
                <w:b w:val="1"/>
                <w:bCs w:val="1"/>
                <w:color w:val="auto"/>
              </w:rPr>
              <w:t>Beneficial Owner</w:t>
            </w:r>
          </w:p>
        </w:tc>
        <w:tc>
          <w:tcPr>
            <w:tcW w:w="290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b w:val="1"/>
                <w:bCs w:val="1"/>
                <w:color w:val="auto"/>
              </w:rPr>
              <w:t>Beneficially Owned</w:t>
            </w:r>
          </w:p>
        </w:tc>
        <w:tc>
          <w:tcPr>
            <w:tcW w:w="2320" w:type="dxa"/>
            <w:vAlign w:val="bottom"/>
          </w:tcPr>
          <w:p>
            <w:pPr>
              <w:ind w:left="540"/>
              <w:spacing w:after="0" w:line="191" w:lineRule="exact"/>
              <w:rPr>
                <w:sz w:val="20"/>
                <w:szCs w:val="20"/>
                <w:color w:val="auto"/>
              </w:rPr>
            </w:pPr>
            <w:r>
              <w:rPr>
                <w:rFonts w:ascii="Courier New" w:cs="Courier New" w:eastAsia="Courier New" w:hAnsi="Courier New"/>
                <w:sz w:val="17"/>
                <w:szCs w:val="17"/>
                <w:b w:val="1"/>
                <w:bCs w:val="1"/>
                <w:color w:val="auto"/>
                <w:w w:val="95"/>
              </w:rPr>
              <w:t>Beneficially Owned</w:t>
            </w:r>
          </w:p>
        </w:tc>
      </w:tr>
      <w:tr>
        <w:trPr>
          <w:trHeight w:val="191"/>
        </w:trPr>
        <w:tc>
          <w:tcPr>
            <w:tcW w:w="4320" w:type="dxa"/>
            <w:vAlign w:val="bottom"/>
          </w:tcPr>
          <w:p>
            <w:pPr>
              <w:ind w:left="120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90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320" w:type="dxa"/>
            <w:vAlign w:val="bottom"/>
          </w:tcPr>
          <w:p>
            <w:pPr>
              <w:ind w:left="540"/>
              <w:spacing w:after="0" w:line="191" w:lineRule="exact"/>
              <w:rPr>
                <w:sz w:val="20"/>
                <w:szCs w:val="20"/>
                <w:color w:val="auto"/>
              </w:rPr>
            </w:pPr>
            <w:r>
              <w:rPr>
                <w:rFonts w:ascii="Courier New" w:cs="Courier New" w:eastAsia="Courier New" w:hAnsi="Courier New"/>
                <w:sz w:val="17"/>
                <w:szCs w:val="17"/>
                <w:b w:val="1"/>
                <w:bCs w:val="1"/>
                <w:color w:val="auto"/>
                <w:w w:val="95"/>
              </w:rPr>
              <w:t>------------------</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 Group Disclosed in Form 13D,</w:t>
            </w:r>
          </w:p>
        </w:tc>
        <w:tc>
          <w:tcPr>
            <w:tcW w:w="1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4,463,935</w:t>
            </w:r>
          </w:p>
        </w:tc>
        <w:tc>
          <w:tcPr>
            <w:tcW w:w="126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w:t>
            </w:r>
          </w:p>
        </w:tc>
        <w:tc>
          <w:tcPr>
            <w:tcW w:w="232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29.0%</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Filed on December 14, 2001</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83"/>
        </w:trPr>
        <w:tc>
          <w:tcPr>
            <w:tcW w:w="4320" w:type="dxa"/>
            <w:vAlign w:val="bottom"/>
          </w:tcPr>
          <w:p>
            <w:pPr>
              <w:spacing w:after="0"/>
              <w:rPr>
                <w:sz w:val="20"/>
                <w:szCs w:val="20"/>
                <w:color w:val="auto"/>
              </w:rPr>
            </w:pPr>
            <w:r>
              <w:rPr>
                <w:rFonts w:ascii="Courier New" w:cs="Courier New" w:eastAsia="Courier New" w:hAnsi="Courier New"/>
                <w:sz w:val="17"/>
                <w:szCs w:val="17"/>
                <w:color w:val="auto"/>
              </w:rPr>
              <w:t>DePrince, Race &amp; Zollo, Inc</w:t>
            </w:r>
          </w:p>
        </w:tc>
        <w:tc>
          <w:tcPr>
            <w:tcW w:w="1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3,861,350</w:t>
            </w:r>
          </w:p>
        </w:tc>
        <w:tc>
          <w:tcPr>
            <w:tcW w:w="1260" w:type="dxa"/>
            <w:vAlign w:val="bottom"/>
          </w:tcPr>
          <w:p>
            <w:pPr>
              <w:jc w:val="right"/>
              <w:ind w:right="777"/>
              <w:spacing w:after="0"/>
              <w:rPr>
                <w:sz w:val="20"/>
                <w:szCs w:val="20"/>
                <w:color w:val="auto"/>
              </w:rPr>
            </w:pPr>
            <w:r>
              <w:rPr>
                <w:rFonts w:ascii="Courier New" w:cs="Courier New" w:eastAsia="Courier New" w:hAnsi="Courier New"/>
                <w:sz w:val="17"/>
                <w:szCs w:val="17"/>
                <w:color w:val="auto"/>
              </w:rPr>
              <w:t>(3)</w:t>
            </w:r>
          </w:p>
        </w:tc>
        <w:tc>
          <w:tcPr>
            <w:tcW w:w="2320" w:type="dxa"/>
            <w:vAlign w:val="bottom"/>
          </w:tcPr>
          <w:p>
            <w:pPr>
              <w:ind w:left="940"/>
              <w:spacing w:after="0"/>
              <w:rPr>
                <w:sz w:val="20"/>
                <w:szCs w:val="20"/>
                <w:color w:val="auto"/>
              </w:rPr>
            </w:pPr>
            <w:r>
              <w:rPr>
                <w:rFonts w:ascii="Courier New" w:cs="Courier New" w:eastAsia="Courier New" w:hAnsi="Courier New"/>
                <w:sz w:val="17"/>
                <w:szCs w:val="17"/>
                <w:color w:val="auto"/>
              </w:rPr>
              <w:t>25.2%</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201 S. Orange Avenue</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Suite 850</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Orlando, FL 32801</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83"/>
        </w:trPr>
        <w:tc>
          <w:tcPr>
            <w:tcW w:w="4320" w:type="dxa"/>
            <w:vAlign w:val="bottom"/>
          </w:tcPr>
          <w:p>
            <w:pPr>
              <w:spacing w:after="0"/>
              <w:rPr>
                <w:sz w:val="20"/>
                <w:szCs w:val="20"/>
                <w:color w:val="auto"/>
              </w:rPr>
            </w:pPr>
            <w:r>
              <w:rPr>
                <w:rFonts w:ascii="Courier New" w:cs="Courier New" w:eastAsia="Courier New" w:hAnsi="Courier New"/>
                <w:sz w:val="17"/>
                <w:szCs w:val="17"/>
                <w:color w:val="auto"/>
              </w:rPr>
              <w:t>Wellington Management Company, LLP</w:t>
            </w:r>
          </w:p>
        </w:tc>
        <w:tc>
          <w:tcPr>
            <w:tcW w:w="1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1,362,000</w:t>
            </w:r>
          </w:p>
        </w:tc>
        <w:tc>
          <w:tcPr>
            <w:tcW w:w="126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(2)(4)</w:t>
            </w:r>
          </w:p>
        </w:tc>
        <w:tc>
          <w:tcPr>
            <w:tcW w:w="2320" w:type="dxa"/>
            <w:vAlign w:val="bottom"/>
          </w:tcPr>
          <w:p>
            <w:pPr>
              <w:ind w:left="940"/>
              <w:spacing w:after="0"/>
              <w:rPr>
                <w:sz w:val="20"/>
                <w:szCs w:val="20"/>
                <w:color w:val="auto"/>
              </w:rPr>
            </w:pPr>
            <w:r>
              <w:rPr>
                <w:rFonts w:ascii="Courier New" w:cs="Courier New" w:eastAsia="Courier New" w:hAnsi="Courier New"/>
                <w:sz w:val="17"/>
                <w:szCs w:val="17"/>
                <w:color w:val="auto"/>
              </w:rPr>
              <w:t>8.9%</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75 State Street</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Boston, MA 02109</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83"/>
        </w:trPr>
        <w:tc>
          <w:tcPr>
            <w:tcW w:w="4320" w:type="dxa"/>
            <w:vAlign w:val="bottom"/>
          </w:tcPr>
          <w:p>
            <w:pPr>
              <w:spacing w:after="0"/>
              <w:rPr>
                <w:sz w:val="20"/>
                <w:szCs w:val="20"/>
                <w:color w:val="auto"/>
              </w:rPr>
            </w:pPr>
            <w:r>
              <w:rPr>
                <w:rFonts w:ascii="Courier New" w:cs="Courier New" w:eastAsia="Courier New" w:hAnsi="Courier New"/>
                <w:sz w:val="17"/>
                <w:szCs w:val="17"/>
                <w:color w:val="auto"/>
              </w:rPr>
              <w:t>Royce &amp; Associates, Inc.</w:t>
            </w:r>
          </w:p>
        </w:tc>
        <w:tc>
          <w:tcPr>
            <w:tcW w:w="1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913,400</w:t>
            </w:r>
          </w:p>
        </w:tc>
        <w:tc>
          <w:tcPr>
            <w:tcW w:w="1260" w:type="dxa"/>
            <w:vAlign w:val="bottom"/>
          </w:tcPr>
          <w:p>
            <w:pPr>
              <w:jc w:val="right"/>
              <w:ind w:right="777"/>
              <w:spacing w:after="0"/>
              <w:rPr>
                <w:sz w:val="20"/>
                <w:szCs w:val="20"/>
                <w:color w:val="auto"/>
              </w:rPr>
            </w:pPr>
            <w:r>
              <w:rPr>
                <w:rFonts w:ascii="Courier New" w:cs="Courier New" w:eastAsia="Courier New" w:hAnsi="Courier New"/>
                <w:sz w:val="17"/>
                <w:szCs w:val="17"/>
                <w:color w:val="auto"/>
              </w:rPr>
              <w:t>(5)</w:t>
            </w:r>
          </w:p>
        </w:tc>
        <w:tc>
          <w:tcPr>
            <w:tcW w:w="2320" w:type="dxa"/>
            <w:vAlign w:val="bottom"/>
          </w:tcPr>
          <w:p>
            <w:pPr>
              <w:ind w:left="940"/>
              <w:spacing w:after="0"/>
              <w:rPr>
                <w:sz w:val="20"/>
                <w:szCs w:val="20"/>
                <w:color w:val="auto"/>
              </w:rPr>
            </w:pPr>
            <w:r>
              <w:rPr>
                <w:rFonts w:ascii="Courier New" w:cs="Courier New" w:eastAsia="Courier New" w:hAnsi="Courier New"/>
                <w:sz w:val="17"/>
                <w:szCs w:val="17"/>
                <w:color w:val="auto"/>
              </w:rPr>
              <w:t>6.0%</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1414 Avenue of the Americas</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New York, NY  10019</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r>
    </w:tbl>
    <w:p>
      <w:pPr>
        <w:spacing w:after="0" w:line="196" w:lineRule="exact"/>
        <w:rPr>
          <w:sz w:val="20"/>
          <w:szCs w:val="20"/>
          <w:color w:val="auto"/>
        </w:rPr>
      </w:pPr>
    </w:p>
    <w:p>
      <w:pPr>
        <w:ind w:left="500" w:right="2259" w:hanging="498"/>
        <w:spacing w:after="0" w:line="236" w:lineRule="auto"/>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 group, which filed a Form 13D on December 14, 2001, is comprised of the following individuals: Richard D. Ennen, Monica C. Ennen, Leonard Bowman, Janet M. Huff, Michael D. Huff, Gerald Bagierek, Deborah E. Bagierek and Charles Edmisten.</w:t>
      </w:r>
    </w:p>
    <w:p>
      <w:pPr>
        <w:spacing w:after="0" w:line="198" w:lineRule="exact"/>
        <w:rPr>
          <w:rFonts w:ascii="Courier New" w:cs="Courier New" w:eastAsia="Courier New" w:hAnsi="Courier New"/>
          <w:sz w:val="17"/>
          <w:szCs w:val="17"/>
          <w:color w:val="auto"/>
        </w:rPr>
      </w:pPr>
    </w:p>
    <w:p>
      <w:pPr>
        <w:ind w:left="500" w:right="2259" w:hanging="498"/>
        <w:spacing w:after="0" w:line="254"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837,000 shares for which Wellington Management Company, LLP, an investment adviser, reports shared voting power with the beneficial owners of such shares and 1,362,000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81" w:lineRule="exact"/>
        <w:rPr>
          <w:rFonts w:ascii="Courier New" w:cs="Courier New" w:eastAsia="Courier New" w:hAnsi="Courier New"/>
          <w:sz w:val="16"/>
          <w:szCs w:val="16"/>
          <w:color w:val="auto"/>
        </w:rPr>
      </w:pPr>
    </w:p>
    <w:p>
      <w:pPr>
        <w:ind w:left="500" w:hanging="498"/>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based on Schedule 13G filed on February 11, 2002.</w:t>
      </w:r>
    </w:p>
    <w:p>
      <w:pPr>
        <w:spacing w:after="0" w:line="189"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based on Schedule 13G filed on February 2, 2002.</w:t>
      </w:r>
    </w:p>
    <w:p>
      <w:pPr>
        <w:spacing w:after="0" w:line="189"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based on Schedule 13G filed on February 8, 2002.</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Section 16(a) Beneficial Ownership Reporting Compliance</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ectPr>
          <w:pgSz w:w="11900" w:h="16838" w:orient="portrait"/>
          <w:cols w:equalWidth="0" w:num="1">
            <w:col w:w="10219"/>
          </w:cols>
          <w:pgMar w:left="240" w:top="142" w:right="1440" w:bottom="0" w:gutter="0" w:footer="0" w:header="0"/>
        </w:sectPr>
      </w:pPr>
    </w:p>
    <w:bookmarkStart w:id="4" w:name="page5"/>
    <w:bookmarkEnd w:id="4"/>
    <w:p>
      <w:pPr>
        <w:ind w:right="2459" w:firstLine="895"/>
        <w:spacing w:after="0" w:line="236" w:lineRule="auto"/>
        <w:rPr>
          <w:sz w:val="20"/>
          <w:szCs w:val="20"/>
          <w:color w:val="auto"/>
        </w:rPr>
      </w:pPr>
      <w:r>
        <w:rPr>
          <w:rFonts w:ascii="Courier New" w:cs="Courier New" w:eastAsia="Courier New" w:hAnsi="Courier New"/>
          <w:sz w:val="17"/>
          <w:szCs w:val="17"/>
          <w:color w:val="auto"/>
        </w:rPr>
        <w:t>Based solely on its review of the copies of such reports furnished to the Company for the year ended December 31, 2001, the Company is not aware of any instance of noncompliance with Section 16(a) by its directors, executive officers or owners of more than 10% of the Common Stock.</w:t>
      </w:r>
    </w:p>
    <w:p>
      <w:pPr>
        <w:spacing w:after="0" w:line="38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b w:val="1"/>
          <w:bCs w:val="1"/>
          <w:color w:val="auto"/>
        </w:rPr>
        <w:t>PROPOSAL I</w:t>
      </w:r>
    </w:p>
    <w:p>
      <w:pPr>
        <w:ind w:left="2980"/>
        <w:spacing w:after="0" w:line="238" w:lineRule="auto"/>
        <w:rPr>
          <w:sz w:val="20"/>
          <w:szCs w:val="20"/>
          <w:color w:val="auto"/>
        </w:rPr>
      </w:pPr>
      <w:r>
        <w:rPr>
          <w:rFonts w:ascii="Courier New" w:cs="Courier New" w:eastAsia="Courier New" w:hAnsi="Courier New"/>
          <w:sz w:val="17"/>
          <w:szCs w:val="17"/>
          <w:b w:val="1"/>
          <w:bCs w:val="1"/>
          <w:color w:val="auto"/>
        </w:rPr>
        <w:t>ELECTION OF DIRECTORS</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Nominees</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Three Class III directors will be elected to the Board of Directors at the Annual Meeting. The Company has nominated for election G. Ronald Morris, Steven T. Warshaw and James L. Earsley, each of whom currently is a director. Each of the nominees has indicated a willingness to continue to serve as a director if elected, but if any of them should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THE BOARD OF DIRECTORS RECOMMENDS A VOTE FOR EACH OF THE NOMINEES.</w:t>
      </w:r>
    </w:p>
    <w:p>
      <w:pPr>
        <w:spacing w:after="0" w:line="200" w:lineRule="exact"/>
        <w:rPr>
          <w:sz w:val="20"/>
          <w:szCs w:val="20"/>
          <w:color w:val="auto"/>
        </w:rPr>
      </w:pPr>
    </w:p>
    <w:p>
      <w:pPr>
        <w:spacing w:after="0" w:line="372"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b w:val="1"/>
          <w:bCs w:val="1"/>
          <w:color w:val="auto"/>
        </w:rPr>
        <w:t>PROPOSAL II</w:t>
      </w:r>
    </w:p>
    <w:p>
      <w:pPr>
        <w:jc w:val="center"/>
        <w:ind w:right="2159"/>
        <w:spacing w:after="0" w:line="238" w:lineRule="auto"/>
        <w:rPr>
          <w:sz w:val="20"/>
          <w:szCs w:val="20"/>
          <w:color w:val="auto"/>
        </w:rPr>
      </w:pPr>
      <w:r>
        <w:rPr>
          <w:rFonts w:ascii="Courier New" w:cs="Courier New" w:eastAsia="Courier New" w:hAnsi="Courier New"/>
          <w:sz w:val="17"/>
          <w:szCs w:val="17"/>
          <w:b w:val="1"/>
          <w:bCs w:val="1"/>
          <w:color w:val="auto"/>
        </w:rPr>
        <w:t>RATIFICATION OF SELECTION OF AUDITORS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firm of KPMG LLP has been selected by the Board of Directors as the Company's outside auditors for 2002. On November 27, 2000, the Company retained the services of KPMG LLP as its principal accountant to audit the Company's consolidated financial statements, replacing PricewaterhouseCoopers LLP. The decision to retain KPMG was based upon a reevaluation by the Company of its current professional relationships and was approved by the Company's Board of Directors at the recommendation of the Company's Audit Committee. Although it is not required to do so, the Board has determined that it is desirable to seek stockholders' ratification of the selection of KPMG LLP.</w:t>
      </w: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During the Company's 1999 fiscal year and through November 27, 2000, there were no disagreements with PricewaterhouseCoopers LLP on any matter of accounting principles or practices, financial statement disclosure, or auditing scope or procedure. PricewaterhouseCoopers LLP reports on the financial statements of the Company during 1999 contained no adverse opinion or disclaimer of opinion and were not qualified or modified as to uncertainty, audit scope or accounting principles.</w:t>
      </w:r>
    </w:p>
    <w:p>
      <w:pPr>
        <w:spacing w:after="0" w:line="199"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At the Company's request, PricewaterhouseCoopers LLP furnished it with a letter addressed to the SEC stating that PricewaterhouseCoopers LLP agrees with the above statements. A copy of this letter was filed as Exhibit 16 to Form 8-K filed with the SEC on December 4, 2000.</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A representative of KPMG LLP is expected to be present at the Annual Meeting and will have an opportunity to make a statement, if he or she so desires, and will be available to respond to appropriate questions.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THE BOARD OF DIRECTORS RECOMMENDS A VOTE FOR THIS PROPOSAL.</w:t>
      </w:r>
    </w:p>
    <w:p>
      <w:pPr>
        <w:spacing w:after="0" w:line="200" w:lineRule="exact"/>
        <w:rPr>
          <w:sz w:val="20"/>
          <w:szCs w:val="20"/>
          <w:color w:val="auto"/>
        </w:rPr>
      </w:pPr>
    </w:p>
    <w:p>
      <w:pPr>
        <w:spacing w:after="0" w:line="37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b w:val="1"/>
          <w:bCs w:val="1"/>
          <w:color w:val="auto"/>
        </w:rPr>
        <w:t>SUBMISSION OF STOCKHOLDER PROPOSALS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Any stockholder proposal intended to be presented at next year's Annual Meeting must be received by the Company at its executive offices not later than December 13, 2002 in order to be considered for inclusion in the Company's proxy statement and form of proxy for such meeting. All notices should be sent to NN, Inc., Attention: Secretary, 2000 Waters Edge Drive, Johnson City, Tennessee 37604. If the proposal is received by the Company 45 days or fewer prior to the anniversary of the mailing date of this proxy statement, the persons named as proxy in the Company's 2002 proxy materials will have the discretionary authority to vote on the proposal or nominee in accordance with their best judgment without disclosure in this proxy statement of how they intend to vote on the proposal.</w:t>
      </w:r>
    </w:p>
    <w:p>
      <w:pPr>
        <w:spacing w:after="0" w:line="197"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b w:val="1"/>
          <w:bCs w:val="1"/>
          <w:color w:val="auto"/>
        </w:rPr>
        <w:t>INFORMATION ABOUT THE DIRECTORS</w:t>
      </w:r>
    </w:p>
    <w:p>
      <w:pPr>
        <w:sectPr>
          <w:pgSz w:w="11900" w:h="16838" w:orient="portrait"/>
          <w:cols w:equalWidth="0" w:num="1">
            <w:col w:w="10219"/>
          </w:cols>
          <w:pgMar w:left="240" w:top="142" w:right="1440" w:bottom="0" w:gutter="0" w:footer="0" w:header="0"/>
        </w:sectPr>
      </w:pPr>
    </w:p>
    <w:bookmarkStart w:id="5" w:name="page6"/>
    <w:bookmarkEnd w:id="5"/>
    <w:p>
      <w:pPr>
        <w:ind w:right="2559" w:firstLine="895"/>
        <w:spacing w:after="0" w:line="237" w:lineRule="auto"/>
        <w:rPr>
          <w:sz w:val="20"/>
          <w:szCs w:val="20"/>
          <w:color w:val="auto"/>
        </w:rPr>
      </w:pPr>
      <w:r>
        <w:rPr>
          <w:rFonts w:ascii="Courier New" w:cs="Courier New" w:eastAsia="Courier New" w:hAnsi="Courier New"/>
          <w:sz w:val="17"/>
          <w:szCs w:val="17"/>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jc w:val="right"/>
              <w:ind w:right="217"/>
              <w:spacing w:after="0"/>
              <w:rPr>
                <w:sz w:val="20"/>
                <w:szCs w:val="20"/>
                <w:color w:val="auto"/>
              </w:rPr>
            </w:pPr>
            <w:r>
              <w:rPr>
                <w:rFonts w:ascii="Courier New" w:cs="Courier New" w:eastAsia="Courier New" w:hAnsi="Courier New"/>
                <w:sz w:val="17"/>
                <w:szCs w:val="17"/>
                <w:b w:val="1"/>
                <w:bCs w:val="1"/>
                <w:i w:val="1"/>
                <w:iCs w:val="1"/>
                <w:color w:val="auto"/>
              </w:rPr>
              <w:t>Director</w:t>
            </w:r>
          </w:p>
        </w:tc>
        <w:tc>
          <w:tcPr>
            <w:tcW w:w="1340" w:type="dxa"/>
            <w:vAlign w:val="bottom"/>
          </w:tcPr>
          <w:p>
            <w:pPr>
              <w:ind w:left="500"/>
              <w:spacing w:after="0"/>
              <w:rPr>
                <w:sz w:val="20"/>
                <w:szCs w:val="20"/>
                <w:color w:val="auto"/>
              </w:rPr>
            </w:pPr>
            <w:r>
              <w:rPr>
                <w:rFonts w:ascii="Courier New" w:cs="Courier New" w:eastAsia="Courier New" w:hAnsi="Courier New"/>
                <w:sz w:val="17"/>
                <w:szCs w:val="17"/>
                <w:b w:val="1"/>
                <w:bCs w:val="1"/>
                <w:i w:val="1"/>
                <w:iCs w:val="1"/>
                <w:color w:val="auto"/>
              </w:rPr>
              <w:t>Term</w:t>
            </w:r>
          </w:p>
        </w:tc>
        <w:tc>
          <w:tcPr>
            <w:tcW w:w="114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b w:val="1"/>
                <w:bCs w:val="1"/>
                <w:i w:val="1"/>
                <w:iCs w:val="1"/>
                <w:color w:val="auto"/>
              </w:rPr>
              <w:t>Name</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b w:val="1"/>
                <w:bCs w:val="1"/>
                <w:i w:val="1"/>
                <w:iCs w:val="1"/>
                <w:color w:val="auto"/>
              </w:rPr>
              <w:t>Age</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b w:val="1"/>
                <w:bCs w:val="1"/>
                <w:i w:val="1"/>
                <w:iCs w:val="1"/>
                <w:color w:val="auto"/>
              </w:rPr>
              <w:t>Since</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b w:val="1"/>
                <w:bCs w:val="1"/>
                <w:i w:val="1"/>
                <w:iCs w:val="1"/>
                <w:color w:val="auto"/>
              </w:rPr>
              <w:t>Expires</w:t>
            </w:r>
          </w:p>
        </w:tc>
        <w:tc>
          <w:tcPr>
            <w:tcW w:w="39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b w:val="1"/>
                <w:bCs w:val="1"/>
                <w:i w:val="1"/>
                <w:iCs w:val="1"/>
                <w:color w:val="auto"/>
              </w:rPr>
              <w:t>Positions with the Company</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b w:val="1"/>
                <w:bCs w:val="1"/>
                <w:i w:val="1"/>
                <w:iCs w:val="1"/>
                <w:color w:val="auto"/>
              </w:rPr>
              <w:t>- ----</w:t>
            </w:r>
          </w:p>
        </w:tc>
        <w:tc>
          <w:tcPr>
            <w:tcW w:w="840" w:type="dxa"/>
            <w:vAlign w:val="bottom"/>
          </w:tcPr>
          <w:p>
            <w:pPr>
              <w:ind w:left="480"/>
              <w:spacing w:after="0" w:line="191" w:lineRule="exact"/>
              <w:rPr>
                <w:sz w:val="20"/>
                <w:szCs w:val="20"/>
                <w:color w:val="auto"/>
              </w:rPr>
            </w:pPr>
            <w:r>
              <w:rPr>
                <w:rFonts w:ascii="Courier New" w:cs="Courier New" w:eastAsia="Courier New" w:hAnsi="Courier New"/>
                <w:sz w:val="17"/>
                <w:szCs w:val="17"/>
                <w:b w:val="1"/>
                <w:bCs w:val="1"/>
                <w:i w:val="1"/>
                <w:iCs w:val="1"/>
                <w:color w:val="auto"/>
              </w:rPr>
              <w:t>---</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b w:val="1"/>
                <w:bCs w:val="1"/>
                <w:i w:val="1"/>
                <w:iCs w:val="1"/>
                <w:color w:val="auto"/>
              </w:rPr>
              <w:t>-----</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b w:val="1"/>
                <w:bCs w:val="1"/>
                <w:i w:val="1"/>
                <w:iCs w:val="1"/>
                <w:color w:val="auto"/>
              </w:rPr>
              <w:t>-------</w:t>
            </w:r>
          </w:p>
        </w:tc>
        <w:tc>
          <w:tcPr>
            <w:tcW w:w="39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b w:val="1"/>
                <w:bCs w:val="1"/>
                <w:i w:val="1"/>
                <w:iCs w:val="1"/>
                <w:color w:val="auto"/>
              </w:rPr>
              <w:t>--------------------------</w:t>
            </w:r>
          </w:p>
        </w:tc>
      </w:tr>
      <w:tr>
        <w:trPr>
          <w:trHeight w:val="383"/>
        </w:trPr>
        <w:tc>
          <w:tcPr>
            <w:tcW w:w="2000" w:type="dxa"/>
            <w:vAlign w:val="bottom"/>
          </w:tcPr>
          <w:p>
            <w:pPr>
              <w:spacing w:after="0"/>
              <w:rPr>
                <w:sz w:val="20"/>
                <w:szCs w:val="20"/>
                <w:color w:val="auto"/>
              </w:rPr>
            </w:pPr>
            <w:r>
              <w:rPr>
                <w:rFonts w:ascii="Courier New" w:cs="Courier New" w:eastAsia="Courier New" w:hAnsi="Courier New"/>
                <w:sz w:val="17"/>
                <w:szCs w:val="17"/>
                <w:color w:val="auto"/>
              </w:rPr>
              <w:t>Roderick R. Baty</w:t>
            </w:r>
          </w:p>
        </w:tc>
        <w:tc>
          <w:tcPr>
            <w:tcW w:w="840" w:type="dxa"/>
            <w:vAlign w:val="bottom"/>
          </w:tcPr>
          <w:p>
            <w:pPr>
              <w:ind w:left="280"/>
              <w:spacing w:after="0"/>
              <w:rPr>
                <w:sz w:val="20"/>
                <w:szCs w:val="20"/>
                <w:color w:val="auto"/>
              </w:rPr>
            </w:pPr>
            <w:r>
              <w:rPr>
                <w:rFonts w:ascii="Courier New" w:cs="Courier New" w:eastAsia="Courier New" w:hAnsi="Courier New"/>
                <w:sz w:val="17"/>
                <w:szCs w:val="17"/>
                <w:color w:val="auto"/>
              </w:rPr>
              <w:t>48</w:t>
            </w:r>
          </w:p>
        </w:tc>
        <w:tc>
          <w:tcPr>
            <w:tcW w:w="11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1995</w:t>
            </w:r>
          </w:p>
        </w:tc>
        <w:tc>
          <w:tcPr>
            <w:tcW w:w="1340" w:type="dxa"/>
            <w:vAlign w:val="bottom"/>
          </w:tcPr>
          <w:p>
            <w:pPr>
              <w:ind w:left="500"/>
              <w:spacing w:after="0"/>
              <w:rPr>
                <w:sz w:val="20"/>
                <w:szCs w:val="20"/>
                <w:color w:val="auto"/>
              </w:rPr>
            </w:pPr>
            <w:r>
              <w:rPr>
                <w:rFonts w:ascii="Courier New" w:cs="Courier New" w:eastAsia="Courier New" w:hAnsi="Courier New"/>
                <w:sz w:val="17"/>
                <w:szCs w:val="17"/>
                <w:color w:val="auto"/>
              </w:rPr>
              <w:t>2003</w:t>
            </w:r>
          </w:p>
        </w:tc>
        <w:tc>
          <w:tcPr>
            <w:tcW w:w="394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6"/>
              </w:rPr>
              <w:t>Chairman of the Board, Chief Executive</w:t>
            </w:r>
          </w:p>
        </w:tc>
      </w:tr>
      <w:tr>
        <w:trPr>
          <w:trHeight w:val="191"/>
        </w:trPr>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Officer,</w:t>
            </w:r>
          </w:p>
        </w:tc>
        <w:tc>
          <w:tcPr>
            <w:tcW w:w="2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 and Director</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Richard D. Ennen</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74</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1980</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2003</w:t>
            </w:r>
          </w:p>
        </w:tc>
        <w:tc>
          <w:tcPr>
            <w:tcW w:w="1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28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D. Huff</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54</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1980</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2004</w:t>
            </w:r>
          </w:p>
        </w:tc>
        <w:tc>
          <w:tcPr>
            <w:tcW w:w="1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28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E. Werner</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57</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1995</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2004</w:t>
            </w:r>
          </w:p>
        </w:tc>
        <w:tc>
          <w:tcPr>
            <w:tcW w:w="1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28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G. Ronald Morris</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65</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1994</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2002</w:t>
            </w:r>
          </w:p>
        </w:tc>
        <w:tc>
          <w:tcPr>
            <w:tcW w:w="39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Director - nominee for re-election</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Steven T. Warshaw</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53</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2002</w:t>
            </w:r>
          </w:p>
        </w:tc>
        <w:tc>
          <w:tcPr>
            <w:tcW w:w="39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Director - nominee for re-election</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L. Earsley</w:t>
            </w:r>
          </w:p>
        </w:tc>
        <w:tc>
          <w:tcPr>
            <w:tcW w:w="8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56</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1999</w:t>
            </w:r>
          </w:p>
        </w:tc>
        <w:tc>
          <w:tcPr>
            <w:tcW w:w="13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2002</w:t>
            </w:r>
          </w:p>
        </w:tc>
        <w:tc>
          <w:tcPr>
            <w:tcW w:w="39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Director - nominee for re-election</w:t>
            </w:r>
          </w:p>
        </w:tc>
      </w:tr>
    </w:tbl>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Precision Products from 1985 to 1990.</w:t>
      </w:r>
    </w:p>
    <w:p>
      <w:pPr>
        <w:spacing w:after="0" w:line="199"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Richard D. Ennen is the principal founder of the Company and has been a director of the Company since its formation in 1980. He served as Chairman of the Board of the Company from its inception until September 2001, Chief Executive Officer of the Company from its inception until 1997, and as President of the Company from its inception until 1990.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202" w:lineRule="exact"/>
        <w:rPr>
          <w:sz w:val="20"/>
          <w:szCs w:val="20"/>
          <w:color w:val="auto"/>
        </w:rPr>
      </w:pPr>
    </w:p>
    <w:p>
      <w:pPr>
        <w:ind w:right="1959" w:firstLine="796"/>
        <w:spacing w:after="0" w:line="237" w:lineRule="auto"/>
        <w:rPr>
          <w:sz w:val="20"/>
          <w:szCs w:val="20"/>
          <w:color w:val="auto"/>
        </w:rPr>
      </w:pPr>
      <w:r>
        <w:rPr>
          <w:rFonts w:ascii="Courier New" w:cs="Courier New" w:eastAsia="Courier New" w:hAnsi="Courier New"/>
          <w:sz w:val="17"/>
          <w:szCs w:val="17"/>
          <w:color w:val="auto"/>
        </w:rPr>
        <w:t>Michael D. Huff has served as a director of the Company since its formation in 1980. From 1980 until his retirement in January 1995, Mr. Huff served as the Chief Financial Officer, Treasurer and Secretary of the Company. Before joining the Company, Mr. Huff served as a division controller of Hoover Precision Products, Inc.</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from 1975 until 1980. Mr. Huff is a member of the American Institute of Certified Public Accountants and the Tennessee Society of Certified Public Accountants.</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Michael E. Werner is a management consultant with Werner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88"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20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Steven T. Warshaw served as President of Hexcel Schwebel, a global producer of advanced structural materials, from April 2000 to November 2001. Prior to this position, he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201" w:lineRule="exact"/>
        <w:rPr>
          <w:sz w:val="20"/>
          <w:szCs w:val="20"/>
          <w:color w:val="auto"/>
        </w:rPr>
      </w:pPr>
    </w:p>
    <w:p>
      <w:pPr>
        <w:jc w:val="both"/>
        <w:ind w:right="2559" w:firstLine="895"/>
        <w:spacing w:after="0" w:line="236" w:lineRule="auto"/>
        <w:rPr>
          <w:sz w:val="20"/>
          <w:szCs w:val="20"/>
          <w:color w:val="auto"/>
        </w:rPr>
      </w:pPr>
      <w:r>
        <w:rPr>
          <w:rFonts w:ascii="Courier New" w:cs="Courier New" w:eastAsia="Courier New" w:hAnsi="Courier New"/>
          <w:sz w:val="17"/>
          <w:szCs w:val="17"/>
          <w:color w:val="auto"/>
        </w:rPr>
        <w:t>James L. Earsley has spent his entire career with Industrial Molding Corporation (IMC) and was Chairman of the Board at the time of the Company's acquisition of IMC on July 4, 1999.</w:t>
      </w:r>
    </w:p>
    <w:p>
      <w:pPr>
        <w:sectPr>
          <w:pgSz w:w="11900" w:h="16838" w:orient="portrait"/>
          <w:cols w:equalWidth="0" w:num="1">
            <w:col w:w="10219"/>
          </w:cols>
          <w:pgMar w:left="240" w:top="333"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b w:val="1"/>
          <w:bCs w:val="1"/>
          <w:color w:val="auto"/>
        </w:rPr>
        <w:t>Stockholders Agreement</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The Company and the persons who were stockholders of the Company prior to its initial public offering are parties to an agreement which provides that, so long as the Ennen family which includes the immediate family members and ex-spouse of Mr. Ennen,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25, 2002, members of the Ennen family held, in the aggregate, approximately 20 percent of the outstanding shares of Common Stock, and the other parties to the Agreement held, in the aggregate, approximately 12% percent of the outstanding shares of Common Stock, for a combined total of 32%.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Compensation of Directors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Directors who are not employees of the Company are paid an annual retainer of $17,000 and a fee of $1,000 for each Board meeting attended, $750 for each committee meeting attended and $500 for each teleconference meeting attended. Directors who are employees of the Company do not receive any compensation for their service as directors. Directors may elect to defer some or all of the compensation they are provided by the Company. In addition, each Director who is not an employee of the Company received 5,000 stock options on September 17, 2001. The exercise price of the options was $8.09 per share, which was the closing price of the stock on Nasdaq on the date the option was granted. The term of the options is ten years from the date of grant. These options become fully vested on September 17, 2002. In the event of termination of service due to death or disability, the options become fully vested. The Company also reimburses all directors for out-of-pocket expenses incurred in attending Board and Committee meetings.</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Committees of the Board</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i w:val="1"/>
          <w:iCs w:val="1"/>
          <w:color w:val="auto"/>
        </w:rPr>
        <w:t xml:space="preserve">Audit Committee. </w:t>
      </w:r>
      <w:r>
        <w:rPr>
          <w:rFonts w:ascii="Courier New" w:cs="Courier New" w:eastAsia="Courier New" w:hAnsi="Courier New"/>
          <w:sz w:val="16"/>
          <w:szCs w:val="16"/>
          <w:color w:val="auto"/>
        </w:rPr>
        <w:t>The Audit Committee of the Board of Directors consists of</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Michael D. Huff,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two times in regards to 2001.</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i w:val="1"/>
          <w:iCs w:val="1"/>
          <w:color w:val="auto"/>
        </w:rPr>
        <w:t xml:space="preserve">Compensation Committee. </w:t>
      </w:r>
      <w:r>
        <w:rPr>
          <w:rFonts w:ascii="Courier New" w:cs="Courier New" w:eastAsia="Courier New" w:hAnsi="Courier New"/>
          <w:sz w:val="17"/>
          <w:szCs w:val="17"/>
          <w:color w:val="auto"/>
        </w:rPr>
        <w:t>The Compensation Committee of the Board of</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Directors consists of G. Ronald Morris, Michael E. Werner, James L. Earsley and Steven T. Warshaw. The Compensation Committee is responsible for reviewing and approving the Company's executive compensation policies and practices and supervising the administration of the Company's employee benefit plans, including the NN, Inc. Stock Incentive Plan. The functions of the Compensation Committee are discussed in further detail in the section entitled "Report of the Compensation Committee" herein. The Compensation Committee met one time in regards to 2001.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Attendance at Board and Committee Meetings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Board of Directors held six meetings in 2001. Each director of the Company was present for all of the meetings of the Board of Directors and each Committee on which such director served with the exception of one missed Board meeting by Richard D. Ennen.</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215900</wp:posOffset>
            </wp:positionV>
            <wp:extent cx="72796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b w:val="1"/>
          <w:bCs w:val="1"/>
          <w:color w:val="auto"/>
        </w:rPr>
        <w:t>EXECUTIVE COMPENSATION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following table sets forth for the years ended December 31, 1999, 2000 and 2001, certain information concerning the compensation paid for services rendered in all capacities by the Company, to each individual who served as the Chief Executive Officer and to each of the other four most highly compensated executive officers of the Company whose annual salary and bonus in 2001 exceeded $100,000 (the "Named Executive Officers").</w:t>
      </w:r>
    </w:p>
    <w:p>
      <w:pPr>
        <w:spacing w:after="0" w:line="19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b w:val="1"/>
          <w:bCs w:val="1"/>
          <w:color w:val="auto"/>
        </w:rPr>
        <w:t>SUMMARY COMPENSATION TABLE</w:t>
      </w:r>
    </w:p>
    <w:p>
      <w:pPr>
        <w:spacing w:after="0" w:line="381" w:lineRule="exact"/>
        <w:rPr>
          <w:sz w:val="20"/>
          <w:szCs w:val="20"/>
          <w:color w:val="auto"/>
        </w:rPr>
      </w:pPr>
    </w:p>
    <w:p>
      <w:pPr>
        <w:ind w:left="8060"/>
        <w:spacing w:after="0"/>
        <w:rPr>
          <w:sz w:val="20"/>
          <w:szCs w:val="20"/>
          <w:color w:val="auto"/>
        </w:rPr>
      </w:pPr>
      <w:r>
        <w:rPr>
          <w:rFonts w:ascii="Courier New" w:cs="Courier New" w:eastAsia="Courier New" w:hAnsi="Courier New"/>
          <w:sz w:val="17"/>
          <w:szCs w:val="17"/>
          <w:b w:val="1"/>
          <w:bCs w:val="1"/>
          <w:color w:val="auto"/>
        </w:rPr>
        <w:t>Long-Term</w:t>
      </w:r>
    </w:p>
    <w:p>
      <w:pPr>
        <w:jc w:val="right"/>
        <w:ind w:right="1059"/>
        <w:spacing w:after="0" w:line="238" w:lineRule="auto"/>
        <w:rPr>
          <w:sz w:val="20"/>
          <w:szCs w:val="20"/>
          <w:color w:val="auto"/>
        </w:rPr>
      </w:pPr>
      <w:r>
        <w:rPr>
          <w:rFonts w:ascii="Courier New" w:cs="Courier New" w:eastAsia="Courier New" w:hAnsi="Courier New"/>
          <w:sz w:val="17"/>
          <w:szCs w:val="17"/>
          <w:b w:val="1"/>
          <w:bCs w:val="1"/>
          <w:color w:val="auto"/>
        </w:rPr>
        <w:t>Compensation</w:t>
      </w:r>
    </w:p>
    <w:p>
      <w:pPr>
        <w:sectPr>
          <w:pgSz w:w="11900" w:h="16838" w:orient="portrait"/>
          <w:cols w:equalWidth="0" w:num="1">
            <w:col w:w="10219"/>
          </w:cols>
          <w:pgMar w:left="240" w:top="326"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jc w:val="right"/>
              <w:ind w:right="217"/>
              <w:spacing w:after="0"/>
              <w:rPr>
                <w:sz w:val="20"/>
                <w:szCs w:val="20"/>
                <w:color w:val="auto"/>
              </w:rPr>
            </w:pPr>
            <w:r>
              <w:rPr>
                <w:rFonts w:ascii="Courier New" w:cs="Courier New" w:eastAsia="Courier New" w:hAnsi="Courier New"/>
                <w:sz w:val="17"/>
                <w:szCs w:val="17"/>
                <w:b w:val="1"/>
                <w:bCs w:val="1"/>
                <w:color w:val="auto"/>
              </w:rPr>
              <w:t>Awards</w:t>
            </w:r>
          </w:p>
        </w:tc>
        <w:tc>
          <w:tcPr>
            <w:tcW w:w="1380" w:type="dxa"/>
            <w:vAlign w:val="bottom"/>
          </w:tcPr>
          <w:p>
            <w:pPr>
              <w:spacing w:after="0"/>
              <w:rPr>
                <w:sz w:val="16"/>
                <w:szCs w:val="16"/>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b w:val="1"/>
                <w:bCs w:val="1"/>
                <w:color w:val="auto"/>
              </w:rPr>
              <w:t>Name and</w:t>
            </w:r>
          </w:p>
        </w:tc>
        <w:tc>
          <w:tcPr>
            <w:tcW w:w="1040" w:type="dxa"/>
            <w:vAlign w:val="bottom"/>
          </w:tcPr>
          <w:p>
            <w:pPr>
              <w:spacing w:after="0"/>
              <w:rPr>
                <w:sz w:val="16"/>
                <w:szCs w:val="16"/>
                <w:color w:val="auto"/>
              </w:rPr>
            </w:pPr>
          </w:p>
        </w:tc>
        <w:tc>
          <w:tcPr>
            <w:tcW w:w="23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b w:val="1"/>
                <w:bCs w:val="1"/>
                <w:color w:val="auto"/>
              </w:rPr>
              <w:t>Annual Compensation</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3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b w:val="1"/>
                <w:bCs w:val="1"/>
                <w:color w:val="auto"/>
              </w:rPr>
              <w:t>All Other</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b w:val="1"/>
                <w:bCs w:val="1"/>
                <w:color w:val="auto"/>
              </w:rPr>
              <w:t>Principal</w:t>
            </w:r>
          </w:p>
        </w:tc>
        <w:tc>
          <w:tcPr>
            <w:tcW w:w="1040" w:type="dxa"/>
            <w:vAlign w:val="bottom"/>
          </w:tcPr>
          <w:p>
            <w:pPr>
              <w:spacing w:after="0"/>
              <w:rPr>
                <w:sz w:val="16"/>
                <w:szCs w:val="16"/>
                <w:color w:val="auto"/>
              </w:rPr>
            </w:pPr>
          </w:p>
        </w:tc>
        <w:tc>
          <w:tcPr>
            <w:tcW w:w="23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b w:val="1"/>
                <w:bCs w:val="1"/>
                <w:color w:val="auto"/>
              </w:rPr>
              <w:t>Options/</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b w:val="1"/>
                <w:bCs w:val="1"/>
                <w:color w:val="auto"/>
                <w:w w:val="94"/>
              </w:rPr>
              <w:t>Compensation</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b w:val="1"/>
                <w:bCs w:val="1"/>
                <w:color w:val="auto"/>
              </w:rPr>
              <w:t>Position</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b w:val="1"/>
                <w:bCs w:val="1"/>
                <w:color w:val="auto"/>
              </w:rPr>
              <w:t>Year</w:t>
            </w:r>
          </w:p>
        </w:tc>
        <w:tc>
          <w:tcPr>
            <w:tcW w:w="23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b w:val="1"/>
                <w:bCs w:val="1"/>
                <w:color w:val="auto"/>
              </w:rPr>
              <w:t>Salary ($) Bonus ($)</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b w:val="1"/>
                <w:bCs w:val="1"/>
                <w:color w:val="auto"/>
              </w:rPr>
              <w:t>SARs (#)</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b w:val="1"/>
                <w:bCs w:val="1"/>
                <w:color w:val="auto"/>
              </w:rPr>
              <w:t>($) (1)</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b w:val="1"/>
                <w:bCs w:val="1"/>
                <w:color w:val="auto"/>
              </w:rPr>
              <w:t>- --------</w:t>
            </w:r>
          </w:p>
        </w:tc>
        <w:tc>
          <w:tcPr>
            <w:tcW w:w="1040" w:type="dxa"/>
            <w:vAlign w:val="bottom"/>
          </w:tcPr>
          <w:p>
            <w:pPr>
              <w:ind w:left="50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 ---------</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b w:val="1"/>
                <w:bCs w:val="1"/>
                <w:color w:val="auto"/>
              </w:rPr>
              <w:t>-------</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Roderick R. Baty</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284,000</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0</w:t>
            </w:r>
          </w:p>
        </w:tc>
        <w:tc>
          <w:tcPr>
            <w:tcW w:w="10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75,000</w:t>
            </w:r>
          </w:p>
        </w:tc>
        <w:tc>
          <w:tcPr>
            <w:tcW w:w="13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3,821(2)</w:t>
            </w:r>
          </w:p>
        </w:tc>
      </w:tr>
      <w:tr>
        <w:trPr>
          <w:trHeight w:val="191"/>
        </w:trPr>
        <w:tc>
          <w:tcPr>
            <w:tcW w:w="46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Chairman/Chief Executive Officer/President</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248,312</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80,000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141,300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1,023</w:t>
            </w:r>
          </w:p>
        </w:tc>
      </w:tr>
      <w:tr>
        <w:trPr>
          <w:trHeight w:val="191"/>
        </w:trPr>
        <w:tc>
          <w:tcPr>
            <w:tcW w:w="4680" w:type="dxa"/>
            <w:vAlign w:val="bottom"/>
          </w:tcPr>
          <w:p>
            <w:pPr>
              <w:spacing w:after="0"/>
              <w:rPr>
                <w:sz w:val="16"/>
                <w:szCs w:val="16"/>
                <w:color w:val="auto"/>
              </w:rPr>
            </w:pP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210,137</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45,000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85,000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1,057</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Frank T. Gentry III</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179,000</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0</w:t>
            </w:r>
          </w:p>
        </w:tc>
        <w:tc>
          <w:tcPr>
            <w:tcW w:w="10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40,550</w:t>
            </w:r>
          </w:p>
        </w:tc>
        <w:tc>
          <w:tcPr>
            <w:tcW w:w="13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3,632(2)</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 Manufacturing</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152,252</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38,000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57,450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770</w:t>
            </w:r>
          </w:p>
        </w:tc>
      </w:tr>
      <w:tr>
        <w:trPr>
          <w:trHeight w:val="191"/>
        </w:trPr>
        <w:tc>
          <w:tcPr>
            <w:tcW w:w="4680" w:type="dxa"/>
            <w:vAlign w:val="bottom"/>
          </w:tcPr>
          <w:p>
            <w:pPr>
              <w:spacing w:after="0"/>
              <w:rPr>
                <w:sz w:val="16"/>
                <w:szCs w:val="16"/>
                <w:color w:val="auto"/>
              </w:rPr>
            </w:pP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124,667</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21,000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15,900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650</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David L. Dyckman</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179,000</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0</w:t>
            </w:r>
          </w:p>
        </w:tc>
        <w:tc>
          <w:tcPr>
            <w:tcW w:w="10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40,050</w:t>
            </w:r>
          </w:p>
        </w:tc>
        <w:tc>
          <w:tcPr>
            <w:tcW w:w="13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3,539(2)</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Officer/Vice President</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161,202</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38,000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32,950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633</w:t>
            </w:r>
          </w:p>
        </w:tc>
      </w:tr>
      <w:tr>
        <w:trPr>
          <w:trHeight w:val="191"/>
        </w:trPr>
        <w:tc>
          <w:tcPr>
            <w:tcW w:w="4680" w:type="dxa"/>
            <w:vAlign w:val="bottom"/>
          </w:tcPr>
          <w:p>
            <w:pPr>
              <w:spacing w:after="0"/>
              <w:rPr>
                <w:sz w:val="16"/>
                <w:szCs w:val="16"/>
                <w:color w:val="auto"/>
              </w:rPr>
            </w:pP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132,478</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23,000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18,000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609</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Robert R. Sams</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154,000</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0</w:t>
            </w:r>
          </w:p>
        </w:tc>
        <w:tc>
          <w:tcPr>
            <w:tcW w:w="10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21,600</w:t>
            </w:r>
          </w:p>
        </w:tc>
        <w:tc>
          <w:tcPr>
            <w:tcW w:w="13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3,205(2)</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 Market Services</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136,200</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29,000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32,400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640</w:t>
            </w:r>
          </w:p>
        </w:tc>
      </w:tr>
      <w:tr>
        <w:trPr>
          <w:trHeight w:val="191"/>
        </w:trPr>
        <w:tc>
          <w:tcPr>
            <w:tcW w:w="4680" w:type="dxa"/>
            <w:vAlign w:val="bottom"/>
          </w:tcPr>
          <w:p>
            <w:pPr>
              <w:spacing w:after="0"/>
              <w:rPr>
                <w:sz w:val="16"/>
                <w:szCs w:val="16"/>
                <w:color w:val="auto"/>
              </w:rPr>
            </w:pP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103,285</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16,600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810</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Richard D. Ennen</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140,763</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0</w:t>
            </w:r>
          </w:p>
        </w:tc>
        <w:tc>
          <w:tcPr>
            <w:tcW w:w="10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99,869(2)(3)</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Former Chairman</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200,604</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40,000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42,220</w:t>
            </w:r>
          </w:p>
        </w:tc>
      </w:tr>
      <w:tr>
        <w:trPr>
          <w:trHeight w:val="191"/>
        </w:trPr>
        <w:tc>
          <w:tcPr>
            <w:tcW w:w="4680" w:type="dxa"/>
            <w:vAlign w:val="bottom"/>
          </w:tcPr>
          <w:p>
            <w:pPr>
              <w:spacing w:after="0"/>
              <w:rPr>
                <w:sz w:val="16"/>
                <w:szCs w:val="16"/>
                <w:color w:val="auto"/>
              </w:rPr>
            </w:pP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200,000</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40,000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46,352</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William C. Kelly, Jr</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114,000</w:t>
            </w:r>
          </w:p>
        </w:tc>
        <w:tc>
          <w:tcPr>
            <w:tcW w:w="13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0</w:t>
            </w:r>
          </w:p>
        </w:tc>
        <w:tc>
          <w:tcPr>
            <w:tcW w:w="10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20,825</w:t>
            </w:r>
          </w:p>
        </w:tc>
        <w:tc>
          <w:tcPr>
            <w:tcW w:w="13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2,357(2)</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Accounting Officer/Secretary/Treasurer</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102,153</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21,000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19,800</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584</w:t>
            </w:r>
          </w:p>
        </w:tc>
      </w:tr>
      <w:tr>
        <w:trPr>
          <w:trHeight w:val="191"/>
        </w:trPr>
        <w:tc>
          <w:tcPr>
            <w:tcW w:w="4680" w:type="dxa"/>
            <w:vAlign w:val="bottom"/>
          </w:tcPr>
          <w:p>
            <w:pPr>
              <w:spacing w:after="0"/>
              <w:rPr>
                <w:sz w:val="16"/>
                <w:szCs w:val="16"/>
                <w:color w:val="auto"/>
              </w:rPr>
            </w:pP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83,077</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15,000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11,225</w:t>
            </w:r>
          </w:p>
        </w:tc>
        <w:tc>
          <w:tcPr>
            <w:tcW w:w="13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215900</wp:posOffset>
            </wp:positionV>
            <wp:extent cx="72796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hanging="498"/>
        <w:spacing w:after="0"/>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named executives other than Mr. Ennen, amounts for 2001 include</w:t>
      </w:r>
    </w:p>
    <w:p>
      <w:pPr>
        <w:spacing w:after="0" w:line="5" w:lineRule="exact"/>
        <w:rPr>
          <w:rFonts w:ascii="Courier New" w:cs="Courier New" w:eastAsia="Courier New" w:hAnsi="Courier New"/>
          <w:sz w:val="17"/>
          <w:szCs w:val="17"/>
          <w:color w:val="auto"/>
        </w:rPr>
      </w:pPr>
    </w:p>
    <w:p>
      <w:pPr>
        <w:ind w:left="500" w:right="348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$3,400, $3,400, $3,400, $3,080 and $2,280 in Company matching contributions under a "401(k)" savings plan for Messrs. Baty, Gentry, Dyckman, Sams and Kelly, respectively. This plan is open to substantially all of the Company's employees and officers who have met certain service and age requirements.</w:t>
      </w:r>
    </w:p>
    <w:p>
      <w:pPr>
        <w:spacing w:after="0" w:line="196" w:lineRule="exact"/>
        <w:rPr>
          <w:rFonts w:ascii="Courier New" w:cs="Courier New" w:eastAsia="Courier New" w:hAnsi="Courier New"/>
          <w:sz w:val="17"/>
          <w:szCs w:val="17"/>
          <w:color w:val="auto"/>
        </w:rPr>
      </w:pPr>
    </w:p>
    <w:p>
      <w:pPr>
        <w:ind w:left="500" w:right="3480" w:hanging="498"/>
        <w:spacing w:after="0" w:line="236"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reported for 2001 include $523, $5,237, $270, $133, $140 and $77 in premiums paid by the Company for supplemental life insurance for the benefit of Messrs. Baty, Ennen, Gentry, Dyckman, Sams and Kelly.</w:t>
      </w:r>
    </w:p>
    <w:p>
      <w:pPr>
        <w:spacing w:after="0" w:line="196" w:lineRule="exact"/>
        <w:rPr>
          <w:rFonts w:ascii="Courier New" w:cs="Courier New" w:eastAsia="Courier New" w:hAnsi="Courier New"/>
          <w:sz w:val="17"/>
          <w:szCs w:val="17"/>
          <w:color w:val="auto"/>
        </w:rPr>
      </w:pPr>
    </w:p>
    <w:p>
      <w:pPr>
        <w:ind w:left="500" w:right="3480" w:hanging="498"/>
        <w:spacing w:after="0" w:line="237"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for 2001 includes $35,395 in premiums paid by the Company on a $1,200,000 life insurance policy for Mr. Ennen, the proceeds of which are payable to his named beneficiaries. Additionally, included in the amount is $59,237 that represents compensation paid to Mr. Ennen after he no longer served as Chairman of the Board from September 5, 2001 until December 31, 2001.</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4127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b w:val="1"/>
          <w:bCs w:val="1"/>
          <w:color w:val="auto"/>
        </w:rPr>
        <w:t>OPTION GRANTS IN FISCAL YEAR 2001</w:t>
      </w:r>
    </w:p>
    <w:p>
      <w:pPr>
        <w:spacing w:after="0" w:line="196" w:lineRule="exact"/>
        <w:rPr>
          <w:sz w:val="20"/>
          <w:szCs w:val="20"/>
          <w:color w:val="auto"/>
        </w:rPr>
      </w:pPr>
    </w:p>
    <w:p>
      <w:pPr>
        <w:ind w:right="3980" w:firstLine="895"/>
        <w:spacing w:after="0" w:line="236" w:lineRule="auto"/>
        <w:rPr>
          <w:sz w:val="20"/>
          <w:szCs w:val="20"/>
          <w:color w:val="auto"/>
        </w:rPr>
      </w:pPr>
      <w:r>
        <w:rPr>
          <w:rFonts w:ascii="Courier New" w:cs="Courier New" w:eastAsia="Courier New" w:hAnsi="Courier New"/>
          <w:sz w:val="17"/>
          <w:szCs w:val="17"/>
          <w:color w:val="auto"/>
        </w:rPr>
        <w:t>The following table sets forth information with respect to options granted during fiscal 2001 to Executive Officers named in the Summary Compensation Table above.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b w:val="1"/>
                <w:bCs w:val="1"/>
                <w:color w:val="auto"/>
              </w:rPr>
              <w:t>Potential Realizable Value</w:t>
            </w:r>
          </w:p>
        </w:tc>
      </w:tr>
      <w:tr>
        <w:trPr>
          <w:trHeight w:val="191"/>
        </w:trPr>
        <w:tc>
          <w:tcPr>
            <w:tcW w:w="2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At Assumed Annual Rates Of</w:t>
            </w:r>
          </w:p>
        </w:tc>
      </w:tr>
      <w:tr>
        <w:trPr>
          <w:trHeight w:val="191"/>
        </w:trPr>
        <w:tc>
          <w:tcPr>
            <w:tcW w:w="2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b w:val="1"/>
                <w:bCs w:val="1"/>
                <w:color w:val="auto"/>
              </w:rPr>
              <w:t>Stock Price Appreciation</w:t>
            </w:r>
          </w:p>
        </w:tc>
      </w:tr>
      <w:tr>
        <w:trPr>
          <w:trHeight w:val="191"/>
        </w:trPr>
        <w:tc>
          <w:tcPr>
            <w:tcW w:w="2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b w:val="1"/>
                <w:bCs w:val="1"/>
                <w:color w:val="auto"/>
              </w:rPr>
              <w:t>Individual Grants</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b w:val="1"/>
                <w:bCs w:val="1"/>
                <w:color w:val="auto"/>
              </w:rPr>
              <w:t>For Option Term (2)</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b w:val="1"/>
                <w:bCs w:val="1"/>
                <w:color w:val="auto"/>
              </w:rPr>
              <w:t>Shares</w:t>
            </w:r>
          </w:p>
        </w:tc>
        <w:tc>
          <w:tcPr>
            <w:tcW w:w="2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16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b w:val="1"/>
                <w:bCs w:val="1"/>
                <w:color w:val="auto"/>
              </w:rPr>
              <w:t>Underlying</w:t>
            </w:r>
          </w:p>
        </w:tc>
        <w:tc>
          <w:tcPr>
            <w:tcW w:w="222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8"/>
              </w:rPr>
              <w:t>% Of Total Options</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2100" w:type="dxa"/>
            <w:vAlign w:val="bottom"/>
          </w:tcPr>
          <w:p>
            <w:pPr>
              <w:spacing w:after="0"/>
              <w:rPr>
                <w:sz w:val="16"/>
                <w:szCs w:val="16"/>
                <w:color w:val="auto"/>
              </w:rPr>
            </w:pPr>
          </w:p>
        </w:tc>
        <w:tc>
          <w:tcPr>
            <w:tcW w:w="1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b w:val="1"/>
                <w:bCs w:val="1"/>
                <w:color w:val="auto"/>
                <w:w w:val="95"/>
              </w:rPr>
              <w:t>Options Granted</w:t>
            </w:r>
          </w:p>
        </w:tc>
        <w:tc>
          <w:tcPr>
            <w:tcW w:w="222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7"/>
              </w:rPr>
              <w:t>Granted To Employees</w:t>
            </w:r>
          </w:p>
        </w:tc>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b w:val="1"/>
                <w:bCs w:val="1"/>
                <w:color w:val="auto"/>
              </w:rPr>
              <w:t>Exercise Price</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Expiration</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2100" w:type="dxa"/>
            <w:vAlign w:val="bottom"/>
          </w:tcPr>
          <w:p>
            <w:pPr>
              <w:ind w:left="1000"/>
              <w:spacing w:after="0" w:line="191" w:lineRule="exact"/>
              <w:rPr>
                <w:sz w:val="20"/>
                <w:szCs w:val="20"/>
                <w:color w:val="auto"/>
              </w:rPr>
            </w:pPr>
            <w:r>
              <w:rPr>
                <w:rFonts w:ascii="Courier New" w:cs="Courier New" w:eastAsia="Courier New" w:hAnsi="Courier New"/>
                <w:sz w:val="17"/>
                <w:szCs w:val="17"/>
                <w:b w:val="1"/>
                <w:bCs w:val="1"/>
                <w:color w:val="auto"/>
              </w:rPr>
              <w:t>Name</w:t>
            </w:r>
          </w:p>
        </w:tc>
        <w:tc>
          <w:tcPr>
            <w:tcW w:w="16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22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8"/>
              </w:rPr>
              <w:t>in Fiscal 2001</w:t>
            </w:r>
          </w:p>
        </w:tc>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b w:val="1"/>
                <w:bCs w:val="1"/>
                <w:color w:val="auto"/>
              </w:rPr>
              <w:t>Per Share (1)</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b w:val="1"/>
                <w:bCs w:val="1"/>
                <w:color w:val="auto"/>
              </w:rPr>
              <w:t>Date</w:t>
            </w:r>
          </w:p>
        </w:tc>
        <w:tc>
          <w:tcPr>
            <w:tcW w:w="1200" w:type="dxa"/>
            <w:vAlign w:val="bottom"/>
          </w:tcPr>
          <w:p>
            <w:pPr>
              <w:ind w:left="260"/>
              <w:spacing w:after="0" w:line="191" w:lineRule="exact"/>
              <w:rPr>
                <w:sz w:val="20"/>
                <w:szCs w:val="20"/>
                <w:color w:val="auto"/>
              </w:rPr>
            </w:pPr>
            <w:r>
              <w:rPr>
                <w:rFonts w:ascii="Courier New" w:cs="Courier New" w:eastAsia="Courier New" w:hAnsi="Courier New"/>
                <w:sz w:val="17"/>
                <w:szCs w:val="17"/>
                <w:b w:val="1"/>
                <w:bCs w:val="1"/>
                <w:color w:val="auto"/>
              </w:rPr>
              <w:t>5%</w:t>
            </w: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b w:val="1"/>
                <w:bCs w:val="1"/>
                <w:color w:val="auto"/>
              </w:rPr>
              <w:t>10%</w:t>
            </w:r>
          </w:p>
        </w:tc>
      </w:tr>
      <w:tr>
        <w:trPr>
          <w:trHeight w:val="191"/>
        </w:trPr>
        <w:tc>
          <w:tcPr>
            <w:tcW w:w="2100" w:type="dxa"/>
            <w:vAlign w:val="bottom"/>
          </w:tcPr>
          <w:p>
            <w:pPr>
              <w:ind w:left="100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6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2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200" w:type="dxa"/>
            <w:vAlign w:val="bottom"/>
          </w:tcPr>
          <w:p>
            <w:pPr>
              <w:ind w:left="26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b w:val="1"/>
                <w:bCs w:val="1"/>
                <w:color w:val="auto"/>
              </w:rPr>
              <w:t>---</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Roderick R. Baty</w:t>
            </w: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75,000</w:t>
            </w:r>
          </w:p>
        </w:tc>
        <w:tc>
          <w:tcPr>
            <w:tcW w:w="22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18.9%</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$ 8.09</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9/17/11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$ 381,582</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$ 967,003</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Frank T. Gentry III</w:t>
            </w: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40,550</w:t>
            </w:r>
          </w:p>
        </w:tc>
        <w:tc>
          <w:tcPr>
            <w:tcW w:w="22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10.2%</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$ 8.09</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9/17/11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$ 206,309</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$ 522,828</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L. Dyckman</w:t>
            </w: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40,050</w:t>
            </w:r>
          </w:p>
        </w:tc>
        <w:tc>
          <w:tcPr>
            <w:tcW w:w="22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10.1%</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$ 8.09</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9/17/11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$ 203,766</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$ 516,381</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Robert R. Sams</w:t>
            </w: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21,600</w:t>
            </w:r>
          </w:p>
        </w:tc>
        <w:tc>
          <w:tcPr>
            <w:tcW w:w="22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5.4%</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$ 8.09</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9/17/11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$ 109,896</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$ 278,497</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William C. Kelly, Jr.</w:t>
            </w: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20,825</w:t>
            </w:r>
          </w:p>
        </w:tc>
        <w:tc>
          <w:tcPr>
            <w:tcW w:w="22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5.3%</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$ 8.09</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9/17/11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$ 105,953</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$ 268,504</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Richard D. Ennen</w:t>
            </w:r>
          </w:p>
        </w:tc>
        <w:tc>
          <w:tcPr>
            <w:tcW w:w="16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0</w:t>
            </w:r>
          </w:p>
        </w:tc>
        <w:tc>
          <w:tcPr>
            <w:tcW w:w="222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left="900" w:right="3480" w:hanging="898"/>
        <w:spacing w:after="0" w:line="254" w:lineRule="auto"/>
        <w:tabs>
          <w:tab w:leader="none" w:pos="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is based on the Fair Market Value at the date of the grant of the option. The options have various vesting periods, ranging from one to three years, and the options terminate ten years from the date of grant, subject to earlier termination in certain conditions. The exercisability of the options is accelerated in the event of a</w:t>
      </w:r>
    </w:p>
    <w:p>
      <w:pPr>
        <w:sectPr>
          <w:pgSz w:w="11900" w:h="16838" w:orient="portrait"/>
          <w:cols w:equalWidth="0" w:num="1">
            <w:col w:w="11440"/>
          </w:cols>
          <w:pgMar w:left="240" w:top="135" w:right="219" w:bottom="0" w:gutter="0" w:footer="0" w:header="0"/>
        </w:sectPr>
      </w:pPr>
    </w:p>
    <w:bookmarkStart w:id="8" w:name="page9"/>
    <w:bookmarkEnd w:id="8"/>
    <w:p>
      <w:pPr>
        <w:ind w:left="900"/>
        <w:spacing w:after="0"/>
        <w:rPr>
          <w:sz w:val="20"/>
          <w:szCs w:val="20"/>
          <w:color w:val="auto"/>
        </w:rPr>
      </w:pPr>
      <w:r>
        <w:rPr>
          <w:rFonts w:ascii="Courier New" w:cs="Courier New" w:eastAsia="Courier New" w:hAnsi="Courier New"/>
          <w:sz w:val="17"/>
          <w:szCs w:val="17"/>
          <w:color w:val="auto"/>
        </w:rPr>
        <w:t>change of control (as defined in the option agreements).</w:t>
      </w:r>
    </w:p>
    <w:p>
      <w:pPr>
        <w:spacing w:after="0" w:line="196" w:lineRule="exact"/>
        <w:rPr>
          <w:sz w:val="20"/>
          <w:szCs w:val="20"/>
          <w:color w:val="auto"/>
        </w:rPr>
      </w:pPr>
    </w:p>
    <w:p>
      <w:pPr>
        <w:ind w:left="900" w:right="2459" w:hanging="898"/>
        <w:spacing w:after="0" w:line="254" w:lineRule="auto"/>
        <w:tabs>
          <w:tab w:leader="none" w:pos="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potential realizable values are based on assumed annualized rates of appreciation in the price of Common Stock of five percent and ten percent over the term of the options, as set forth in the rules of the Securities and Exchange Commission. Actual gains, if any, on stock option exercises are dependent upon the future performance of the Common Stock. There can be no assurance that the potential realizable values reflected in this table will be achieved.</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b w:val="1"/>
          <w:bCs w:val="1"/>
          <w:color w:val="auto"/>
        </w:rPr>
        <w:t>AGGREGATED OPTION EXERCISES IN 2001</w:t>
      </w:r>
    </w:p>
    <w:p>
      <w:pPr>
        <w:ind w:left="2680"/>
        <w:spacing w:after="0" w:line="238" w:lineRule="auto"/>
        <w:rPr>
          <w:sz w:val="20"/>
          <w:szCs w:val="20"/>
          <w:color w:val="auto"/>
        </w:rPr>
      </w:pPr>
      <w:r>
        <w:rPr>
          <w:rFonts w:ascii="Courier New" w:cs="Courier New" w:eastAsia="Courier New" w:hAnsi="Courier New"/>
          <w:sz w:val="17"/>
          <w:szCs w:val="17"/>
          <w:b w:val="1"/>
          <w:bCs w:val="1"/>
          <w:color w:val="auto"/>
        </w:rPr>
        <w:t>AND YEAR-END OPTION VALUES</w:t>
      </w:r>
    </w:p>
    <w:p>
      <w:pPr>
        <w:spacing w:after="0" w:line="197" w:lineRule="exact"/>
        <w:rPr>
          <w:sz w:val="20"/>
          <w:szCs w:val="20"/>
          <w:color w:val="auto"/>
        </w:rPr>
      </w:pPr>
    </w:p>
    <w:p>
      <w:pPr>
        <w:ind w:right="2659" w:firstLine="895"/>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concerning stock option exercises during 2001 and option values at year-end, with respect to stock options granted to the executive officers named in the Summary Compensation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jc w:val="center"/>
              <w:ind w:left="17"/>
              <w:spacing w:after="0"/>
              <w:rPr>
                <w:sz w:val="20"/>
                <w:szCs w:val="20"/>
                <w:color w:val="auto"/>
              </w:rPr>
            </w:pPr>
            <w:r>
              <w:rPr>
                <w:rFonts w:ascii="Courier New" w:cs="Courier New" w:eastAsia="Courier New" w:hAnsi="Courier New"/>
                <w:sz w:val="17"/>
                <w:szCs w:val="17"/>
                <w:b w:val="1"/>
                <w:bCs w:val="1"/>
                <w:color w:val="auto"/>
                <w:w w:val="97"/>
              </w:rPr>
              <w:t>Value of Unexercised</w:t>
            </w:r>
          </w:p>
        </w:tc>
      </w:tr>
      <w:tr>
        <w:trPr>
          <w:trHeight w:val="191"/>
        </w:trPr>
        <w:tc>
          <w:tcPr>
            <w:tcW w:w="2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b w:val="1"/>
                <w:bCs w:val="1"/>
                <w:color w:val="auto"/>
                <w:w w:val="98"/>
              </w:rPr>
              <w:t>In-The-Money</w:t>
            </w:r>
          </w:p>
        </w:tc>
      </w:tr>
      <w:tr>
        <w:trPr>
          <w:trHeight w:val="191"/>
        </w:trPr>
        <w:tc>
          <w:tcPr>
            <w:tcW w:w="2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20" w:type="dxa"/>
            <w:vAlign w:val="bottom"/>
            <w:gridSpan w:val="2"/>
          </w:tcPr>
          <w:p>
            <w:pPr>
              <w:jc w:val="center"/>
              <w:ind w:left="1157"/>
              <w:spacing w:after="0" w:line="191" w:lineRule="exact"/>
              <w:rPr>
                <w:sz w:val="20"/>
                <w:szCs w:val="20"/>
                <w:color w:val="auto"/>
              </w:rPr>
            </w:pPr>
            <w:r>
              <w:rPr>
                <w:rFonts w:ascii="Courier New" w:cs="Courier New" w:eastAsia="Courier New" w:hAnsi="Courier New"/>
                <w:sz w:val="17"/>
                <w:szCs w:val="17"/>
                <w:b w:val="1"/>
                <w:bCs w:val="1"/>
                <w:color w:val="auto"/>
                <w:w w:val="97"/>
              </w:rPr>
              <w:t>Number of Unexercised</w:t>
            </w: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7"/>
              </w:rPr>
              <w:t>Options</w:t>
            </w:r>
          </w:p>
        </w:tc>
      </w:tr>
      <w:tr>
        <w:trPr>
          <w:trHeight w:val="191"/>
        </w:trPr>
        <w:tc>
          <w:tcPr>
            <w:tcW w:w="2280" w:type="dxa"/>
            <w:vAlign w:val="bottom"/>
          </w:tcPr>
          <w:p>
            <w:pPr>
              <w:spacing w:after="0"/>
              <w:rPr>
                <w:sz w:val="16"/>
                <w:szCs w:val="16"/>
                <w:color w:val="auto"/>
              </w:rPr>
            </w:pPr>
          </w:p>
        </w:tc>
        <w:tc>
          <w:tcPr>
            <w:tcW w:w="166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7"/>
              </w:rPr>
              <w:t>Shares</w:t>
            </w:r>
          </w:p>
        </w:tc>
        <w:tc>
          <w:tcPr>
            <w:tcW w:w="1440" w:type="dxa"/>
            <w:vAlign w:val="bottom"/>
          </w:tcPr>
          <w:p>
            <w:pPr>
              <w:spacing w:after="0"/>
              <w:rPr>
                <w:sz w:val="16"/>
                <w:szCs w:val="16"/>
                <w:color w:val="auto"/>
              </w:rPr>
            </w:pP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b w:val="1"/>
                <w:bCs w:val="1"/>
                <w:color w:val="auto"/>
                <w:w w:val="96"/>
              </w:rPr>
              <w:t>Options at Year-End</w:t>
            </w: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8"/>
              </w:rPr>
              <w:t>at Year-End ($)</w:t>
            </w:r>
          </w:p>
        </w:tc>
      </w:tr>
      <w:tr>
        <w:trPr>
          <w:trHeight w:val="191"/>
        </w:trPr>
        <w:tc>
          <w:tcPr>
            <w:tcW w:w="2280" w:type="dxa"/>
            <w:vAlign w:val="bottom"/>
          </w:tcPr>
          <w:p>
            <w:pPr>
              <w:spacing w:after="0"/>
              <w:rPr>
                <w:sz w:val="16"/>
                <w:szCs w:val="16"/>
                <w:color w:val="auto"/>
              </w:rPr>
            </w:pPr>
          </w:p>
        </w:tc>
        <w:tc>
          <w:tcPr>
            <w:tcW w:w="166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b w:val="1"/>
                <w:bCs w:val="1"/>
                <w:color w:val="auto"/>
                <w:w w:val="97"/>
              </w:rPr>
              <w:t>Acquired on</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7"/>
              </w:rPr>
              <w:t>Value</w:t>
            </w:r>
          </w:p>
        </w:tc>
        <w:tc>
          <w:tcPr>
            <w:tcW w:w="2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b w:val="1"/>
                <w:bCs w:val="1"/>
                <w:color w:val="auto"/>
              </w:rPr>
              <w:t>Exercisable/</w:t>
            </w:r>
          </w:p>
        </w:tc>
        <w:tc>
          <w:tcPr>
            <w:tcW w:w="208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b w:val="1"/>
                <w:bCs w:val="1"/>
                <w:color w:val="auto"/>
                <w:w w:val="98"/>
              </w:rPr>
              <w:t>Exercisable/</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b w:val="1"/>
                <w:bCs w:val="1"/>
                <w:color w:val="auto"/>
              </w:rPr>
              <w:t>Name</w:t>
            </w:r>
          </w:p>
        </w:tc>
        <w:tc>
          <w:tcPr>
            <w:tcW w:w="1660" w:type="dxa"/>
            <w:vAlign w:val="bottom"/>
          </w:tcPr>
          <w:p>
            <w:pPr>
              <w:jc w:val="center"/>
              <w:spacing w:after="0" w:line="191" w:lineRule="exact"/>
              <w:rPr>
                <w:sz w:val="20"/>
                <w:szCs w:val="20"/>
                <w:color w:val="auto"/>
              </w:rPr>
            </w:pPr>
            <w:r>
              <w:rPr>
                <w:rFonts w:ascii="Courier New" w:cs="Courier New" w:eastAsia="Courier New" w:hAnsi="Courier New"/>
                <w:sz w:val="17"/>
                <w:szCs w:val="17"/>
                <w:b w:val="1"/>
                <w:bCs w:val="1"/>
                <w:color w:val="auto"/>
                <w:w w:val="98"/>
              </w:rPr>
              <w:t>Exercise (#)</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b w:val="1"/>
                <w:bCs w:val="1"/>
                <w:color w:val="auto"/>
                <w:w w:val="99"/>
              </w:rPr>
              <w:t>Realized ($)</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b w:val="1"/>
                <w:bCs w:val="1"/>
                <w:color w:val="auto"/>
                <w:w w:val="96"/>
              </w:rPr>
              <w:t>Unexercisable</w:t>
            </w:r>
          </w:p>
        </w:tc>
        <w:tc>
          <w:tcPr>
            <w:tcW w:w="208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b w:val="1"/>
                <w:bCs w:val="1"/>
                <w:color w:val="auto"/>
                <w:w w:val="98"/>
              </w:rPr>
              <w:t>Unexercisable(1)</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b w:val="1"/>
                <w:bCs w:val="1"/>
                <w:color w:val="auto"/>
              </w:rPr>
              <w:t>- ----</w:t>
            </w:r>
          </w:p>
        </w:tc>
        <w:tc>
          <w:tcPr>
            <w:tcW w:w="1660" w:type="dxa"/>
            <w:vAlign w:val="bottom"/>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w:t>
            </w:r>
          </w:p>
        </w:tc>
      </w:tr>
      <w:tr>
        <w:trPr>
          <w:trHeight w:val="383"/>
        </w:trPr>
        <w:tc>
          <w:tcPr>
            <w:tcW w:w="2280" w:type="dxa"/>
            <w:vAlign w:val="bottom"/>
          </w:tcPr>
          <w:p>
            <w:pPr>
              <w:spacing w:after="0"/>
              <w:rPr>
                <w:sz w:val="20"/>
                <w:szCs w:val="20"/>
                <w:color w:val="auto"/>
              </w:rPr>
            </w:pPr>
            <w:r>
              <w:rPr>
                <w:rFonts w:ascii="Courier New" w:cs="Courier New" w:eastAsia="Courier New" w:hAnsi="Courier New"/>
                <w:sz w:val="17"/>
                <w:szCs w:val="17"/>
                <w:color w:val="auto"/>
              </w:rPr>
              <w:t>Roderick R. Baty</w:t>
            </w:r>
          </w:p>
        </w:tc>
        <w:tc>
          <w:tcPr>
            <w:tcW w:w="166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0</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6"/>
              </w:rPr>
              <w:t>123,767/177,533</w:t>
            </w: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$565,225/$604,501</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Richard D. Ennen</w:t>
            </w:r>
          </w:p>
        </w:tc>
        <w:tc>
          <w:tcPr>
            <w:tcW w:w="166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0</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ind w:right="137"/>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Frank T. Gentry III</w:t>
            </w:r>
          </w:p>
        </w:tc>
        <w:tc>
          <w:tcPr>
            <w:tcW w:w="166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0</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35,050/78,850</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$150,247/$258,899</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L. Dyckman</w:t>
            </w:r>
          </w:p>
        </w:tc>
        <w:tc>
          <w:tcPr>
            <w:tcW w:w="166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0</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34,983/76,017</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$158,421/$269,296</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Robert T. Sams</w:t>
            </w:r>
          </w:p>
        </w:tc>
        <w:tc>
          <w:tcPr>
            <w:tcW w:w="166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0</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23,733/46,867</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$105,399/$161,231</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C. Kelly, Jr.</w:t>
            </w:r>
          </w:p>
        </w:tc>
        <w:tc>
          <w:tcPr>
            <w:tcW w:w="166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0</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16,033/35,817</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$72,380/$119,523</w:t>
            </w:r>
          </w:p>
        </w:tc>
      </w:tr>
    </w:tbl>
    <w:p>
      <w:pPr>
        <w:spacing w:after="0" w:line="196" w:lineRule="exact"/>
        <w:rPr>
          <w:sz w:val="20"/>
          <w:szCs w:val="20"/>
          <w:color w:val="auto"/>
        </w:rPr>
      </w:pPr>
    </w:p>
    <w:p>
      <w:pPr>
        <w:ind w:left="500" w:right="2459" w:hanging="498"/>
        <w:spacing w:after="0" w:line="235" w:lineRule="auto"/>
        <w:tabs>
          <w:tab w:leader="none" w:pos="5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31, 2001, the market price of the Common Stock was $11.15 per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Employment And Change Of Control Agreements With Executive Officers</w:t>
      </w:r>
    </w:p>
    <w:p>
      <w:pPr>
        <w:spacing w:after="0" w:line="196"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Messrs. Baty, Gentry, Dyckman, Sams and Kelly have written employment agreements to serve in their respective positions until July 31, 2001, March 31, 2001, January 20, 2004, January 20, 2004 and January 20, 2004, respectively. Each agreement extends automatically for successive one-year terms unless either party gives notice of termination. The Company may terminate each executive's employment with or without cause, but if terminated without cause, he would continue to receive his annual salary, paid on a monthly basis, for one year from the date of termination. Additionally, each executive officer has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Gentry - 2.0; Mr. Dyckman - 2.0; Mr. Sams - 2.0; and Mr. Kelly 1.5. Additionally, certain benefits will continue to be paid by the Company to each executive officer for a period of time of 30 months, 24 months, 24 months, 24 months and 18 months for Messrs. Baty, Gentry, Dyckman, Sams and Kelly, respectively. Each executive has also agreed to a non-competition agreement that ends two years after the conclusion of his employment with the Company.</w:t>
      </w:r>
    </w:p>
    <w:p>
      <w:pPr>
        <w:spacing w:after="0" w:line="200" w:lineRule="exact"/>
        <w:rPr>
          <w:sz w:val="20"/>
          <w:szCs w:val="20"/>
          <w:color w:val="auto"/>
        </w:rPr>
      </w:pPr>
    </w:p>
    <w:p>
      <w:pPr>
        <w:spacing w:after="0" w:line="37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b w:val="1"/>
          <w:bCs w:val="1"/>
          <w:color w:val="auto"/>
        </w:rPr>
        <w:t>BOARD OF DIRECTOR'S AUDIT COMMITTEE</w:t>
      </w:r>
    </w:p>
    <w:p>
      <w:pPr>
        <w:ind w:left="2880"/>
        <w:spacing w:after="0" w:line="238" w:lineRule="auto"/>
        <w:rPr>
          <w:sz w:val="20"/>
          <w:szCs w:val="20"/>
          <w:color w:val="auto"/>
        </w:rPr>
      </w:pPr>
      <w:r>
        <w:rPr>
          <w:rFonts w:ascii="Courier New" w:cs="Courier New" w:eastAsia="Courier New" w:hAnsi="Courier New"/>
          <w:sz w:val="17"/>
          <w:szCs w:val="17"/>
          <w:b w:val="1"/>
          <w:bCs w:val="1"/>
          <w:color w:val="auto"/>
        </w:rPr>
        <w:t>REPORT TO STOCKHOLDERS</w:t>
      </w:r>
    </w:p>
    <w:p>
      <w:pPr>
        <w:spacing w:after="0" w:line="197" w:lineRule="exact"/>
        <w:rPr>
          <w:sz w:val="20"/>
          <w:szCs w:val="20"/>
          <w:color w:val="auto"/>
        </w:rPr>
      </w:pPr>
    </w:p>
    <w:p>
      <w:pPr>
        <w:ind w:right="2559" w:firstLine="895"/>
        <w:spacing w:after="0" w:line="237" w:lineRule="auto"/>
        <w:rPr>
          <w:sz w:val="20"/>
          <w:szCs w:val="20"/>
          <w:color w:val="auto"/>
        </w:rPr>
      </w:pPr>
      <w:r>
        <w:rPr>
          <w:rFonts w:ascii="Courier New" w:cs="Courier New" w:eastAsia="Courier New" w:hAnsi="Courier New"/>
          <w:sz w:val="17"/>
          <w:szCs w:val="17"/>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independent auditors have responsibility for the examination of those statements. Each of the members of the Audit Committee meets the independence requirements of the NASDAQ Stock Market.</w:t>
      </w:r>
    </w:p>
    <w:p>
      <w:pPr>
        <w:spacing w:after="0" w:line="200"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The Audit Committee has reviewed and discussed with the Company's management and KPMG LLP, the Company's independent auditor, the audited financial statements of the Company for 2001; has discussed with KPMG LLP matters required to be discussed by Statement on Auditing Standards No. 61; has received from the independent auditors the written disclosures and letter required by Independence Standards No. 1; and has discussed with the independent auditor the auditor's independence, including whether KPMG LLP's provision of non-audit services to the Company was compatible with maintaining KPMG LLP's</w:t>
      </w:r>
    </w:p>
    <w:p>
      <w:pPr>
        <w:sectPr>
          <w:pgSz w:w="11900" w:h="16838" w:orient="portrait"/>
          <w:cols w:equalWidth="0" w:num="1">
            <w:col w:w="10219"/>
          </w:cols>
          <w:pgMar w:left="240" w:top="135" w:right="1440" w:bottom="0" w:gutter="0" w:footer="0" w:header="0"/>
        </w:sectPr>
      </w:pPr>
    </w:p>
    <w:bookmarkStart w:id="9" w:name="page10"/>
    <w:bookmarkEnd w:id="9"/>
    <w:p>
      <w:pPr>
        <w:ind w:right="2259"/>
        <w:spacing w:after="0" w:line="237" w:lineRule="auto"/>
        <w:rPr>
          <w:sz w:val="20"/>
          <w:szCs w:val="20"/>
          <w:color w:val="auto"/>
        </w:rPr>
      </w:pPr>
      <w:r>
        <w:rPr>
          <w:rFonts w:ascii="Courier New" w:cs="Courier New" w:eastAsia="Courier New" w:hAnsi="Courier New"/>
          <w:sz w:val="17"/>
          <w:szCs w:val="17"/>
          <w:color w:val="auto"/>
        </w:rPr>
        <w:t>independence. Based on the review and discussions described above, the Audit Committee recommended to the Company's Board of Directors that the audited financial statements be included in the Company's Annual Report on Form 10-K for the fiscal year ended December 31, 2001 for filing with the Securities and Exchange Commission.</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659" w:firstLine="895"/>
        <w:spacing w:after="0" w:line="235" w:lineRule="auto"/>
        <w:rPr>
          <w:sz w:val="20"/>
          <w:szCs w:val="20"/>
          <w:color w:val="auto"/>
        </w:rPr>
      </w:pPr>
      <w:r>
        <w:rPr>
          <w:rFonts w:ascii="Courier New" w:cs="Courier New" w:eastAsia="Courier New" w:hAnsi="Courier New"/>
          <w:sz w:val="17"/>
          <w:szCs w:val="17"/>
          <w:color w:val="auto"/>
        </w:rPr>
        <w:t>On June 5, 2000, the Audit Committee presented to the Board and the Board adopted a written charter for the Audit Committee.</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Michael D. Huff</w:t>
      </w:r>
    </w:p>
    <w:p>
      <w:pPr>
        <w:ind w:left="3180"/>
        <w:spacing w:after="0" w:line="238" w:lineRule="auto"/>
        <w:rPr>
          <w:sz w:val="20"/>
          <w:szCs w:val="20"/>
          <w:color w:val="auto"/>
        </w:rPr>
      </w:pPr>
      <w:r>
        <w:rPr>
          <w:rFonts w:ascii="Courier New" w:cs="Courier New" w:eastAsia="Courier New" w:hAnsi="Courier New"/>
          <w:sz w:val="17"/>
          <w:szCs w:val="17"/>
          <w:color w:val="auto"/>
        </w:rPr>
        <w:t>Michael E. Werner</w:t>
      </w:r>
    </w:p>
    <w:p>
      <w:pPr>
        <w:ind w:left="3180"/>
        <w:spacing w:after="0" w:line="238" w:lineRule="auto"/>
        <w:rPr>
          <w:sz w:val="20"/>
          <w:szCs w:val="20"/>
          <w:color w:val="auto"/>
        </w:rPr>
      </w:pPr>
      <w:r>
        <w:rPr>
          <w:rFonts w:ascii="Courier New" w:cs="Courier New" w:eastAsia="Courier New" w:hAnsi="Courier New"/>
          <w:sz w:val="17"/>
          <w:szCs w:val="17"/>
          <w:color w:val="auto"/>
        </w:rPr>
        <w:t>Steven T. Warshaw</w:t>
      </w:r>
    </w:p>
    <w:p>
      <w:pPr>
        <w:spacing w:after="0" w:line="382"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b w:val="1"/>
          <w:bCs w:val="1"/>
          <w:color w:val="auto"/>
        </w:rPr>
        <w:t>FEES PAID TO INDEPENDENT AUDITORS</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Fees billed to the Company by KPMG LLP in fiscal year 2001 may be summarized as follows:</w:t>
      </w:r>
    </w:p>
    <w:p>
      <w:pPr>
        <w:spacing w:after="0" w:line="197"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i w:val="1"/>
          <w:iCs w:val="1"/>
          <w:color w:val="auto"/>
        </w:rPr>
        <w:t xml:space="preserve">Audit Fees. </w:t>
      </w:r>
      <w:r>
        <w:rPr>
          <w:rFonts w:ascii="Courier New" w:cs="Courier New" w:eastAsia="Courier New" w:hAnsi="Courier New"/>
          <w:sz w:val="17"/>
          <w:szCs w:val="17"/>
          <w:color w:val="auto"/>
        </w:rPr>
        <w:t>Audit fees billed or expected to be billed to the Company</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by KPMG LLP for review of the Company's annual financial statements and those financial statements included in the Company's quarterly reports on Form 10-Q totaled $310,221.</w:t>
      </w:r>
    </w:p>
    <w:p>
      <w:pPr>
        <w:spacing w:after="0" w:line="199" w:lineRule="exact"/>
        <w:rPr>
          <w:sz w:val="20"/>
          <w:szCs w:val="20"/>
          <w:color w:val="auto"/>
        </w:rPr>
      </w:pPr>
    </w:p>
    <w:p>
      <w:pPr>
        <w:ind w:right="2859" w:firstLine="895"/>
        <w:spacing w:after="0" w:line="236" w:lineRule="auto"/>
        <w:rPr>
          <w:sz w:val="20"/>
          <w:szCs w:val="20"/>
          <w:color w:val="auto"/>
        </w:rPr>
      </w:pPr>
      <w:r>
        <w:rPr>
          <w:rFonts w:ascii="Courier New" w:cs="Courier New" w:eastAsia="Courier New" w:hAnsi="Courier New"/>
          <w:sz w:val="17"/>
          <w:szCs w:val="17"/>
          <w:i w:val="1"/>
          <w:iCs w:val="1"/>
          <w:color w:val="auto"/>
        </w:rPr>
        <w:t xml:space="preserve">Financial Information Systems Design and Implementation Fees. </w:t>
      </w:r>
      <w:r>
        <w:rPr>
          <w:rFonts w:ascii="Courier New" w:cs="Courier New" w:eastAsia="Courier New" w:hAnsi="Courier New"/>
          <w:sz w:val="17"/>
          <w:szCs w:val="17"/>
          <w:color w:val="auto"/>
        </w:rPr>
        <w:t>The</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Company did not engage KPMG during fiscal year 2001 to provide services regarding financial information systems.</w:t>
      </w:r>
    </w:p>
    <w:p>
      <w:pPr>
        <w:spacing w:after="0" w:line="197"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i w:val="1"/>
          <w:iCs w:val="1"/>
          <w:color w:val="auto"/>
        </w:rPr>
        <w:t xml:space="preserve">All Other Fees. </w:t>
      </w:r>
      <w:r>
        <w:rPr>
          <w:rFonts w:ascii="Courier New" w:cs="Courier New" w:eastAsia="Courier New" w:hAnsi="Courier New"/>
          <w:sz w:val="17"/>
          <w:szCs w:val="17"/>
          <w:color w:val="auto"/>
        </w:rPr>
        <w:t>Non-audit fees billed to the Company by KPMG LLP for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other non-audit related work performed in 2002 equaled $167,617 which included billings for tax consulting.</w:t>
      </w:r>
    </w:p>
    <w:p>
      <w:pPr>
        <w:spacing w:after="0" w:line="382"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b w:val="1"/>
          <w:bCs w:val="1"/>
          <w:color w:val="auto"/>
        </w:rPr>
        <w:t>REPORT OF THE COMPENSATION COMMITTEE</w:t>
      </w:r>
    </w:p>
    <w:p>
      <w:pPr>
        <w:spacing w:after="0" w:line="196" w:lineRule="exact"/>
        <w:rPr>
          <w:sz w:val="20"/>
          <w:szCs w:val="20"/>
          <w:color w:val="auto"/>
        </w:rPr>
      </w:pPr>
    </w:p>
    <w:p>
      <w:pPr>
        <w:ind w:right="1959" w:firstLine="796"/>
        <w:spacing w:after="0" w:line="237" w:lineRule="auto"/>
        <w:rPr>
          <w:sz w:val="20"/>
          <w:szCs w:val="20"/>
          <w:color w:val="auto"/>
        </w:rPr>
      </w:pPr>
      <w:r>
        <w:rPr>
          <w:rFonts w:ascii="Courier New" w:cs="Courier New" w:eastAsia="Courier New" w:hAnsi="Courier New"/>
          <w:sz w:val="17"/>
          <w:szCs w:val="17"/>
          <w:color w:val="auto"/>
        </w:rPr>
        <w:t>The Compensation Committee of the Board of Directors is responsible for the oversight of the Company's compensation policies. The membership of the Compensation Committee during 2001 consisted of G. Ronald Morris, Michael E. Werner, Steven T. Warshaw and James L. Earsley. The report of the Committee on executive officer compensation for 2001 is set forth below.</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Compensation Principles</w:t>
      </w:r>
    </w:p>
    <w:p>
      <w:pPr>
        <w:spacing w:after="0" w:line="196"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186" w:lineRule="exact"/>
        <w:rPr>
          <w:sz w:val="20"/>
          <w:szCs w:val="20"/>
          <w:color w:val="auto"/>
        </w:rPr>
      </w:pPr>
    </w:p>
    <w:p>
      <w:pPr>
        <w:ind w:left="500" w:right="3059" w:hanging="498"/>
        <w:spacing w:after="0" w:line="235"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attracting and retaining qualified and dedicated executives who are essential to the long-term success of the Company;</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providing compensation packages that are competitive with the compensation arrangements offered by comparable companies, including the Company's competitors;</w:t>
      </w:r>
    </w:p>
    <w:p>
      <w:pPr>
        <w:spacing w:after="0" w:line="196" w:lineRule="exact"/>
        <w:rPr>
          <w:rFonts w:ascii="Courier New" w:cs="Courier New" w:eastAsia="Courier New" w:hAnsi="Courier New"/>
          <w:sz w:val="17"/>
          <w:szCs w:val="17"/>
          <w:color w:val="auto"/>
        </w:rPr>
      </w:pPr>
    </w:p>
    <w:p>
      <w:pPr>
        <w:ind w:left="500" w:right="2459" w:hanging="498"/>
        <w:spacing w:after="0" w:line="235"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tying a significant portion of an executive officer's compensation to the Company's and the individual's performance; and</w:t>
      </w:r>
    </w:p>
    <w:p>
      <w:pPr>
        <w:spacing w:after="0" w:line="196" w:lineRule="exact"/>
        <w:rPr>
          <w:rFonts w:ascii="Courier New" w:cs="Courier New" w:eastAsia="Courier New" w:hAnsi="Courier New"/>
          <w:sz w:val="17"/>
          <w:szCs w:val="17"/>
          <w:color w:val="auto"/>
        </w:rPr>
      </w:pPr>
    </w:p>
    <w:p>
      <w:pPr>
        <w:ind w:left="500" w:right="2659" w:hanging="498"/>
        <w:spacing w:after="0" w:line="235"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aligning the interests of management with the interests of the stockholders through stock-based compensation arrangements.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In 2001, the components of the Company's executive compensation arrangements consisted of salary, cash bonus opportunities and stock option awards pursuant to the Stock Incentive Plan.</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Executive Officer Compensation</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As a general matter, the Company believes the interests of the Company and its stockholders are best served by developing and maintaining compensation policies that are consistent and market competitive with peer group industrial companies. In this regard, the Compensation Committee of the Board of Directors commissioned an independent compensation and benefits consulting firm to conduct a review of the key executive positions within NN, Inc. This review incorporated twenty-two distinct executive positions and over thirty individual executives within the Company. The review benchmarked a peer group of public industrial companies using the following criteria: performance (revenue growth, EPS growth,</w:t>
      </w:r>
    </w:p>
    <w:p>
      <w:pPr>
        <w:sectPr>
          <w:pgSz w:w="11900" w:h="16838" w:orient="portrait"/>
          <w:cols w:equalWidth="0" w:num="1">
            <w:col w:w="10219"/>
          </w:cols>
          <w:pgMar w:left="240" w:top="142" w:right="1440" w:bottom="0" w:gutter="0" w:footer="0" w:header="0"/>
        </w:sectPr>
      </w:pPr>
    </w:p>
    <w:bookmarkStart w:id="10" w:name="page11"/>
    <w:bookmarkEnd w:id="10"/>
    <w:p>
      <w:pPr>
        <w:ind w:right="2259"/>
        <w:spacing w:after="0" w:line="237" w:lineRule="auto"/>
        <w:rPr>
          <w:sz w:val="20"/>
          <w:szCs w:val="20"/>
          <w:color w:val="auto"/>
        </w:rPr>
      </w:pPr>
      <w:r>
        <w:rPr>
          <w:rFonts w:ascii="Courier New" w:cs="Courier New" w:eastAsia="Courier New" w:hAnsi="Courier New"/>
          <w:sz w:val="17"/>
          <w:szCs w:val="17"/>
          <w:color w:val="auto"/>
        </w:rPr>
        <w:t>return on net assets, return on equity, and total stockholder return), executive pay, annual incentive/bonus, benefits, and stock incentive awards. NN, Inc.'s performance and compensation plans were compared to the benchmarked companies for purposes of establishing a more structured compensation program in the Company</w:t>
      </w:r>
    </w:p>
    <w:p>
      <w:pPr>
        <w:spacing w:after="0" w:line="197"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Committee directed Mr. Baty to develop revisions to the Company's compensation policies, (other than himself) based upon the recommendations of the review. The major changes included a formal salary grade structure that established five levels of executive compensation within the Company. Base salary ranges (low, mid and high) were established for each salary grade. In addition, the annual incentive bonus plan was formalized to include threshold, target, and maximum awards based upon pre-established financial performance criteria. For 2001, bonus objectives were established on the basis of achieving net income goals for each operating business unit and the total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Salary</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salary levels for the Company's executive officers and managers are generally reviewed and determined biannually. On the basis of the overall economic recession and corresponding reductions in the Company's profitability in 2001, no adjustment to executive officer compensation occurred during 2001. The Company also established a salary freeze in 2001 in response to the poor economic climate in the U.S. Increases in base compensation amounts outlined in the summary compensation table for 2001 are a result of full year adjustments to salaries that occurred in August 2000.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Annual Bonus</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Company's established objectives for net income were not achieved for 2001; therefore no bonus payments were made to the named executive officers as set forth in the summary compensation table.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Stock Incentive Plan</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was amended at the 1999 and 2001 annual meetings by an affirmative vote of the holders of a majority of the outstanding shares of the common stock to increase the number of shares available for issuance pursuant to awards made under the plan from 1,125,000 to 1,625,000 and from 1,625,000 to 2,450,000 respectively.</w:t>
      </w:r>
    </w:p>
    <w:p>
      <w:pPr>
        <w:spacing w:after="0" w:line="20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awarded options to purchase in aggregate 396,375 shares of common stock to five of its executive officers and other key employees during 2001. With respect to the options awarded, the committee utilized a newly established structure based upon the following: recommendations from the independent compensation review, Mr. Baty's recommendations (other than himself), and rewards to such officers and other key employees for superior performance and to provide financial incentives for such officers and employees to continue to perform in a superior manner.</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Compensation of the Chief Executive Officer</w:t>
      </w:r>
    </w:p>
    <w:p>
      <w:pPr>
        <w:spacing w:after="0" w:line="196"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in light of the Company's performance.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Compliance with Internal Revenue Code Section 162(m)</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2001 will exceed the limit imposed by Section 162(m).</w:t>
      </w:r>
    </w:p>
    <w:p>
      <w:pPr>
        <w:spacing w:after="0" w:line="386"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G. Ronald Morris</w:t>
      </w:r>
    </w:p>
    <w:p>
      <w:pPr>
        <w:ind w:left="3180"/>
        <w:spacing w:after="0" w:line="238" w:lineRule="auto"/>
        <w:rPr>
          <w:sz w:val="20"/>
          <w:szCs w:val="20"/>
          <w:color w:val="auto"/>
        </w:rPr>
      </w:pPr>
      <w:r>
        <w:rPr>
          <w:rFonts w:ascii="Courier New" w:cs="Courier New" w:eastAsia="Courier New" w:hAnsi="Courier New"/>
          <w:sz w:val="17"/>
          <w:szCs w:val="17"/>
          <w:color w:val="auto"/>
        </w:rPr>
        <w:t>Michael E. Werner</w:t>
      </w:r>
    </w:p>
    <w:p>
      <w:pPr>
        <w:ind w:left="3180"/>
        <w:spacing w:after="0" w:line="238" w:lineRule="auto"/>
        <w:rPr>
          <w:sz w:val="20"/>
          <w:szCs w:val="20"/>
          <w:color w:val="auto"/>
        </w:rPr>
      </w:pPr>
      <w:r>
        <w:rPr>
          <w:rFonts w:ascii="Courier New" w:cs="Courier New" w:eastAsia="Courier New" w:hAnsi="Courier New"/>
          <w:sz w:val="17"/>
          <w:szCs w:val="17"/>
          <w:color w:val="auto"/>
        </w:rPr>
        <w:t>Steven T. Warshaw</w:t>
      </w:r>
    </w:p>
    <w:p>
      <w:pPr>
        <w:ind w:left="3180"/>
        <w:spacing w:after="0"/>
        <w:rPr>
          <w:sz w:val="20"/>
          <w:szCs w:val="20"/>
          <w:color w:val="auto"/>
        </w:rPr>
      </w:pPr>
      <w:r>
        <w:rPr>
          <w:rFonts w:ascii="Courier New" w:cs="Courier New" w:eastAsia="Courier New" w:hAnsi="Courier New"/>
          <w:sz w:val="17"/>
          <w:szCs w:val="17"/>
          <w:color w:val="auto"/>
        </w:rPr>
        <w:t>James L Earsley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78"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b w:val="1"/>
          <w:bCs w:val="1"/>
          <w:color w:val="auto"/>
        </w:rPr>
        <w:t>PERFORMANCE GRAPH</w:t>
      </w:r>
    </w:p>
    <w:p>
      <w:pPr>
        <w:sectPr>
          <w:pgSz w:w="11900" w:h="16838" w:orient="portrait"/>
          <w:cols w:equalWidth="0" w:num="1">
            <w:col w:w="10219"/>
          </w:cols>
          <w:pgMar w:left="240" w:top="142" w:right="1440" w:bottom="0" w:gutter="0" w:footer="0" w:header="0"/>
          <w:type w:val="continuous"/>
        </w:sectPr>
      </w:pPr>
    </w:p>
    <w:bookmarkStart w:id="11" w:name="page12"/>
    <w:bookmarkEnd w:id="11"/>
    <w:p>
      <w:pPr>
        <w:ind w:right="3560" w:firstLine="895"/>
        <w:spacing w:after="0" w:line="237" w:lineRule="auto"/>
        <w:rPr>
          <w:sz w:val="20"/>
          <w:szCs w:val="20"/>
          <w:color w:val="auto"/>
        </w:rPr>
      </w:pPr>
      <w:r>
        <w:rPr>
          <w:rFonts w:ascii="Courier New" w:cs="Courier New" w:eastAsia="Courier New" w:hAnsi="Courier New"/>
          <w:sz w:val="17"/>
          <w:szCs w:val="17"/>
          <w:color w:val="auto"/>
        </w:rPr>
        <w:t>The following graph compares the cumulative total stockholder return on the Company's Common Stock (consisting of stock price performance and reinvested dividends) from December 31, 1996 with the cumulative total return (assuming reinvestment of all dividends) of (i) the Value Line Machinery Industry Stock Index and (ii) the Standard &amp; Poor's 500 Stock Index, for the period December 31, 1996 through December 31, 2001.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1996. There can be no assurances that the performance of the Common Stock will continue in the future with the same or similar trend depicted on the graph.</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279640" cy="4182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418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80" w:type="dxa"/>
            <w:vAlign w:val="bottom"/>
            <w:gridSpan w:val="3"/>
          </w:tcPr>
          <w:p>
            <w:pPr>
              <w:ind w:left="1060"/>
              <w:spacing w:after="0"/>
              <w:rPr>
                <w:sz w:val="20"/>
                <w:szCs w:val="20"/>
                <w:color w:val="auto"/>
              </w:rPr>
            </w:pPr>
            <w:r>
              <w:rPr>
                <w:rFonts w:ascii="Courier New" w:cs="Courier New" w:eastAsia="Courier New" w:hAnsi="Courier New"/>
                <w:sz w:val="17"/>
                <w:szCs w:val="17"/>
                <w:b w:val="1"/>
                <w:bCs w:val="1"/>
                <w:color w:val="auto"/>
              </w:rPr>
              <w:t>Cumulative Total Stockholder Return</w:t>
            </w: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b w:val="1"/>
                <w:bCs w:val="1"/>
                <w:color w:val="auto"/>
              </w:rPr>
              <w:t>Dec. 31, 1996</w:t>
            </w:r>
          </w:p>
        </w:tc>
        <w:tc>
          <w:tcPr>
            <w:tcW w:w="1600" w:type="dxa"/>
            <w:vAlign w:val="bottom"/>
          </w:tcPr>
          <w:p>
            <w:pPr>
              <w:ind w:left="160"/>
              <w:spacing w:after="0" w:line="191" w:lineRule="exact"/>
              <w:rPr>
                <w:sz w:val="20"/>
                <w:szCs w:val="20"/>
                <w:color w:val="auto"/>
              </w:rPr>
            </w:pPr>
            <w:r>
              <w:rPr>
                <w:rFonts w:ascii="Courier New" w:cs="Courier New" w:eastAsia="Courier New" w:hAnsi="Courier New"/>
                <w:sz w:val="17"/>
                <w:szCs w:val="17"/>
                <w:b w:val="1"/>
                <w:bCs w:val="1"/>
                <w:color w:val="auto"/>
              </w:rPr>
              <w:t>Dec. 31, 1997</w:t>
            </w:r>
          </w:p>
        </w:tc>
        <w:tc>
          <w:tcPr>
            <w:tcW w:w="432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b w:val="1"/>
                <w:bCs w:val="1"/>
                <w:color w:val="auto"/>
              </w:rPr>
              <w:t>Dec. 31, 1998 Dec. 31, 1999 Dec. 31, 2000</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b w:val="1"/>
                <w:bCs w:val="1"/>
                <w:color w:val="auto"/>
              </w:rPr>
              <w:t>Dec. 31, 2001</w:t>
            </w:r>
          </w:p>
        </w:tc>
      </w:tr>
      <w:tr>
        <w:trPr>
          <w:trHeight w:val="191"/>
        </w:trPr>
        <w:tc>
          <w:tcPr>
            <w:tcW w:w="2680" w:type="dxa"/>
            <w:vAlign w:val="bottom"/>
          </w:tcPr>
          <w:p>
            <w:pPr>
              <w:spacing w:after="0"/>
              <w:rPr>
                <w:sz w:val="16"/>
                <w:szCs w:val="16"/>
                <w:color w:val="auto"/>
              </w:rPr>
            </w:pPr>
          </w:p>
        </w:tc>
        <w:tc>
          <w:tcPr>
            <w:tcW w:w="1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1600" w:type="dxa"/>
            <w:vAlign w:val="bottom"/>
          </w:tcPr>
          <w:p>
            <w:pPr>
              <w:ind w:left="160"/>
              <w:spacing w:after="0" w:line="191" w:lineRule="exact"/>
              <w:rPr>
                <w:sz w:val="20"/>
                <w:szCs w:val="20"/>
                <w:color w:val="auto"/>
              </w:rPr>
            </w:pPr>
            <w:r>
              <w:rPr>
                <w:rFonts w:ascii="Courier New" w:cs="Courier New" w:eastAsia="Courier New" w:hAnsi="Courier New"/>
                <w:sz w:val="17"/>
                <w:szCs w:val="17"/>
                <w:b w:val="1"/>
                <w:bCs w:val="1"/>
                <w:color w:val="auto"/>
              </w:rPr>
              <w:t>-------------</w:t>
            </w:r>
          </w:p>
        </w:tc>
        <w:tc>
          <w:tcPr>
            <w:tcW w:w="432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b w:val="1"/>
                <w:bCs w:val="1"/>
                <w:color w:val="auto"/>
              </w:rPr>
              <w:t>------------- ------------- -------------</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b w:val="1"/>
                <w:bCs w:val="1"/>
                <w:color w:val="auto"/>
              </w:rPr>
              <w:t>--------</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NN, Inc</w:t>
            </w:r>
          </w:p>
        </w:tc>
        <w:tc>
          <w:tcPr>
            <w:tcW w:w="15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100.00</w:t>
            </w:r>
          </w:p>
        </w:tc>
        <w:tc>
          <w:tcPr>
            <w:tcW w:w="1600" w:type="dxa"/>
            <w:vAlign w:val="bottom"/>
          </w:tcPr>
          <w:p>
            <w:pPr>
              <w:ind w:left="560"/>
              <w:spacing w:after="0"/>
              <w:rPr>
                <w:sz w:val="20"/>
                <w:szCs w:val="20"/>
                <w:color w:val="auto"/>
              </w:rPr>
            </w:pPr>
            <w:r>
              <w:rPr>
                <w:rFonts w:ascii="Courier New" w:cs="Courier New" w:eastAsia="Courier New" w:hAnsi="Courier New"/>
                <w:sz w:val="17"/>
                <w:szCs w:val="17"/>
                <w:color w:val="auto"/>
              </w:rPr>
              <w:t>59.95</w:t>
            </w:r>
          </w:p>
        </w:tc>
        <w:tc>
          <w:tcPr>
            <w:tcW w:w="14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41.08</w:t>
            </w:r>
          </w:p>
        </w:tc>
        <w:tc>
          <w:tcPr>
            <w:tcW w:w="16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54.09</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74.49</w:t>
            </w:r>
          </w:p>
        </w:tc>
        <w:tc>
          <w:tcPr>
            <w:tcW w:w="13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93.03</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Value Line Machinery Index</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100.00</w:t>
            </w:r>
          </w:p>
        </w:tc>
        <w:tc>
          <w:tcPr>
            <w:tcW w:w="160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153.13</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130.82</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178.17</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183.35</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226.38</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Standard &amp; Poor's 500</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100.00</w:t>
            </w:r>
          </w:p>
        </w:tc>
        <w:tc>
          <w:tcPr>
            <w:tcW w:w="160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133.23</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171.07</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205.77</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184.90</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160.79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b w:val="1"/>
          <w:bCs w:val="1"/>
          <w:color w:val="auto"/>
        </w:rPr>
        <w:t>ANNUAL REPORT</w:t>
      </w:r>
    </w:p>
    <w:p>
      <w:pPr>
        <w:spacing w:after="0" w:line="196" w:lineRule="exact"/>
        <w:rPr>
          <w:sz w:val="20"/>
          <w:szCs w:val="20"/>
          <w:color w:val="auto"/>
        </w:rPr>
      </w:pPr>
    </w:p>
    <w:p>
      <w:pPr>
        <w:ind w:right="3560" w:firstLine="895"/>
        <w:spacing w:after="0" w:line="236" w:lineRule="auto"/>
        <w:rPr>
          <w:sz w:val="20"/>
          <w:szCs w:val="20"/>
          <w:color w:val="auto"/>
        </w:rPr>
      </w:pPr>
      <w:r>
        <w:rPr>
          <w:rFonts w:ascii="Courier New" w:cs="Courier New" w:eastAsia="Courier New" w:hAnsi="Courier New"/>
          <w:sz w:val="17"/>
          <w:szCs w:val="17"/>
          <w:color w:val="auto"/>
        </w:rPr>
        <w:t>The Company's 2001 Annual Report to Stockholders, which includes its Annual Report on Form 10-K for the year ended December 31, 2001, is being mailed together with this Proxy Statement.</w:t>
      </w:r>
    </w:p>
    <w:p>
      <w:pPr>
        <w:spacing w:after="0" w:line="19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William C. Kelly, Jr.</w:t>
      </w:r>
    </w:p>
    <w:p>
      <w:pPr>
        <w:ind w:left="3980"/>
        <w:spacing w:after="0"/>
        <w:tabs>
          <w:tab w:leader="none" w:pos="5160" w:val="left"/>
        </w:tabs>
        <w:rPr>
          <w:sz w:val="20"/>
          <w:szCs w:val="20"/>
          <w:color w:val="auto"/>
        </w:rPr>
      </w:pPr>
      <w:r>
        <w:rPr>
          <w:rFonts w:ascii="Courier New" w:cs="Courier New" w:eastAsia="Courier New" w:hAnsi="Courier New"/>
          <w:sz w:val="17"/>
          <w:szCs w:val="17"/>
          <w:color w:val="auto"/>
        </w:rPr>
        <w:t>William C.</w:t>
      </w:r>
      <w:r>
        <w:rPr>
          <w:sz w:val="20"/>
          <w:szCs w:val="20"/>
          <w:color w:val="auto"/>
        </w:rPr>
        <w:tab/>
      </w:r>
      <w:r>
        <w:rPr>
          <w:rFonts w:ascii="Courier New" w:cs="Courier New" w:eastAsia="Courier New" w:hAnsi="Courier New"/>
          <w:sz w:val="16"/>
          <w:szCs w:val="16"/>
          <w:color w:val="auto"/>
        </w:rPr>
        <w:t>Kelly, Jr.</w:t>
      </w:r>
    </w:p>
    <w:p>
      <w:pPr>
        <w:ind w:left="39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215900</wp:posOffset>
            </wp:positionV>
            <wp:extent cx="72796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860" w:firstLine="895"/>
        <w:spacing w:after="0" w:line="236" w:lineRule="auto"/>
        <w:rPr>
          <w:sz w:val="20"/>
          <w:szCs w:val="20"/>
          <w:color w:val="auto"/>
        </w:rPr>
      </w:pPr>
      <w:r>
        <w:rPr>
          <w:rFonts w:ascii="Courier New" w:cs="Courier New" w:eastAsia="Courier New" w:hAnsi="Courier New"/>
          <w:sz w:val="17"/>
          <w:szCs w:val="17"/>
          <w:b w:val="1"/>
          <w:bCs w:val="1"/>
          <w:color w:val="auto"/>
        </w:rPr>
        <w:t>STOCKHOLDERS ARE REQUESTED TO MARK, DATE AND SIGN THE ENCLOSED PROXY CARD AND RETURN IT IN THE ENCLOSED ENVELOPE. YOUR PROMPT RESPONSE WILL BE HELPFUL, AND YOUR COOPERATION WILL BE APPRECIATED.</w:t>
      </w:r>
    </w:p>
    <w:p>
      <w:pPr>
        <w:sectPr>
          <w:pgSz w:w="11900" w:h="16838" w:orient="portrait"/>
          <w:cols w:equalWidth="0" w:num="1">
            <w:col w:w="11520"/>
          </w:cols>
          <w:pgMar w:left="240" w:top="142" w:right="139" w:bottom="85" w:gutter="0" w:footer="0" w:header="0"/>
        </w:sectPr>
      </w:pPr>
    </w:p>
    <w:bookmarkStart w:id="12" w:name="page13"/>
    <w:bookmarkEnd w:id="12"/>
    <w:p>
      <w:pPr>
        <w:spacing w:after="0" w:line="3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215900</wp:posOffset>
            </wp:positionV>
            <wp:extent cx="72796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b w:val="1"/>
          <w:bCs w:val="1"/>
          <w:color w:val="auto"/>
        </w:rPr>
        <w:t>THIS PROXY, WHEN PROPERLY EXECUTED, WILL BE VOTED IN THE MANNER DIRECTED HERIN BY THE UNDERSIGNED STOCKHOLDER. IF NO DIRECTION IS MADE, THIS PROXY WILL BE VOTED FOR EACH OF THE DIRECTOR NOMINEES AND FOR THE RATIFICATION OF THE SELECTION OF KPMG LLP AS INDEPENDENT AUDITORS.</w:t>
      </w:r>
    </w:p>
    <w:p>
      <w:pPr>
        <w:spacing w:after="0" w:line="199"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In their discretion, the proxies are authorized to vote upon such other matters as may properly come before the meeting.</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7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b w:val="1"/>
          <w:bCs w:val="1"/>
          <w:color w:val="auto"/>
        </w:rPr>
        <w:t>SIGNATURE (S)</w:t>
      </w:r>
    </w:p>
    <w:p>
      <w:pPr>
        <w:spacing w:after="0" w:line="5"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b w:val="1"/>
          <w:bCs w:val="1"/>
          <w:color w:val="auto"/>
        </w:rPr>
        <w:t>-------------------------------</w:t>
      </w:r>
    </w:p>
    <w:p>
      <w:pPr>
        <w:spacing w:after="0" w:line="38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b w:val="1"/>
          <w:bCs w:val="1"/>
          <w:color w:val="auto"/>
        </w:rPr>
        <w:t>DATE:</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b w:val="1"/>
          <w:bCs w:val="1"/>
          <w:color w:val="auto"/>
        </w:rPr>
        <w:t>---------------------------------------</w:t>
      </w:r>
    </w:p>
    <w:p>
      <w:pPr>
        <w:spacing w:after="0" w:line="38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b w:val="1"/>
          <w:bCs w:val="1"/>
          <w:color w:val="auto"/>
        </w:rPr>
        <w:t>SIGNATURE (S)</w:t>
      </w:r>
    </w:p>
    <w:p>
      <w:pPr>
        <w:spacing w:after="0" w:line="5"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b w:val="1"/>
          <w:bCs w:val="1"/>
          <w:color w:val="auto"/>
        </w:rPr>
        <w:t>-------------------------------</w:t>
      </w:r>
    </w:p>
    <w:p>
      <w:pPr>
        <w:spacing w:after="0" w:line="38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b w:val="1"/>
          <w:bCs w:val="1"/>
          <w:color w:val="auto"/>
        </w:rPr>
        <w:t>DATE:</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219075</wp:posOffset>
            </wp:positionV>
            <wp:extent cx="72796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b w:val="1"/>
          <w:bCs w:val="1"/>
          <w:color w:val="auto"/>
        </w:rPr>
        <w:t>NN, Inc.</w:t>
      </w:r>
    </w:p>
    <w:p>
      <w:pPr>
        <w:jc w:val="center"/>
        <w:ind w:right="2159"/>
        <w:spacing w:after="0" w:line="238" w:lineRule="auto"/>
        <w:rPr>
          <w:sz w:val="20"/>
          <w:szCs w:val="20"/>
          <w:color w:val="auto"/>
        </w:rPr>
      </w:pPr>
      <w:r>
        <w:rPr>
          <w:rFonts w:ascii="Courier New" w:cs="Courier New" w:eastAsia="Courier New" w:hAnsi="Courier New"/>
          <w:sz w:val="17"/>
          <w:szCs w:val="17"/>
          <w:b w:val="1"/>
          <w:bCs w:val="1"/>
          <w:color w:val="auto"/>
        </w:rPr>
        <w:t>2000 Waters Edge Drive, Bldg. C., Ste. 12</w:t>
      </w:r>
    </w:p>
    <w:p>
      <w:pPr>
        <w:jc w:val="center"/>
        <w:ind w:right="2259"/>
        <w:spacing w:after="0" w:line="238" w:lineRule="auto"/>
        <w:rPr>
          <w:sz w:val="20"/>
          <w:szCs w:val="20"/>
          <w:color w:val="auto"/>
        </w:rPr>
      </w:pPr>
      <w:r>
        <w:rPr>
          <w:rFonts w:ascii="Courier New" w:cs="Courier New" w:eastAsia="Courier New" w:hAnsi="Courier New"/>
          <w:sz w:val="17"/>
          <w:szCs w:val="17"/>
          <w:b w:val="1"/>
          <w:bCs w:val="1"/>
          <w:color w:val="auto"/>
        </w:rPr>
        <w:t>Johnson City, TN 37604</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b w:val="1"/>
          <w:bCs w:val="1"/>
          <w:color w:val="auto"/>
        </w:rPr>
        <w:t>SOLICITED BY THE BOARD OF DIRECTORS FOR THE ANNUAL MEETING OF STOCKHOLDERS TO BE HELD ON MAY 16, 2002, AT THE GREENVILLE - SPARTANBURG AIRPORT MARRIOTT, ONE PARKWAY EAST, GREENVILLE, SOUTH CAROLINA 29615.</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undersigned stockholder hereby appoints Roderick R. Baty and David L. Dyckman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98"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b w:val="1"/>
          <w:bCs w:val="1"/>
          <w:color w:val="auto"/>
        </w:rPr>
        <w:t>THE SHARES REPRESENTED BY THIS PROXY WILL BE VOTED AS DIRECTED BY THE STOCKHOLDER. IF NO DIRECTION IS GIVEN, SHARES WILL BE VOTED FOR EACH OF THE DIRECTOR NOMINEES AND FOR THE RATIFICATION OF THE SELECTION OF KPMG LLP AS INDEPENDENT AUDITORS.</w:t>
      </w:r>
    </w:p>
    <w:p>
      <w:pPr>
        <w:spacing w:after="0" w:line="199" w:lineRule="exact"/>
        <w:rPr>
          <w:sz w:val="20"/>
          <w:szCs w:val="20"/>
          <w:color w:val="auto"/>
        </w:rPr>
      </w:pPr>
    </w:p>
    <w:p>
      <w:pPr>
        <w:ind w:right="2459"/>
        <w:spacing w:after="0" w:line="259" w:lineRule="auto"/>
        <w:rPr>
          <w:sz w:val="20"/>
          <w:szCs w:val="20"/>
          <w:color w:val="auto"/>
        </w:rPr>
      </w:pPr>
      <w:r>
        <w:rPr>
          <w:rFonts w:ascii="Courier New" w:cs="Courier New" w:eastAsia="Courier New" w:hAnsi="Courier New"/>
          <w:sz w:val="16"/>
          <w:szCs w:val="16"/>
          <w:b w:val="1"/>
          <w:bCs w:val="1"/>
          <w:color w:val="auto"/>
        </w:rPr>
        <w:t>THE BOARD OF DIRECTORS RECOMMENDS A VOTE FOR EACH OF THE DIRECTOR NOMINEES AND FOR THE RATIFICATION OF THE SELECTION OF KPMG LLP AS INDEPENDENT AUDITORS.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Please mark your votes as indicated in the example |X|</w:t>
      </w:r>
    </w:p>
    <w:p>
      <w:pPr>
        <w:spacing w:after="0" w:line="190" w:lineRule="exact"/>
        <w:rPr>
          <w:sz w:val="20"/>
          <w:szCs w:val="20"/>
          <w:color w:val="auto"/>
        </w:rPr>
      </w:pPr>
    </w:p>
    <w:p>
      <w:pPr>
        <w:ind w:left="500" w:hanging="498"/>
        <w:spacing w:after="0"/>
        <w:tabs>
          <w:tab w:leader="none" w:pos="5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w:t>
      </w:r>
    </w:p>
    <w:p>
      <w:pPr>
        <w:spacing w:after="0" w:line="196" w:lineRule="exact"/>
        <w:rPr>
          <w:rFonts w:ascii="Courier New" w:cs="Courier New" w:eastAsia="Courier New" w:hAnsi="Courier New"/>
          <w:sz w:val="17"/>
          <w:szCs w:val="17"/>
          <w:color w:val="auto"/>
        </w:rPr>
      </w:pPr>
    </w:p>
    <w:p>
      <w:pPr>
        <w:ind w:left="500" w:right="25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Nominees: G. Ronald Morris, Steven T. Warshaw and James L. Earsley. For, except vote withheld from the following nominee(s).</w:t>
      </w:r>
    </w:p>
    <w:p>
      <w:pPr>
        <w:spacing w:after="0" w:line="190" w:lineRule="exact"/>
        <w:rPr>
          <w:sz w:val="20"/>
          <w:szCs w:val="20"/>
          <w:color w:val="auto"/>
        </w:rPr>
      </w:pPr>
    </w:p>
    <w:p>
      <w:pPr>
        <w:ind w:left="900"/>
        <w:spacing w:after="0"/>
        <w:tabs>
          <w:tab w:leader="none" w:pos="2660" w:val="left"/>
          <w:tab w:leader="none" w:pos="4760" w:val="left"/>
        </w:tabs>
        <w:rPr>
          <w:sz w:val="20"/>
          <w:szCs w:val="20"/>
          <w:color w:val="auto"/>
        </w:rPr>
      </w:pPr>
      <w:r>
        <w:rPr>
          <w:rFonts w:ascii="Courier New" w:cs="Courier New" w:eastAsia="Courier New" w:hAnsi="Courier New"/>
          <w:sz w:val="17"/>
          <w:szCs w:val="17"/>
          <w:b w:val="1"/>
          <w:bCs w:val="1"/>
          <w:color w:val="auto"/>
        </w:rPr>
        <w:t>[ ] For</w:t>
      </w:r>
      <w:r>
        <w:rPr>
          <w:sz w:val="20"/>
          <w:szCs w:val="20"/>
          <w:color w:val="auto"/>
        </w:rPr>
        <w:tab/>
      </w:r>
      <w:r>
        <w:rPr>
          <w:rFonts w:ascii="Courier New" w:cs="Courier New" w:eastAsia="Courier New" w:hAnsi="Courier New"/>
          <w:sz w:val="17"/>
          <w:szCs w:val="17"/>
          <w:b w:val="1"/>
          <w:bCs w:val="1"/>
          <w:color w:val="auto"/>
        </w:rPr>
        <w:t>[ ] Withheld</w:t>
      </w:r>
      <w:r>
        <w:rPr>
          <w:sz w:val="20"/>
          <w:szCs w:val="20"/>
          <w:color w:val="auto"/>
        </w:rPr>
        <w:tab/>
      </w:r>
      <w:r>
        <w:rPr>
          <w:rFonts w:ascii="Courier New" w:cs="Courier New" w:eastAsia="Courier New" w:hAnsi="Courier New"/>
          <w:sz w:val="16"/>
          <w:szCs w:val="16"/>
          <w:b w:val="1"/>
          <w:bCs w:val="1"/>
          <w:color w:val="auto"/>
        </w:rPr>
        <w:t>[ ] For All Except _____________</w:t>
      </w:r>
    </w:p>
    <w:p>
      <w:pPr>
        <w:spacing w:after="0" w:line="381" w:lineRule="exact"/>
        <w:rPr>
          <w:sz w:val="20"/>
          <w:szCs w:val="20"/>
          <w:color w:val="auto"/>
        </w:rPr>
      </w:pPr>
    </w:p>
    <w:p>
      <w:pPr>
        <w:ind w:left="500" w:hanging="498"/>
        <w:spacing w:after="0"/>
        <w:tabs>
          <w:tab w:leader="none" w:pos="5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ratification of the selection of KPMG LLP as independent auditors.</w:t>
      </w:r>
    </w:p>
    <w:p>
      <w:pPr>
        <w:spacing w:after="0" w:line="190" w:lineRule="exact"/>
        <w:rPr>
          <w:sz w:val="20"/>
          <w:szCs w:val="20"/>
          <w:color w:val="auto"/>
        </w:rPr>
      </w:pPr>
    </w:p>
    <w:p>
      <w:pPr>
        <w:ind w:left="900"/>
        <w:spacing w:after="0"/>
        <w:tabs>
          <w:tab w:leader="none" w:pos="2660" w:val="left"/>
          <w:tab w:leader="none" w:pos="4760" w:val="left"/>
        </w:tabs>
        <w:rPr>
          <w:sz w:val="20"/>
          <w:szCs w:val="20"/>
          <w:color w:val="auto"/>
        </w:rPr>
      </w:pPr>
      <w:r>
        <w:rPr>
          <w:rFonts w:ascii="Courier New" w:cs="Courier New" w:eastAsia="Courier New" w:hAnsi="Courier New"/>
          <w:sz w:val="17"/>
          <w:szCs w:val="17"/>
          <w:b w:val="1"/>
          <w:bCs w:val="1"/>
          <w:color w:val="auto"/>
        </w:rPr>
        <w:t>[ ] For</w:t>
      </w:r>
      <w:r>
        <w:rPr>
          <w:sz w:val="20"/>
          <w:szCs w:val="20"/>
          <w:color w:val="auto"/>
        </w:rPr>
        <w:tab/>
      </w:r>
      <w:r>
        <w:rPr>
          <w:rFonts w:ascii="Courier New" w:cs="Courier New" w:eastAsia="Courier New" w:hAnsi="Courier New"/>
          <w:sz w:val="17"/>
          <w:szCs w:val="17"/>
          <w:b w:val="1"/>
          <w:bCs w:val="1"/>
          <w:color w:val="auto"/>
        </w:rPr>
        <w:t>[ ] Against</w:t>
      </w:r>
      <w:r>
        <w:rPr>
          <w:sz w:val="20"/>
          <w:szCs w:val="20"/>
          <w:color w:val="auto"/>
        </w:rPr>
        <w:tab/>
      </w:r>
      <w:r>
        <w:rPr>
          <w:rFonts w:ascii="Courier New" w:cs="Courier New" w:eastAsia="Courier New" w:hAnsi="Courier New"/>
          <w:sz w:val="16"/>
          <w:szCs w:val="16"/>
          <w:b w:val="1"/>
          <w:bCs w:val="1"/>
          <w:color w:val="auto"/>
        </w:rPr>
        <w:t>[ ] Abstain</w:t>
      </w:r>
    </w:p>
    <w:p>
      <w:pPr>
        <w:sectPr>
          <w:pgSz w:w="11900" w:h="16838" w:orient="portrait"/>
          <w:cols w:equalWidth="0" w:num="1">
            <w:col w:w="10219"/>
          </w:cols>
          <w:pgMar w:left="240" w:top="1440" w:right="1440" w:bottom="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6"/>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9"/>
    </w:lvl>
  </w:abstractNum>
  <w:abstractNum w:abstractNumId="16">
    <w:nsid w:val="431BD7B7"/>
    <w:multiLevelType w:val="hybridMultilevel"/>
    <w:lvl w:ilvl="0">
      <w:lvlJc w:val="left"/>
      <w:lvlText w:val="o"/>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2019-12-14T03:10:12Z</dcterms:created>
  <dcterms:modified xsi:type="dcterms:W3CDTF">2019-12-14T03:10:12Z</dcterms:modified>
</cp:coreProperties>
</file>