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131445</wp:posOffset>
            </wp:positionH>
            <wp:positionV relativeFrom="page">
              <wp:posOffset>205740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22" w:lineRule="exact"/>
        <w:rPr>
          <w:sz w:val="24"/>
          <w:szCs w:val="24"/>
          <w:color w:val="auto"/>
        </w:rPr>
      </w:pPr>
    </w:p>
    <w:p>
      <w:pPr>
        <w:jc w:val="center"/>
        <w:ind w:right="-1099"/>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1099"/>
        <w:spacing w:after="0"/>
        <w:rPr>
          <w:sz w:val="20"/>
          <w:szCs w:val="20"/>
          <w:color w:val="auto"/>
        </w:rPr>
      </w:pPr>
      <w:r>
        <w:rPr>
          <w:rFonts w:ascii="Arial" w:cs="Arial" w:eastAsia="Arial" w:hAnsi="Arial"/>
          <w:sz w:val="14"/>
          <w:szCs w:val="14"/>
          <w:b w:val="1"/>
          <w:bCs w:val="1"/>
          <w:color w:val="auto"/>
        </w:rPr>
        <w:t>Washington, DC 20549</w:t>
      </w:r>
    </w:p>
    <w:p>
      <w:pPr>
        <w:spacing w:after="0" w:line="185"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FORM 8-K</w:t>
      </w:r>
    </w:p>
    <w:p>
      <w:pPr>
        <w:spacing w:after="0" w:line="194" w:lineRule="exact"/>
        <w:rPr>
          <w:sz w:val="24"/>
          <w:szCs w:val="24"/>
          <w:color w:val="auto"/>
        </w:rPr>
      </w:pPr>
    </w:p>
    <w:p>
      <w:pPr>
        <w:ind w:left="5180"/>
        <w:spacing w:after="0"/>
        <w:rPr>
          <w:sz w:val="20"/>
          <w:szCs w:val="20"/>
          <w:color w:val="auto"/>
        </w:rPr>
      </w:pPr>
      <w:r>
        <w:rPr>
          <w:rFonts w:ascii="Arial" w:cs="Arial" w:eastAsia="Arial" w:hAnsi="Arial"/>
          <w:sz w:val="12"/>
          <w:szCs w:val="12"/>
          <w:b w:val="1"/>
          <w:bCs w:val="1"/>
          <w:color w:val="auto"/>
        </w:rPr>
        <w:t>CURRENT REPORT</w:t>
      </w:r>
    </w:p>
    <w:p>
      <w:pPr>
        <w:spacing w:after="0" w:line="186" w:lineRule="exact"/>
        <w:rPr>
          <w:sz w:val="24"/>
          <w:szCs w:val="24"/>
          <w:color w:val="auto"/>
        </w:rPr>
      </w:pPr>
    </w:p>
    <w:p>
      <w:pPr>
        <w:jc w:val="right"/>
        <w:ind w:right="224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90" w:lineRule="exact"/>
        <w:rPr>
          <w:sz w:val="24"/>
          <w:szCs w:val="24"/>
          <w:color w:val="auto"/>
        </w:rPr>
      </w:pPr>
    </w:p>
    <w:p>
      <w:pPr>
        <w:spacing w:after="0"/>
        <w:rPr>
          <w:sz w:val="20"/>
          <w:szCs w:val="20"/>
          <w:color w:val="auto"/>
        </w:rPr>
      </w:pPr>
      <w:r>
        <w:rPr>
          <w:rFonts w:ascii="Arial" w:cs="Arial" w:eastAsia="Arial" w:hAnsi="Arial"/>
          <w:sz w:val="12"/>
          <w:szCs w:val="12"/>
          <w:color w:val="auto"/>
        </w:rPr>
        <w:t>Date of Report (Date of earliest event reported): October 2, 2006</w:t>
      </w:r>
    </w:p>
    <w:p>
      <w:pPr>
        <w:spacing w:after="0" w:line="366"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NN, INC.</w:t>
      </w:r>
    </w:p>
    <w:p>
      <w:pPr>
        <w:spacing w:after="0" w:line="37" w:lineRule="exact"/>
        <w:rPr>
          <w:sz w:val="24"/>
          <w:szCs w:val="24"/>
          <w:color w:val="auto"/>
        </w:rPr>
      </w:pPr>
    </w:p>
    <w:tbl>
      <w:tblPr>
        <w:tblLayout w:type="fixed"/>
        <w:tblInd w:w="840" w:type="dxa"/>
        <w:tblCellMar>
          <w:top w:w="0" w:type="dxa"/>
          <w:left w:w="0" w:type="dxa"/>
          <w:bottom w:w="0" w:type="dxa"/>
          <w:right w:w="0" w:type="dxa"/>
        </w:tblCellMar>
      </w:tblPr>
      <w:tr>
        <w:trPr>
          <w:trHeight w:val="153"/>
        </w:trPr>
        <w:tc>
          <w:tcPr>
            <w:tcW w:w="2200" w:type="dxa"/>
            <w:vAlign w:val="bottom"/>
          </w:tcPr>
          <w:p>
            <w:pPr>
              <w:spacing w:after="0"/>
              <w:rPr>
                <w:sz w:val="13"/>
                <w:szCs w:val="13"/>
                <w:color w:val="auto"/>
              </w:rPr>
            </w:pPr>
          </w:p>
        </w:tc>
        <w:tc>
          <w:tcPr>
            <w:tcW w:w="7320" w:type="dxa"/>
            <w:vAlign w:val="bottom"/>
            <w:gridSpan w:val="2"/>
          </w:tcPr>
          <w:p>
            <w:pPr>
              <w:ind w:left="1460"/>
              <w:spacing w:after="0"/>
              <w:rPr>
                <w:sz w:val="20"/>
                <w:szCs w:val="20"/>
                <w:color w:val="auto"/>
              </w:rPr>
            </w:pPr>
            <w:r>
              <w:rPr>
                <w:rFonts w:ascii="Arial" w:cs="Arial" w:eastAsia="Arial" w:hAnsi="Arial"/>
                <w:sz w:val="12"/>
                <w:szCs w:val="12"/>
                <w:color w:val="auto"/>
              </w:rPr>
              <w:t>(Exact name of registrant as specified in its charter)</w:t>
            </w:r>
          </w:p>
        </w:tc>
        <w:tc>
          <w:tcPr>
            <w:tcW w:w="0" w:type="dxa"/>
            <w:vAlign w:val="bottom"/>
          </w:tcPr>
          <w:p>
            <w:pPr>
              <w:spacing w:after="0"/>
              <w:rPr>
                <w:sz w:val="1"/>
                <w:szCs w:val="1"/>
                <w:color w:val="auto"/>
              </w:rPr>
            </w:pPr>
          </w:p>
        </w:tc>
      </w:tr>
      <w:tr>
        <w:trPr>
          <w:trHeight w:val="630"/>
        </w:trPr>
        <w:tc>
          <w:tcPr>
            <w:tcW w:w="2200" w:type="dxa"/>
            <w:vAlign w:val="bottom"/>
          </w:tcPr>
          <w:p>
            <w:pPr>
              <w:ind w:left="420"/>
              <w:spacing w:after="0"/>
              <w:rPr>
                <w:sz w:val="20"/>
                <w:szCs w:val="20"/>
                <w:color w:val="auto"/>
              </w:rPr>
            </w:pPr>
            <w:r>
              <w:rPr>
                <w:rFonts w:ascii="Arial" w:cs="Arial" w:eastAsia="Arial" w:hAnsi="Arial"/>
                <w:sz w:val="12"/>
                <w:szCs w:val="12"/>
                <w:b w:val="1"/>
                <w:bCs w:val="1"/>
                <w:color w:val="auto"/>
              </w:rPr>
              <w:t>Delaware</w:t>
            </w:r>
          </w:p>
        </w:tc>
        <w:tc>
          <w:tcPr>
            <w:tcW w:w="3500" w:type="dxa"/>
            <w:vAlign w:val="bottom"/>
          </w:tcPr>
          <w:p>
            <w:pPr>
              <w:jc w:val="right"/>
              <w:ind w:right="580"/>
              <w:spacing w:after="0"/>
              <w:rPr>
                <w:sz w:val="20"/>
                <w:szCs w:val="20"/>
                <w:color w:val="auto"/>
              </w:rPr>
            </w:pPr>
            <w:r>
              <w:rPr>
                <w:rFonts w:ascii="Arial" w:cs="Arial" w:eastAsia="Arial" w:hAnsi="Arial"/>
                <w:sz w:val="12"/>
                <w:szCs w:val="12"/>
                <w:b w:val="1"/>
                <w:bCs w:val="1"/>
                <w:color w:val="auto"/>
              </w:rPr>
              <w:t>0-23486</w:t>
            </w:r>
          </w:p>
        </w:tc>
        <w:tc>
          <w:tcPr>
            <w:tcW w:w="3820" w:type="dxa"/>
            <w:vAlign w:val="bottom"/>
          </w:tcPr>
          <w:p>
            <w:pPr>
              <w:jc w:val="right"/>
              <w:ind w:right="460"/>
              <w:spacing w:after="0"/>
              <w:rPr>
                <w:sz w:val="20"/>
                <w:szCs w:val="20"/>
                <w:color w:val="auto"/>
              </w:rPr>
            </w:pPr>
            <w:r>
              <w:rPr>
                <w:rFonts w:ascii="Arial" w:cs="Arial" w:eastAsia="Arial" w:hAnsi="Arial"/>
                <w:sz w:val="12"/>
                <w:szCs w:val="12"/>
                <w:b w:val="1"/>
                <w:bCs w:val="1"/>
                <w:color w:val="auto"/>
              </w:rPr>
              <w:t>62-1096725</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20"/>
                <w:szCs w:val="20"/>
                <w:color w:val="auto"/>
              </w:rPr>
            </w:pPr>
            <w:r>
              <w:rPr>
                <w:rFonts w:ascii="Arial" w:cs="Arial" w:eastAsia="Arial" w:hAnsi="Arial"/>
                <w:sz w:val="12"/>
                <w:szCs w:val="12"/>
                <w:color w:val="auto"/>
                <w:w w:val="96"/>
              </w:rPr>
              <w:t>(State or other jurisdiction of incorporation)</w:t>
            </w:r>
          </w:p>
        </w:tc>
        <w:tc>
          <w:tcPr>
            <w:tcW w:w="3500" w:type="dxa"/>
            <w:vAlign w:val="bottom"/>
          </w:tcPr>
          <w:p>
            <w:pPr>
              <w:jc w:val="center"/>
              <w:ind w:left="1760"/>
              <w:spacing w:after="0"/>
              <w:rPr>
                <w:sz w:val="20"/>
                <w:szCs w:val="20"/>
                <w:color w:val="auto"/>
              </w:rPr>
            </w:pPr>
            <w:r>
              <w:rPr>
                <w:rFonts w:ascii="Arial" w:cs="Arial" w:eastAsia="Arial" w:hAnsi="Arial"/>
                <w:sz w:val="12"/>
                <w:szCs w:val="12"/>
                <w:color w:val="auto"/>
                <w:w w:val="95"/>
              </w:rPr>
              <w:t>(Commission File Number)</w:t>
            </w:r>
          </w:p>
        </w:tc>
        <w:tc>
          <w:tcPr>
            <w:tcW w:w="3820" w:type="dxa"/>
            <w:vAlign w:val="bottom"/>
          </w:tcPr>
          <w:p>
            <w:pPr>
              <w:jc w:val="center"/>
              <w:ind w:left="2100"/>
              <w:spacing w:after="0"/>
              <w:rPr>
                <w:sz w:val="20"/>
                <w:szCs w:val="20"/>
                <w:color w:val="auto"/>
              </w:rPr>
            </w:pPr>
            <w:r>
              <w:rPr>
                <w:rFonts w:ascii="Arial" w:cs="Arial" w:eastAsia="Arial" w:hAnsi="Arial"/>
                <w:sz w:val="12"/>
                <w:szCs w:val="12"/>
                <w:color w:val="auto"/>
                <w:w w:val="94"/>
              </w:rPr>
              <w:t>(IRS Employer Identification No.)</w:t>
            </w:r>
          </w:p>
        </w:tc>
        <w:tc>
          <w:tcPr>
            <w:tcW w:w="0" w:type="dxa"/>
            <w:vAlign w:val="bottom"/>
          </w:tcPr>
          <w:p>
            <w:pPr>
              <w:spacing w:after="0"/>
              <w:rPr>
                <w:sz w:val="1"/>
                <w:szCs w:val="1"/>
                <w:color w:val="auto"/>
              </w:rPr>
            </w:pPr>
          </w:p>
        </w:tc>
      </w:tr>
      <w:tr>
        <w:trPr>
          <w:trHeight w:val="492"/>
        </w:trPr>
        <w:tc>
          <w:tcPr>
            <w:tcW w:w="2200" w:type="dxa"/>
            <w:vAlign w:val="bottom"/>
          </w:tcPr>
          <w:p>
            <w:pPr>
              <w:spacing w:after="0"/>
              <w:rPr>
                <w:sz w:val="24"/>
                <w:szCs w:val="24"/>
                <w:color w:val="auto"/>
              </w:rPr>
            </w:pPr>
          </w:p>
        </w:tc>
        <w:tc>
          <w:tcPr>
            <w:tcW w:w="3500" w:type="dxa"/>
            <w:vAlign w:val="bottom"/>
          </w:tcPr>
          <w:p>
            <w:pPr>
              <w:jc w:val="center"/>
              <w:ind w:right="1400"/>
              <w:spacing w:after="0"/>
              <w:rPr>
                <w:sz w:val="20"/>
                <w:szCs w:val="20"/>
                <w:color w:val="auto"/>
              </w:rPr>
            </w:pPr>
            <w:r>
              <w:rPr>
                <w:rFonts w:ascii="Arial" w:cs="Arial" w:eastAsia="Arial" w:hAnsi="Arial"/>
                <w:sz w:val="12"/>
                <w:szCs w:val="12"/>
                <w:b w:val="1"/>
                <w:bCs w:val="1"/>
                <w:color w:val="auto"/>
                <w:w w:val="91"/>
              </w:rPr>
              <w:t>2000 Waters Edge Drive</w:t>
            </w:r>
          </w:p>
        </w:tc>
        <w:tc>
          <w:tcPr>
            <w:tcW w:w="38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37604</w:t>
            </w:r>
          </w:p>
        </w:tc>
        <w:tc>
          <w:tcPr>
            <w:tcW w:w="0" w:type="dxa"/>
            <w:vAlign w:val="bottom"/>
          </w:tcPr>
          <w:p>
            <w:pPr>
              <w:spacing w:after="0"/>
              <w:rPr>
                <w:sz w:val="1"/>
                <w:szCs w:val="1"/>
                <w:color w:val="auto"/>
              </w:rPr>
            </w:pPr>
          </w:p>
        </w:tc>
      </w:tr>
      <w:tr>
        <w:trPr>
          <w:trHeight w:val="85"/>
        </w:trPr>
        <w:tc>
          <w:tcPr>
            <w:tcW w:w="2200" w:type="dxa"/>
            <w:vAlign w:val="bottom"/>
          </w:tcPr>
          <w:p>
            <w:pPr>
              <w:spacing w:after="0"/>
              <w:rPr>
                <w:sz w:val="7"/>
                <w:szCs w:val="7"/>
                <w:color w:val="auto"/>
              </w:rPr>
            </w:pPr>
          </w:p>
        </w:tc>
        <w:tc>
          <w:tcPr>
            <w:tcW w:w="35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Johnson City, Tennessee</w:t>
            </w: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200" w:type="dxa"/>
            <w:vAlign w:val="bottom"/>
          </w:tcPr>
          <w:p>
            <w:pPr>
              <w:spacing w:after="0"/>
              <w:rPr>
                <w:sz w:val="5"/>
                <w:szCs w:val="5"/>
                <w:color w:val="auto"/>
              </w:rPr>
            </w:pPr>
          </w:p>
        </w:tc>
        <w:tc>
          <w:tcPr>
            <w:tcW w:w="3500" w:type="dxa"/>
            <w:vAlign w:val="bottom"/>
            <w:vMerge w:val="continue"/>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3500" w:type="dxa"/>
            <w:vAlign w:val="bottom"/>
          </w:tcPr>
          <w:p>
            <w:pPr>
              <w:jc w:val="center"/>
              <w:ind w:right="1400"/>
              <w:spacing w:after="0"/>
              <w:rPr>
                <w:sz w:val="20"/>
                <w:szCs w:val="20"/>
                <w:color w:val="auto"/>
              </w:rPr>
            </w:pPr>
            <w:r>
              <w:rPr>
                <w:rFonts w:ascii="Arial" w:cs="Arial" w:eastAsia="Arial" w:hAnsi="Arial"/>
                <w:sz w:val="12"/>
                <w:szCs w:val="12"/>
                <w:color w:val="auto"/>
                <w:w w:val="93"/>
              </w:rPr>
              <w:t>(Address of principal executive offices)</w:t>
            </w:r>
          </w:p>
        </w:tc>
        <w:tc>
          <w:tcPr>
            <w:tcW w:w="3820" w:type="dxa"/>
            <w:vAlign w:val="bottom"/>
          </w:tcPr>
          <w:p>
            <w:pPr>
              <w:ind w:left="180"/>
              <w:spacing w:after="0"/>
              <w:rPr>
                <w:sz w:val="20"/>
                <w:szCs w:val="20"/>
                <w:color w:val="auto"/>
              </w:rPr>
            </w:pPr>
            <w:r>
              <w:rPr>
                <w:rFonts w:ascii="Arial" w:cs="Arial" w:eastAsia="Arial" w:hAnsi="Arial"/>
                <w:sz w:val="12"/>
                <w:szCs w:val="12"/>
                <w:color w:val="auto"/>
              </w:rPr>
              <w:t>(Zip Code)</w:t>
            </w:r>
          </w:p>
        </w:tc>
        <w:tc>
          <w:tcPr>
            <w:tcW w:w="0" w:type="dxa"/>
            <w:vAlign w:val="bottom"/>
          </w:tcPr>
          <w:p>
            <w:pPr>
              <w:spacing w:after="0"/>
              <w:rPr>
                <w:sz w:val="1"/>
                <w:szCs w:val="1"/>
                <w:color w:val="auto"/>
              </w:rPr>
            </w:pPr>
          </w:p>
        </w:tc>
      </w:tr>
    </w:tbl>
    <w:p>
      <w:pPr>
        <w:spacing w:after="0" w:line="347" w:lineRule="exact"/>
        <w:rPr>
          <w:sz w:val="24"/>
          <w:szCs w:val="24"/>
          <w:color w:val="auto"/>
        </w:rPr>
      </w:pPr>
    </w:p>
    <w:p>
      <w:pPr>
        <w:ind w:left="412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(423)743-9151</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oWritten communications pursuant to Rule 425 under the Securities Act (17 CFR 230.425)</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o Soliciting material pursuant to Rule 14a-12 under the Exchange Act (17 CFR 240.14a-12)</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oPre-commencement communications pursuant to Rule 14d-2(b) under the Exchange Act (17 CFR 240.14d-2(b))</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297815</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r>
    </w:p>
    <w:p>
      <w:pPr>
        <w:sectPr>
          <w:pgSz w:w="11900" w:h="16838" w:orient="portrait"/>
          <w:cols w:equalWidth="0" w:num="1">
            <w:col w:w="10360"/>
          </w:cols>
          <w:pgMar w:left="220" w:top="413" w:right="1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5.02. Departure of Directors or Principal Officers; Election of Directors; Appointment of Principal Officers.</w:t>
      </w:r>
    </w:p>
    <w:p>
      <w:pPr>
        <w:spacing w:after="0" w:line="193" w:lineRule="exact"/>
        <w:rPr>
          <w:sz w:val="20"/>
          <w:szCs w:val="20"/>
          <w:color w:val="auto"/>
        </w:rPr>
      </w:pPr>
    </w:p>
    <w:p>
      <w:pPr>
        <w:spacing w:after="0"/>
        <w:rPr>
          <w:sz w:val="20"/>
          <w:szCs w:val="20"/>
          <w:color w:val="auto"/>
        </w:rPr>
      </w:pPr>
      <w:r>
        <w:rPr>
          <w:rFonts w:ascii="Arial" w:cs="Arial" w:eastAsia="Arial" w:hAnsi="Arial"/>
          <w:sz w:val="9"/>
          <w:szCs w:val="9"/>
          <w:color w:val="auto"/>
        </w:rPr>
        <w:t>Registrant files herewith its Executive Employment Agreement related to the appointment of David M. Gilson as Vice President of Marketing. Registrant also files herewith a related Press Release dated October 2, 2006.</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gridSpan w:val="2"/>
          </w:tcPr>
          <w:p>
            <w:pPr>
              <w:ind w:left="20"/>
              <w:spacing w:after="0"/>
              <w:rPr>
                <w:sz w:val="20"/>
                <w:szCs w:val="20"/>
                <w:color w:val="auto"/>
              </w:rPr>
            </w:pPr>
            <w:r>
              <w:rPr>
                <w:rFonts w:ascii="Arial" w:cs="Arial" w:eastAsia="Arial" w:hAnsi="Arial"/>
                <w:sz w:val="12"/>
                <w:szCs w:val="12"/>
                <w:color w:val="auto"/>
              </w:rPr>
              <w:t>(c) Exhibits.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15"/>
        </w:trPr>
        <w:tc>
          <w:tcPr>
            <w:tcW w:w="820" w:type="dxa"/>
            <w:vAlign w:val="bottom"/>
            <w:gridSpan w:val="2"/>
          </w:tcPr>
          <w:p>
            <w:pPr>
              <w:spacing w:after="0"/>
              <w:rPr>
                <w:sz w:val="20"/>
                <w:szCs w:val="20"/>
                <w:color w:val="auto"/>
              </w:rPr>
            </w:pPr>
            <w:r>
              <w:rPr>
                <w:rFonts w:ascii="Arial" w:cs="Arial" w:eastAsia="Arial" w:hAnsi="Arial"/>
                <w:sz w:val="12"/>
                <w:szCs w:val="12"/>
                <w:color w:val="auto"/>
              </w:rPr>
              <w:t>Exhibit</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6"/>
        </w:trPr>
        <w:tc>
          <w:tcPr>
            <w:tcW w:w="820" w:type="dxa"/>
            <w:vAlign w:val="bottom"/>
            <w:gridSpan w:val="2"/>
          </w:tcPr>
          <w:p>
            <w:pPr>
              <w:spacing w:after="0" w:line="126" w:lineRule="exact"/>
              <w:rPr>
                <w:sz w:val="20"/>
                <w:szCs w:val="20"/>
                <w:color w:val="auto"/>
              </w:rPr>
            </w:pPr>
            <w:r>
              <w:rPr>
                <w:rFonts w:ascii="Arial" w:cs="Arial" w:eastAsia="Arial" w:hAnsi="Arial"/>
                <w:sz w:val="12"/>
                <w:szCs w:val="12"/>
                <w:color w:val="auto"/>
              </w:rPr>
              <w:t>Number</w:t>
            </w:r>
          </w:p>
        </w:tc>
        <w:tc>
          <w:tcPr>
            <w:tcW w:w="1960" w:type="dxa"/>
            <w:vAlign w:val="bottom"/>
            <w:gridSpan w:val="3"/>
          </w:tcPr>
          <w:p>
            <w:pPr>
              <w:ind w:left="160"/>
              <w:spacing w:after="0" w:line="126" w:lineRule="exact"/>
              <w:rPr>
                <w:sz w:val="20"/>
                <w:szCs w:val="20"/>
                <w:color w:val="auto"/>
              </w:rPr>
            </w:pPr>
            <w:r>
              <w:rPr>
                <w:rFonts w:ascii="Arial" w:cs="Arial" w:eastAsia="Arial" w:hAnsi="Arial"/>
                <w:sz w:val="12"/>
                <w:szCs w:val="12"/>
                <w:color w:val="auto"/>
              </w:rPr>
              <w:t>Description of Exhibit</w:t>
            </w:r>
          </w:p>
        </w:tc>
      </w:tr>
      <w:tr>
        <w:trPr>
          <w:trHeight w:val="20"/>
        </w:trPr>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31"/>
        </w:trPr>
        <w:tc>
          <w:tcPr>
            <w:tcW w:w="380" w:type="dxa"/>
            <w:vAlign w:val="bottom"/>
          </w:tcPr>
          <w:p>
            <w:pPr>
              <w:spacing w:after="0"/>
              <w:rPr>
                <w:sz w:val="20"/>
                <w:szCs w:val="20"/>
                <w:color w:val="auto"/>
              </w:rPr>
            </w:pPr>
            <w:r>
              <w:rPr>
                <w:rFonts w:ascii="Arial" w:cs="Arial" w:eastAsia="Arial" w:hAnsi="Arial"/>
                <w:sz w:val="12"/>
                <w:szCs w:val="12"/>
                <w:color w:val="auto"/>
              </w:rPr>
              <w:t>99.1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2"/>
                <w:szCs w:val="12"/>
                <w:color w:val="auto"/>
                <w:w w:val="95"/>
              </w:rPr>
              <w:t>Executive Employment Agreement</w:t>
            </w:r>
          </w:p>
        </w:tc>
      </w:tr>
      <w:tr>
        <w:trPr>
          <w:trHeight w:val="324"/>
        </w:trPr>
        <w:tc>
          <w:tcPr>
            <w:tcW w:w="380" w:type="dxa"/>
            <w:vAlign w:val="bottom"/>
          </w:tcPr>
          <w:p>
            <w:pPr>
              <w:spacing w:after="0"/>
              <w:rPr>
                <w:sz w:val="20"/>
                <w:szCs w:val="20"/>
                <w:color w:val="auto"/>
              </w:rPr>
            </w:pPr>
            <w:r>
              <w:rPr>
                <w:rFonts w:ascii="Arial" w:cs="Arial" w:eastAsia="Arial" w:hAnsi="Arial"/>
                <w:sz w:val="12"/>
                <w:szCs w:val="12"/>
                <w:color w:val="auto"/>
              </w:rPr>
              <w:t>99.2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2"/>
                <w:szCs w:val="12"/>
                <w:color w:val="auto"/>
                <w:w w:val="86"/>
              </w:rPr>
              <w:t>Press Release dated October 2,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00"/>
          </w:cols>
          <w:pgMar w:left="220" w:top="487" w:right="1379" w:bottom="1440" w:gutter="0" w:footer="0" w:header="0"/>
        </w:sectPr>
      </w:pPr>
    </w:p>
    <w:bookmarkStart w:id="2" w:name="page3"/>
    <w:bookmarkEnd w:id="2"/>
    <w:p>
      <w:pPr>
        <w:ind w:left="5340"/>
        <w:spacing w:after="0"/>
        <w:rPr>
          <w:sz w:val="20"/>
          <w:szCs w:val="20"/>
          <w:color w:val="auto"/>
        </w:rPr>
      </w:pPr>
      <w:r>
        <w:rPr>
          <w:rFonts w:ascii="Arial" w:cs="Arial" w:eastAsia="Arial" w:hAnsi="Arial"/>
          <w:sz w:val="12"/>
          <w:szCs w:val="12"/>
          <w:b w:val="1"/>
          <w:bCs w:val="1"/>
          <w:color w:val="auto"/>
        </w:rPr>
        <w:t>SIGNATURES</w:t>
      </w:r>
    </w:p>
    <w:p>
      <w:pPr>
        <w:spacing w:after="0" w:line="190"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2700" w:type="dxa"/>
            <w:vAlign w:val="bottom"/>
          </w:tcPr>
          <w:p>
            <w:pPr>
              <w:ind w:left="2160"/>
              <w:spacing w:after="0"/>
              <w:rPr>
                <w:sz w:val="20"/>
                <w:szCs w:val="20"/>
                <w:color w:val="auto"/>
              </w:rPr>
            </w:pPr>
            <w:r>
              <w:rPr>
                <w:rFonts w:ascii="Arial" w:cs="Arial" w:eastAsia="Arial" w:hAnsi="Arial"/>
                <w:sz w:val="12"/>
                <w:szCs w:val="12"/>
                <w:b w:val="1"/>
                <w:bCs w:val="1"/>
                <w:color w:val="auto"/>
              </w:rPr>
              <w:t>NN, INC.</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513"/>
        </w:trPr>
        <w:tc>
          <w:tcPr>
            <w:tcW w:w="3280" w:type="dxa"/>
            <w:vAlign w:val="bottom"/>
          </w:tcPr>
          <w:p>
            <w:pPr>
              <w:spacing w:after="0"/>
              <w:rPr>
                <w:sz w:val="20"/>
                <w:szCs w:val="20"/>
                <w:color w:val="auto"/>
              </w:rPr>
            </w:pPr>
            <w:r>
              <w:rPr>
                <w:rFonts w:ascii="Arial" w:cs="Arial" w:eastAsia="Arial" w:hAnsi="Arial"/>
                <w:sz w:val="12"/>
                <w:szCs w:val="12"/>
                <w:b w:val="1"/>
                <w:bCs w:val="1"/>
                <w:color w:val="auto"/>
              </w:rPr>
              <w:t>Date: October 3, 2006</w:t>
            </w:r>
          </w:p>
        </w:tc>
        <w:tc>
          <w:tcPr>
            <w:tcW w:w="2700" w:type="dxa"/>
            <w:vAlign w:val="bottom"/>
          </w:tcPr>
          <w:p>
            <w:pPr>
              <w:ind w:left="2160"/>
              <w:spacing w:after="0"/>
              <w:rPr>
                <w:sz w:val="20"/>
                <w:szCs w:val="20"/>
                <w:color w:val="auto"/>
              </w:rPr>
            </w:pPr>
            <w:r>
              <w:rPr>
                <w:rFonts w:ascii="Arial" w:cs="Arial" w:eastAsia="Arial" w:hAnsi="Arial"/>
                <w:sz w:val="12"/>
                <w:szCs w:val="12"/>
                <w:b w:val="1"/>
                <w:bCs w:val="1"/>
                <w:color w:val="auto"/>
              </w:rPr>
              <w:t>By:</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/s/ William C. Kelly, Jr.</w:t>
            </w:r>
          </w:p>
        </w:tc>
      </w:tr>
      <w:tr>
        <w:trPr>
          <w:trHeight w:val="20"/>
        </w:trPr>
        <w:tc>
          <w:tcPr>
            <w:tcW w:w="3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3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20" w:type="dxa"/>
            <w:vAlign w:val="bottom"/>
            <w:gridSpan w:val="3"/>
          </w:tcPr>
          <w:p>
            <w:pPr>
              <w:ind w:left="40"/>
              <w:spacing w:after="0"/>
              <w:rPr>
                <w:sz w:val="20"/>
                <w:szCs w:val="20"/>
                <w:color w:val="auto"/>
              </w:rPr>
            </w:pPr>
            <w:r>
              <w:rPr>
                <w:rFonts w:ascii="Arial" w:cs="Arial" w:eastAsia="Arial" w:hAnsi="Arial"/>
                <w:sz w:val="12"/>
                <w:szCs w:val="12"/>
                <w:color w:val="auto"/>
              </w:rPr>
              <w:t>Title: Vice President and</w:t>
            </w:r>
          </w:p>
        </w:tc>
      </w:tr>
      <w:tr>
        <w:trPr>
          <w:trHeight w:val="153"/>
        </w:trPr>
        <w:tc>
          <w:tcPr>
            <w:tcW w:w="3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Arial" w:cs="Arial" w:eastAsia="Arial" w:hAnsi="Arial"/>
                <w:sz w:val="12"/>
                <w:szCs w:val="12"/>
                <w:color w:val="auto"/>
                <w:w w:val="93"/>
              </w:rPr>
              <w:t>Chief Administrative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87" w:right="1440"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EMPLOYMENT AGREEMENT</w:t>
      </w:r>
    </w:p>
    <w:p>
      <w:pPr>
        <w:spacing w:after="0" w:line="179" w:lineRule="exact"/>
        <w:rPr>
          <w:sz w:val="20"/>
          <w:szCs w:val="20"/>
          <w:color w:val="auto"/>
        </w:rPr>
      </w:pPr>
    </w:p>
    <w:p>
      <w:pPr>
        <w:ind w:firstLine="432"/>
        <w:spacing w:after="0" w:line="210" w:lineRule="auto"/>
        <w:rPr>
          <w:sz w:val="20"/>
          <w:szCs w:val="20"/>
          <w:color w:val="auto"/>
        </w:rPr>
      </w:pPr>
      <w:r>
        <w:rPr>
          <w:rFonts w:ascii="Arial" w:cs="Arial" w:eastAsia="Arial" w:hAnsi="Arial"/>
          <w:sz w:val="12"/>
          <w:szCs w:val="12"/>
          <w:b w:val="1"/>
          <w:bCs w:val="1"/>
          <w:color w:val="auto"/>
        </w:rPr>
        <w:t xml:space="preserve">THIS AGREEMENT </w:t>
      </w:r>
      <w:r>
        <w:rPr>
          <w:rFonts w:ascii="Arial" w:cs="Arial" w:eastAsia="Arial" w:hAnsi="Arial"/>
          <w:sz w:val="12"/>
          <w:szCs w:val="12"/>
          <w:color w:val="auto"/>
        </w:rPr>
        <w:t>is made as of this 2</w:t>
      </w:r>
      <w:r>
        <w:rPr>
          <w:rFonts w:ascii="Arial" w:cs="Arial" w:eastAsia="Arial" w:hAnsi="Arial"/>
          <w:sz w:val="20"/>
          <w:szCs w:val="20"/>
          <w:color w:val="auto"/>
          <w:vertAlign w:val="superscript"/>
        </w:rPr>
        <w:t>nd</w:t>
      </w:r>
      <w:r>
        <w:rPr>
          <w:rFonts w:ascii="Arial" w:cs="Arial" w:eastAsia="Arial" w:hAnsi="Arial"/>
          <w:sz w:val="12"/>
          <w:szCs w:val="12"/>
          <w:b w:val="1"/>
          <w:bCs w:val="1"/>
          <w:color w:val="auto"/>
        </w:rPr>
        <w:t xml:space="preserve"> </w:t>
      </w:r>
      <w:r>
        <w:rPr>
          <w:rFonts w:ascii="Arial" w:cs="Arial" w:eastAsia="Arial" w:hAnsi="Arial"/>
          <w:sz w:val="12"/>
          <w:szCs w:val="12"/>
          <w:color w:val="auto"/>
        </w:rPr>
        <w:t>day of October, 2006 by and between</w:t>
      </w:r>
      <w:r>
        <w:rPr>
          <w:rFonts w:ascii="Arial" w:cs="Arial" w:eastAsia="Arial" w:hAnsi="Arial"/>
          <w:sz w:val="12"/>
          <w:szCs w:val="12"/>
          <w:b w:val="1"/>
          <w:bCs w:val="1"/>
          <w:color w:val="auto"/>
        </w:rPr>
        <w:t xml:space="preserve"> NN, Inc.</w:t>
      </w:r>
      <w:r>
        <w:rPr>
          <w:rFonts w:ascii="Arial" w:cs="Arial" w:eastAsia="Arial" w:hAnsi="Arial"/>
          <w:sz w:val="12"/>
          <w:szCs w:val="12"/>
          <w:color w:val="auto"/>
        </w:rPr>
        <w:t>, a Delaware Corporation with its principal place of business in Johnson City, Tennessee (the “Company”), and David M. Gilson (the</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WITNESSETH:</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recognizes the value of the Executive’s experience and expertise and desires to continue in its employment of the executive, and</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Executive wishes to continue to be employed by the Company in such capacity; and</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the Executive mutually desire that their employment relationship be set forth under the terms of this written Employment Agreement;</w:t>
      </w:r>
    </w:p>
    <w:p>
      <w:pPr>
        <w:spacing w:after="0" w:line="186"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foregoing and of the promises, covenants and mutual agreements set forth below, and other good and valuable consideration, the receipt and sufficiency of which are hereby</w:t>
      </w:r>
      <w:r>
        <w:rPr>
          <w:rFonts w:ascii="Arial" w:cs="Arial" w:eastAsia="Arial" w:hAnsi="Arial"/>
          <w:sz w:val="12"/>
          <w:szCs w:val="12"/>
          <w:b w:val="1"/>
          <w:bCs w:val="1"/>
          <w:color w:val="auto"/>
        </w:rPr>
        <w:t xml:space="preserve"> </w:t>
      </w:r>
      <w:r>
        <w:rPr>
          <w:rFonts w:ascii="Arial" w:cs="Arial" w:eastAsia="Arial" w:hAnsi="Arial"/>
          <w:sz w:val="12"/>
          <w:szCs w:val="12"/>
          <w:color w:val="auto"/>
        </w:rPr>
        <w:t>acknowledged, the parties hereto do hereby agree as follows:</w:t>
      </w:r>
    </w:p>
    <w:p>
      <w:pPr>
        <w:spacing w:after="0" w:line="147" w:lineRule="exact"/>
        <w:rPr>
          <w:sz w:val="20"/>
          <w:szCs w:val="20"/>
          <w:color w:val="auto"/>
        </w:rPr>
      </w:pPr>
    </w:p>
    <w:p>
      <w:pPr>
        <w:ind w:left="420" w:hanging="146"/>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u w:val="single" w:color="auto"/>
          <w:color w:val="auto"/>
        </w:rPr>
        <w:t>Employment</w:t>
      </w:r>
      <w:r>
        <w:rPr>
          <w:rFonts w:ascii="Arial" w:cs="Arial" w:eastAsia="Arial" w:hAnsi="Arial"/>
          <w:sz w:val="12"/>
          <w:szCs w:val="12"/>
          <w:color w:val="auto"/>
        </w:rPr>
        <w:t>. The Company agrees to continue to employ the Executive, and the Executive agrees to continue to be employed by the Company, on the terms and conditions set forth herein.</w:t>
      </w:r>
    </w:p>
    <w:p>
      <w:pPr>
        <w:spacing w:after="0" w:line="186" w:lineRule="exact"/>
        <w:rPr>
          <w:rFonts w:ascii="Arial" w:cs="Arial" w:eastAsia="Arial" w:hAnsi="Arial"/>
          <w:sz w:val="12"/>
          <w:szCs w:val="12"/>
          <w:color w:val="auto"/>
        </w:rPr>
      </w:pPr>
    </w:p>
    <w:p>
      <w:pPr>
        <w:jc w:val="both"/>
        <w:ind w:left="420" w:hanging="146"/>
        <w:spacing w:after="0" w:line="298" w:lineRule="auto"/>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u w:val="single" w:color="auto"/>
          <w:color w:val="auto"/>
        </w:rPr>
        <w:t>Term of Employment</w:t>
      </w:r>
      <w:r>
        <w:rPr>
          <w:rFonts w:ascii="Arial" w:cs="Arial" w:eastAsia="Arial" w:hAnsi="Arial"/>
          <w:sz w:val="11"/>
          <w:szCs w:val="11"/>
          <w:color w:val="auto"/>
        </w:rPr>
        <w:t>. The employment of the Executive by the Company as provided herein shall commence on October 2, 2006, and end on October 1, 2007 unless further extended or sooner terminated as hereinafter provided. On October 1, 2007 and on October 1 of each year thereafter, the term of the Executive’s employment hereunder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141" w:lineRule="exact"/>
        <w:rPr>
          <w:rFonts w:ascii="Arial" w:cs="Arial" w:eastAsia="Arial" w:hAnsi="Arial"/>
          <w:sz w:val="11"/>
          <w:szCs w:val="11"/>
          <w:color w:val="auto"/>
        </w:rPr>
      </w:pPr>
    </w:p>
    <w:p>
      <w:pPr>
        <w:jc w:val="both"/>
        <w:ind w:left="420" w:hanging="146"/>
        <w:spacing w:after="0" w:line="290" w:lineRule="auto"/>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u w:val="single" w:color="auto"/>
          <w:color w:val="auto"/>
        </w:rPr>
        <w:t>Position and Duties</w:t>
      </w:r>
      <w:r>
        <w:rPr>
          <w:rFonts w:ascii="Arial" w:cs="Arial" w:eastAsia="Arial" w:hAnsi="Arial"/>
          <w:sz w:val="11"/>
          <w:szCs w:val="11"/>
          <w:color w:val="auto"/>
        </w:rPr>
        <w:t>. The Executive shall serve as the Vice President of Marketing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5" w:name="page6"/>
    <w:bookmarkEnd w:id="5"/>
    <w:p>
      <w:pPr>
        <w:ind w:left="146" w:hanging="146"/>
        <w:spacing w:after="0" w:line="276" w:lineRule="auto"/>
        <w:tabs>
          <w:tab w:leader="none" w:pos="146"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Compensation and Benefits</w:t>
      </w:r>
      <w:r>
        <w:rPr>
          <w:rFonts w:ascii="Arial" w:cs="Arial" w:eastAsia="Arial" w:hAnsi="Arial"/>
          <w:sz w:val="12"/>
          <w:szCs w:val="12"/>
          <w:color w:val="auto"/>
        </w:rPr>
        <w:t>. In consideration of the Executive’s performance of his duties hereunder, the Company shall provide the Executive with the following compensation and benefits during the term of his employment hereunder.</w:t>
      </w:r>
    </w:p>
    <w:p>
      <w:pPr>
        <w:spacing w:after="0" w:line="150" w:lineRule="exact"/>
        <w:rPr>
          <w:rFonts w:ascii="Arial" w:cs="Arial" w:eastAsia="Arial" w:hAnsi="Arial"/>
          <w:sz w:val="12"/>
          <w:szCs w:val="12"/>
          <w:color w:val="auto"/>
        </w:rPr>
      </w:pPr>
    </w:p>
    <w:p>
      <w:pPr>
        <w:ind w:left="586" w:hanging="197"/>
        <w:spacing w:after="0" w:line="276" w:lineRule="auto"/>
        <w:tabs>
          <w:tab w:leader="none" w:pos="586"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Base Salary</w:t>
      </w:r>
      <w:r>
        <w:rPr>
          <w:rFonts w:ascii="Arial" w:cs="Arial" w:eastAsia="Arial" w:hAnsi="Arial"/>
          <w:sz w:val="12"/>
          <w:szCs w:val="12"/>
          <w:color w:val="auto"/>
        </w:rPr>
        <w:t>. The Company shall pay to the Executive an aggregate base salary at a rate of One Hundred and Seventy Five Thousand Dollars ($175,000.00) per annum, payable in accordance with the Company’s normal payroll practices. Such base salary may be increased from time to time by the Board of Directors in accordance with the normal business practices of the Company.</w:t>
      </w:r>
    </w:p>
    <w:p>
      <w:pPr>
        <w:spacing w:after="0" w:line="150" w:lineRule="exact"/>
        <w:rPr>
          <w:rFonts w:ascii="Arial" w:cs="Arial" w:eastAsia="Arial" w:hAnsi="Arial"/>
          <w:sz w:val="12"/>
          <w:szCs w:val="12"/>
          <w:color w:val="auto"/>
        </w:rPr>
      </w:pPr>
    </w:p>
    <w:p>
      <w:pPr>
        <w:jc w:val="both"/>
        <w:ind w:left="586" w:hanging="203"/>
        <w:spacing w:after="0" w:line="263" w:lineRule="auto"/>
        <w:tabs>
          <w:tab w:leader="none" w:pos="586"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Expenses</w:t>
      </w:r>
      <w:r>
        <w:rPr>
          <w:rFonts w:ascii="Arial" w:cs="Arial" w:eastAsia="Arial" w:hAnsi="Arial"/>
          <w:sz w:val="12"/>
          <w:szCs w:val="12"/>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58" w:lineRule="exact"/>
        <w:rPr>
          <w:rFonts w:ascii="Arial" w:cs="Arial" w:eastAsia="Arial" w:hAnsi="Arial"/>
          <w:sz w:val="12"/>
          <w:szCs w:val="12"/>
          <w:color w:val="auto"/>
        </w:rPr>
      </w:pPr>
    </w:p>
    <w:p>
      <w:pPr>
        <w:jc w:val="both"/>
        <w:ind w:left="586" w:hanging="197"/>
        <w:spacing w:after="0" w:line="263" w:lineRule="auto"/>
        <w:tabs>
          <w:tab w:leader="none" w:pos="586"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Employee Benefits</w:t>
      </w:r>
      <w:r>
        <w:rPr>
          <w:rFonts w:ascii="Arial" w:cs="Arial" w:eastAsia="Arial" w:hAnsi="Arial"/>
          <w:sz w:val="12"/>
          <w:szCs w:val="12"/>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158" w:lineRule="exact"/>
        <w:rPr>
          <w:rFonts w:ascii="Arial" w:cs="Arial" w:eastAsia="Arial" w:hAnsi="Arial"/>
          <w:sz w:val="12"/>
          <w:szCs w:val="12"/>
          <w:color w:val="auto"/>
        </w:rPr>
      </w:pPr>
    </w:p>
    <w:p>
      <w:pPr>
        <w:ind w:left="586" w:right="20" w:hanging="203"/>
        <w:spacing w:after="0" w:line="276" w:lineRule="auto"/>
        <w:tabs>
          <w:tab w:leader="none" w:pos="586"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Vacation and Other Absences</w:t>
      </w:r>
      <w:r>
        <w:rPr>
          <w:rFonts w:ascii="Arial" w:cs="Arial" w:eastAsia="Arial" w:hAnsi="Arial"/>
          <w:sz w:val="12"/>
          <w:szCs w:val="12"/>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150" w:lineRule="exact"/>
        <w:rPr>
          <w:rFonts w:ascii="Arial" w:cs="Arial" w:eastAsia="Arial" w:hAnsi="Arial"/>
          <w:sz w:val="12"/>
          <w:szCs w:val="12"/>
          <w:color w:val="auto"/>
        </w:rPr>
      </w:pPr>
    </w:p>
    <w:p>
      <w:pPr>
        <w:ind w:left="146" w:hanging="146"/>
        <w:spacing w:after="0"/>
        <w:tabs>
          <w:tab w:leader="none" w:pos="146"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Except for the provisions of Paragraphs 7, 8, 9, 10, and 11, which shall continue in full force and effect, this Agreement shall terminate upon the first to occur of the following:</w:t>
      </w:r>
    </w:p>
    <w:p>
      <w:pPr>
        <w:spacing w:after="0" w:line="186" w:lineRule="exact"/>
        <w:rPr>
          <w:rFonts w:ascii="Arial" w:cs="Arial" w:eastAsia="Arial" w:hAnsi="Arial"/>
          <w:sz w:val="12"/>
          <w:szCs w:val="12"/>
          <w:color w:val="auto"/>
        </w:rPr>
      </w:pPr>
    </w:p>
    <w:p>
      <w:pPr>
        <w:ind w:left="586" w:hanging="197"/>
        <w:spacing w:after="0"/>
        <w:tabs>
          <w:tab w:leader="none" w:pos="586" w:val="left"/>
        </w:tabs>
        <w:numPr>
          <w:ilvl w:val="1"/>
          <w:numId w:val="2"/>
        </w:numPr>
        <w:rPr>
          <w:rFonts w:ascii="Arial" w:cs="Arial" w:eastAsia="Arial" w:hAnsi="Arial"/>
          <w:sz w:val="12"/>
          <w:szCs w:val="12"/>
          <w:color w:val="auto"/>
        </w:rPr>
      </w:pPr>
      <w:r>
        <w:rPr>
          <w:rFonts w:ascii="Arial" w:cs="Arial" w:eastAsia="Arial" w:hAnsi="Arial"/>
          <w:sz w:val="12"/>
          <w:szCs w:val="12"/>
          <w:color w:val="auto"/>
        </w:rPr>
        <w:t>The death of Executive;</w:t>
      </w:r>
    </w:p>
    <w:p>
      <w:pPr>
        <w:spacing w:after="0" w:line="186" w:lineRule="exact"/>
        <w:rPr>
          <w:rFonts w:ascii="Arial" w:cs="Arial" w:eastAsia="Arial" w:hAnsi="Arial"/>
          <w:sz w:val="12"/>
          <w:szCs w:val="12"/>
          <w:color w:val="auto"/>
        </w:rPr>
      </w:pPr>
    </w:p>
    <w:p>
      <w:pPr>
        <w:ind w:left="586" w:hanging="203"/>
        <w:spacing w:after="0"/>
        <w:tabs>
          <w:tab w:leader="none" w:pos="586" w:val="left"/>
        </w:tabs>
        <w:numPr>
          <w:ilvl w:val="1"/>
          <w:numId w:val="2"/>
        </w:numPr>
        <w:rPr>
          <w:rFonts w:ascii="Arial" w:cs="Arial" w:eastAsia="Arial" w:hAnsi="Arial"/>
          <w:sz w:val="12"/>
          <w:szCs w:val="12"/>
          <w:color w:val="auto"/>
        </w:rPr>
      </w:pPr>
      <w:r>
        <w:rPr>
          <w:rFonts w:ascii="Arial" w:cs="Arial" w:eastAsia="Arial" w:hAnsi="Arial"/>
          <w:sz w:val="12"/>
          <w:szCs w:val="12"/>
          <w:color w:val="auto"/>
        </w:rPr>
        <w:t>The permanent Disability of Executive, as defined in Paragraph 6(a)(iv);</w:t>
      </w:r>
    </w:p>
    <w:p>
      <w:pPr>
        <w:spacing w:after="0" w:line="186" w:lineRule="exact"/>
        <w:rPr>
          <w:rFonts w:ascii="Arial" w:cs="Arial" w:eastAsia="Arial" w:hAnsi="Arial"/>
          <w:sz w:val="12"/>
          <w:szCs w:val="12"/>
          <w:color w:val="auto"/>
        </w:rPr>
      </w:pPr>
    </w:p>
    <w:p>
      <w:pPr>
        <w:ind w:left="586" w:hanging="197"/>
        <w:spacing w:after="0"/>
        <w:tabs>
          <w:tab w:leader="none" w:pos="586" w:val="left"/>
        </w:tabs>
        <w:numPr>
          <w:ilvl w:val="1"/>
          <w:numId w:val="2"/>
        </w:numPr>
        <w:rPr>
          <w:rFonts w:ascii="Arial" w:cs="Arial" w:eastAsia="Arial" w:hAnsi="Arial"/>
          <w:sz w:val="12"/>
          <w:szCs w:val="12"/>
          <w:color w:val="auto"/>
        </w:rPr>
      </w:pPr>
      <w:r>
        <w:rPr>
          <w:rFonts w:ascii="Arial" w:cs="Arial" w:eastAsia="Arial" w:hAnsi="Arial"/>
          <w:sz w:val="12"/>
          <w:szCs w:val="12"/>
          <w:color w:val="auto"/>
        </w:rPr>
        <w:t>Termination of Executive’s employment by Company "For Cause" as defined in Paragraph 6(a)(i);</w:t>
      </w:r>
    </w:p>
    <w:p>
      <w:pPr>
        <w:spacing w:after="0" w:line="186" w:lineRule="exact"/>
        <w:rPr>
          <w:rFonts w:ascii="Arial" w:cs="Arial" w:eastAsia="Arial" w:hAnsi="Arial"/>
          <w:sz w:val="12"/>
          <w:szCs w:val="12"/>
          <w:color w:val="auto"/>
        </w:rPr>
      </w:pPr>
    </w:p>
    <w:p>
      <w:pPr>
        <w:ind w:left="586" w:hanging="203"/>
        <w:spacing w:after="0" w:line="276" w:lineRule="auto"/>
        <w:tabs>
          <w:tab w:leader="none" w:pos="586" w:val="left"/>
        </w:tabs>
        <w:numPr>
          <w:ilvl w:val="1"/>
          <w:numId w:val="2"/>
        </w:numPr>
        <w:rPr>
          <w:rFonts w:ascii="Arial" w:cs="Arial" w:eastAsia="Arial" w:hAnsi="Arial"/>
          <w:sz w:val="12"/>
          <w:szCs w:val="12"/>
          <w:color w:val="auto"/>
        </w:rPr>
      </w:pPr>
      <w:r>
        <w:rPr>
          <w:rFonts w:ascii="Arial" w:cs="Arial" w:eastAsia="Arial" w:hAnsi="Arial"/>
          <w:sz w:val="12"/>
          <w:szCs w:val="12"/>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147" w:lineRule="exact"/>
        <w:rPr>
          <w:sz w:val="20"/>
          <w:szCs w:val="20"/>
          <w:color w:val="auto"/>
        </w:rPr>
      </w:pPr>
    </w:p>
    <w:p>
      <w:pPr>
        <w:jc w:val="center"/>
        <w:ind w:right="274"/>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40005</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06"/>
          </w:cols>
          <w:pgMar w:left="494" w:top="131" w:right="199" w:bottom="1440" w:gutter="0" w:footer="0" w:header="0"/>
        </w:sectPr>
      </w:pPr>
    </w:p>
    <w:bookmarkStart w:id="6" w:name="page7"/>
    <w:bookmarkEnd w:id="6"/>
    <w:p>
      <w:pPr>
        <w:ind w:left="586" w:hanging="197"/>
        <w:spacing w:after="0"/>
        <w:tabs>
          <w:tab w:leader="none" w:pos="586" w:val="left"/>
        </w:tabs>
        <w:numPr>
          <w:ilvl w:val="1"/>
          <w:numId w:val="3"/>
        </w:numPr>
        <w:rPr>
          <w:rFonts w:ascii="Arial" w:cs="Arial" w:eastAsia="Arial" w:hAnsi="Arial"/>
          <w:sz w:val="12"/>
          <w:szCs w:val="12"/>
          <w:color w:val="auto"/>
        </w:rPr>
      </w:pPr>
      <w:r>
        <w:rPr>
          <w:rFonts w:ascii="Arial" w:cs="Arial" w:eastAsia="Arial" w:hAnsi="Arial"/>
          <w:sz w:val="12"/>
          <w:szCs w:val="12"/>
          <w:color w:val="auto"/>
        </w:rPr>
        <w:t>Separation From Service with the Company following a "Change in Control" as defined in Paragraph 6(a)(iii) and as provided in Paragraph 6(d)(i); or</w:t>
      </w:r>
    </w:p>
    <w:p>
      <w:pPr>
        <w:spacing w:after="0" w:line="186" w:lineRule="exact"/>
        <w:rPr>
          <w:rFonts w:ascii="Arial" w:cs="Arial" w:eastAsia="Arial" w:hAnsi="Arial"/>
          <w:sz w:val="12"/>
          <w:szCs w:val="12"/>
          <w:color w:val="auto"/>
        </w:rPr>
      </w:pPr>
    </w:p>
    <w:p>
      <w:pPr>
        <w:ind w:left="586" w:right="20" w:hanging="183"/>
        <w:spacing w:after="0" w:line="276" w:lineRule="auto"/>
        <w:tabs>
          <w:tab w:leader="none" w:pos="586" w:val="left"/>
        </w:tabs>
        <w:numPr>
          <w:ilvl w:val="1"/>
          <w:numId w:val="3"/>
        </w:numPr>
        <w:rPr>
          <w:rFonts w:ascii="Arial" w:cs="Arial" w:eastAsia="Arial" w:hAnsi="Arial"/>
          <w:sz w:val="12"/>
          <w:szCs w:val="12"/>
          <w:color w:val="auto"/>
        </w:rPr>
      </w:pPr>
      <w:r>
        <w:rPr>
          <w:rFonts w:ascii="Arial" w:cs="Arial" w:eastAsia="Arial" w:hAnsi="Arial"/>
          <w:sz w:val="12"/>
          <w:szCs w:val="12"/>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150" w:lineRule="exact"/>
        <w:rPr>
          <w:rFonts w:ascii="Arial" w:cs="Arial" w:eastAsia="Arial" w:hAnsi="Arial"/>
          <w:sz w:val="12"/>
          <w:szCs w:val="12"/>
          <w:color w:val="auto"/>
        </w:rPr>
      </w:pPr>
    </w:p>
    <w:p>
      <w:pPr>
        <w:ind w:left="146" w:right="20" w:hanging="146"/>
        <w:spacing w:after="0" w:line="276" w:lineRule="auto"/>
        <w:tabs>
          <w:tab w:leader="none" w:pos="146" w:val="left"/>
        </w:tabs>
        <w:numPr>
          <w:ilvl w:val="0"/>
          <w:numId w:val="4"/>
        </w:numPr>
        <w:rPr>
          <w:rFonts w:ascii="Arial" w:cs="Arial" w:eastAsia="Arial" w:hAnsi="Arial"/>
          <w:sz w:val="12"/>
          <w:szCs w:val="12"/>
          <w:color w:val="auto"/>
        </w:rPr>
      </w:pPr>
      <w:r>
        <w:rPr>
          <w:rFonts w:ascii="Arial" w:cs="Arial" w:eastAsia="Arial" w:hAnsi="Arial"/>
          <w:sz w:val="12"/>
          <w:szCs w:val="12"/>
          <w:u w:val="single" w:color="auto"/>
          <w:color w:val="auto"/>
        </w:rPr>
        <w:t>Compensation and Benefits in the Event of Termination or Separation From Service</w:t>
      </w:r>
      <w:r>
        <w:rPr>
          <w:rFonts w:ascii="Arial" w:cs="Arial" w:eastAsia="Arial" w:hAnsi="Arial"/>
          <w:sz w:val="12"/>
          <w:szCs w:val="12"/>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150" w:lineRule="exact"/>
        <w:rPr>
          <w:rFonts w:ascii="Arial" w:cs="Arial" w:eastAsia="Arial" w:hAnsi="Arial"/>
          <w:sz w:val="12"/>
          <w:szCs w:val="12"/>
          <w:color w:val="auto"/>
        </w:rPr>
      </w:pPr>
    </w:p>
    <w:p>
      <w:pPr>
        <w:ind w:left="586" w:hanging="197"/>
        <w:spacing w:after="0"/>
        <w:tabs>
          <w:tab w:leader="none" w:pos="586" w:val="left"/>
        </w:tabs>
        <w:numPr>
          <w:ilvl w:val="1"/>
          <w:numId w:val="4"/>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For purposes of this Agreement, the following terms shall have the meanings indicated:</w:t>
      </w:r>
    </w:p>
    <w:p>
      <w:pPr>
        <w:spacing w:after="0" w:line="186" w:lineRule="exact"/>
        <w:rPr>
          <w:rFonts w:ascii="Arial" w:cs="Arial" w:eastAsia="Arial" w:hAnsi="Arial"/>
          <w:sz w:val="12"/>
          <w:szCs w:val="12"/>
          <w:color w:val="auto"/>
        </w:rPr>
      </w:pPr>
    </w:p>
    <w:p>
      <w:pPr>
        <w:jc w:val="both"/>
        <w:ind w:left="1006" w:hanging="164"/>
        <w:spacing w:after="0" w:line="286" w:lineRule="auto"/>
        <w:tabs>
          <w:tab w:leader="none" w:pos="1006" w:val="left"/>
        </w:tabs>
        <w:numPr>
          <w:ilvl w:val="2"/>
          <w:numId w:val="4"/>
        </w:numPr>
        <w:rPr>
          <w:rFonts w:ascii="Arial" w:cs="Arial" w:eastAsia="Arial" w:hAnsi="Arial"/>
          <w:sz w:val="11"/>
          <w:szCs w:val="11"/>
          <w:color w:val="auto"/>
        </w:rPr>
      </w:pPr>
      <w:r>
        <w:rPr>
          <w:rFonts w:ascii="Arial" w:cs="Arial" w:eastAsia="Arial" w:hAnsi="Arial"/>
          <w:sz w:val="11"/>
          <w:szCs w:val="11"/>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147" w:lineRule="exact"/>
        <w:rPr>
          <w:rFonts w:ascii="Arial" w:cs="Arial" w:eastAsia="Arial" w:hAnsi="Arial"/>
          <w:sz w:val="11"/>
          <w:szCs w:val="11"/>
          <w:color w:val="auto"/>
        </w:rPr>
      </w:pPr>
    </w:p>
    <w:p>
      <w:pPr>
        <w:ind w:left="1006" w:hanging="198"/>
        <w:spacing w:after="0"/>
        <w:tabs>
          <w:tab w:leader="none" w:pos="1006" w:val="left"/>
        </w:tabs>
        <w:numPr>
          <w:ilvl w:val="2"/>
          <w:numId w:val="4"/>
        </w:numPr>
        <w:rPr>
          <w:rFonts w:ascii="Arial" w:cs="Arial" w:eastAsia="Arial" w:hAnsi="Arial"/>
          <w:sz w:val="12"/>
          <w:szCs w:val="12"/>
          <w:color w:val="auto"/>
        </w:rPr>
      </w:pPr>
      <w:r>
        <w:rPr>
          <w:rFonts w:ascii="Arial" w:cs="Arial" w:eastAsia="Arial" w:hAnsi="Arial"/>
          <w:sz w:val="12"/>
          <w:szCs w:val="12"/>
          <w:color w:val="auto"/>
        </w:rPr>
        <w:t>The term "Good Reason" shall mean either:</w:t>
      </w:r>
    </w:p>
    <w:p>
      <w:pPr>
        <w:spacing w:after="0" w:line="186" w:lineRule="exact"/>
        <w:rPr>
          <w:rFonts w:ascii="Arial" w:cs="Arial" w:eastAsia="Arial" w:hAnsi="Arial"/>
          <w:sz w:val="12"/>
          <w:szCs w:val="12"/>
          <w:color w:val="auto"/>
        </w:rPr>
      </w:pPr>
    </w:p>
    <w:p>
      <w:pPr>
        <w:jc w:val="both"/>
        <w:ind w:left="1446" w:hanging="431"/>
        <w:spacing w:after="0" w:line="263" w:lineRule="auto"/>
        <w:tabs>
          <w:tab w:leader="none" w:pos="1446" w:val="left"/>
        </w:tabs>
        <w:numPr>
          <w:ilvl w:val="3"/>
          <w:numId w:val="4"/>
        </w:numPr>
        <w:rPr>
          <w:rFonts w:ascii="Arial" w:cs="Arial" w:eastAsia="Arial" w:hAnsi="Arial"/>
          <w:sz w:val="12"/>
          <w:szCs w:val="12"/>
          <w:color w:val="auto"/>
        </w:rPr>
      </w:pPr>
      <w:r>
        <w:rPr>
          <w:rFonts w:ascii="Arial" w:cs="Arial" w:eastAsia="Arial" w:hAnsi="Arial"/>
          <w:sz w:val="12"/>
          <w:szCs w:val="12"/>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58" w:lineRule="exact"/>
        <w:rPr>
          <w:rFonts w:ascii="Arial" w:cs="Arial" w:eastAsia="Arial" w:hAnsi="Arial"/>
          <w:sz w:val="12"/>
          <w:szCs w:val="12"/>
          <w:color w:val="auto"/>
        </w:rPr>
      </w:pPr>
    </w:p>
    <w:p>
      <w:pPr>
        <w:ind w:left="1446" w:hanging="431"/>
        <w:spacing w:after="0"/>
        <w:tabs>
          <w:tab w:leader="none" w:pos="1446" w:val="left"/>
        </w:tabs>
        <w:numPr>
          <w:ilvl w:val="3"/>
          <w:numId w:val="4"/>
        </w:numPr>
        <w:rPr>
          <w:rFonts w:ascii="Arial" w:cs="Arial" w:eastAsia="Arial" w:hAnsi="Arial"/>
          <w:sz w:val="11"/>
          <w:szCs w:val="11"/>
          <w:color w:val="auto"/>
        </w:rPr>
      </w:pPr>
      <w:r>
        <w:rPr>
          <w:rFonts w:ascii="Arial" w:cs="Arial" w:eastAsia="Arial" w:hAnsi="Arial"/>
          <w:sz w:val="11"/>
          <w:szCs w:val="11"/>
          <w:color w:val="auto"/>
        </w:rPr>
        <w:t>any material failure by the Company to comply with this Agreement, other than a failure that is remedied by the Company within 10 days after receipt of notice thereof from the Executive.</w:t>
      </w:r>
    </w:p>
    <w:p>
      <w:pPr>
        <w:spacing w:after="0" w:line="230" w:lineRule="exact"/>
        <w:rPr>
          <w:sz w:val="20"/>
          <w:szCs w:val="20"/>
          <w:color w:val="auto"/>
        </w:rPr>
      </w:pPr>
    </w:p>
    <w:p>
      <w:pPr>
        <w:jc w:val="center"/>
        <w:ind w:right="274"/>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40005</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06"/>
          </w:cols>
          <w:pgMar w:left="494" w:top="131" w:right="199" w:bottom="1440" w:gutter="0" w:footer="0" w:header="0"/>
        </w:sectPr>
      </w:pPr>
    </w:p>
    <w:bookmarkStart w:id="7" w:name="page8"/>
    <w:bookmarkEnd w:id="7"/>
    <w:p>
      <w:pPr>
        <w:ind w:left="231" w:hanging="231"/>
        <w:spacing w:after="0"/>
        <w:tabs>
          <w:tab w:leader="none" w:pos="231"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term “Change in Control” shall mean either:</w:t>
      </w:r>
    </w:p>
    <w:p>
      <w:pPr>
        <w:spacing w:after="0" w:line="186" w:lineRule="exact"/>
        <w:rPr>
          <w:rFonts w:ascii="Arial" w:cs="Arial" w:eastAsia="Arial" w:hAnsi="Arial"/>
          <w:sz w:val="12"/>
          <w:szCs w:val="12"/>
          <w:color w:val="auto"/>
        </w:rPr>
      </w:pPr>
    </w:p>
    <w:p>
      <w:pPr>
        <w:jc w:val="both"/>
        <w:ind w:left="671" w:hanging="225"/>
        <w:spacing w:after="0" w:line="290" w:lineRule="auto"/>
        <w:tabs>
          <w:tab w:leader="none" w:pos="671" w:val="left"/>
        </w:tabs>
        <w:numPr>
          <w:ilvl w:val="1"/>
          <w:numId w:val="5"/>
        </w:numPr>
        <w:rPr>
          <w:rFonts w:ascii="Arial" w:cs="Arial" w:eastAsia="Arial" w:hAnsi="Arial"/>
          <w:sz w:val="11"/>
          <w:szCs w:val="11"/>
          <w:color w:val="auto"/>
        </w:rPr>
      </w:pPr>
      <w:r>
        <w:rPr>
          <w:rFonts w:ascii="Arial" w:cs="Arial" w:eastAsia="Arial" w:hAnsi="Arial"/>
          <w:sz w:val="11"/>
          <w:szCs w:val="11"/>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145" w:lineRule="exact"/>
        <w:rPr>
          <w:rFonts w:ascii="Arial" w:cs="Arial" w:eastAsia="Arial" w:hAnsi="Arial"/>
          <w:sz w:val="11"/>
          <w:szCs w:val="11"/>
          <w:color w:val="auto"/>
        </w:rPr>
      </w:pPr>
    </w:p>
    <w:p>
      <w:pPr>
        <w:ind w:left="671" w:right="20" w:hanging="219"/>
        <w:spacing w:after="0" w:line="276" w:lineRule="auto"/>
        <w:tabs>
          <w:tab w:leader="none" w:pos="671" w:val="left"/>
        </w:tabs>
        <w:numPr>
          <w:ilvl w:val="1"/>
          <w:numId w:val="5"/>
        </w:numPr>
        <w:rPr>
          <w:rFonts w:ascii="Arial" w:cs="Arial" w:eastAsia="Arial" w:hAnsi="Arial"/>
          <w:sz w:val="12"/>
          <w:szCs w:val="12"/>
          <w:color w:val="auto"/>
        </w:rPr>
      </w:pPr>
      <w:r>
        <w:rPr>
          <w:rFonts w:ascii="Arial" w:cs="Arial" w:eastAsia="Arial" w:hAnsi="Arial"/>
          <w:sz w:val="12"/>
          <w:szCs w:val="12"/>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150" w:lineRule="exact"/>
        <w:rPr>
          <w:rFonts w:ascii="Arial" w:cs="Arial" w:eastAsia="Arial" w:hAnsi="Arial"/>
          <w:sz w:val="12"/>
          <w:szCs w:val="12"/>
          <w:color w:val="auto"/>
        </w:rPr>
      </w:pPr>
    </w:p>
    <w:p>
      <w:pPr>
        <w:ind w:left="671" w:hanging="219"/>
        <w:spacing w:after="0"/>
        <w:tabs>
          <w:tab w:leader="none" w:pos="671" w:val="left"/>
        </w:tabs>
        <w:numPr>
          <w:ilvl w:val="1"/>
          <w:numId w:val="5"/>
        </w:numPr>
        <w:rPr>
          <w:rFonts w:ascii="Arial" w:cs="Arial" w:eastAsia="Arial" w:hAnsi="Arial"/>
          <w:sz w:val="12"/>
          <w:szCs w:val="12"/>
          <w:color w:val="auto"/>
        </w:rPr>
      </w:pPr>
      <w:r>
        <w:rPr>
          <w:rFonts w:ascii="Arial" w:cs="Arial" w:eastAsia="Arial" w:hAnsi="Arial"/>
          <w:sz w:val="12"/>
          <w:szCs w:val="12"/>
          <w:color w:val="auto"/>
        </w:rPr>
        <w:t>The Company sells fifty percent (50%) or more of its assets to any other person or persons (other than an affiliate or affiliates of the Company); or</w:t>
      </w:r>
    </w:p>
    <w:p>
      <w:pPr>
        <w:spacing w:after="0" w:line="186" w:lineRule="exact"/>
        <w:rPr>
          <w:rFonts w:ascii="Arial" w:cs="Arial" w:eastAsia="Arial" w:hAnsi="Arial"/>
          <w:sz w:val="12"/>
          <w:szCs w:val="12"/>
          <w:color w:val="auto"/>
        </w:rPr>
      </w:pPr>
    </w:p>
    <w:p>
      <w:pPr>
        <w:jc w:val="both"/>
        <w:ind w:left="671" w:hanging="191"/>
        <w:spacing w:after="0" w:line="290" w:lineRule="auto"/>
        <w:tabs>
          <w:tab w:leader="none" w:pos="671" w:val="left"/>
        </w:tabs>
        <w:numPr>
          <w:ilvl w:val="2"/>
          <w:numId w:val="5"/>
        </w:numPr>
        <w:rPr>
          <w:rFonts w:ascii="Arial" w:cs="Arial" w:eastAsia="Arial" w:hAnsi="Arial"/>
          <w:sz w:val="11"/>
          <w:szCs w:val="11"/>
          <w:color w:val="auto"/>
        </w:rPr>
      </w:pPr>
      <w:r>
        <w:rPr>
          <w:rFonts w:ascii="Arial" w:cs="Arial" w:eastAsia="Arial" w:hAnsi="Arial"/>
          <w:sz w:val="11"/>
          <w:szCs w:val="11"/>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45" w:lineRule="exact"/>
        <w:rPr>
          <w:sz w:val="20"/>
          <w:szCs w:val="20"/>
          <w:color w:val="auto"/>
        </w:rPr>
      </w:pPr>
    </w:p>
    <w:p>
      <w:pPr>
        <w:ind w:left="231"/>
        <w:spacing w:after="0"/>
        <w:rPr>
          <w:sz w:val="20"/>
          <w:szCs w:val="20"/>
          <w:color w:val="auto"/>
        </w:rPr>
      </w:pPr>
      <w:r>
        <w:rPr>
          <w:rFonts w:ascii="Arial" w:cs="Arial" w:eastAsia="Arial" w:hAnsi="Arial"/>
          <w:sz w:val="12"/>
          <w:szCs w:val="12"/>
          <w:color w:val="auto"/>
        </w:rPr>
        <w:t>It is not intended that a Change of Control will serve as an event which entitles Executive to any payment hereunder.</w:t>
      </w:r>
    </w:p>
    <w:p>
      <w:pPr>
        <w:spacing w:after="0" w:line="186" w:lineRule="exact"/>
        <w:rPr>
          <w:sz w:val="20"/>
          <w:szCs w:val="20"/>
          <w:color w:val="auto"/>
        </w:rPr>
      </w:pPr>
    </w:p>
    <w:p>
      <w:pPr>
        <w:ind w:left="231" w:hanging="224"/>
        <w:spacing w:after="0" w:line="276" w:lineRule="auto"/>
        <w:tabs>
          <w:tab w:leader="none" w:pos="231"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147" w:lineRule="exact"/>
        <w:rPr>
          <w:sz w:val="20"/>
          <w:szCs w:val="20"/>
          <w:color w:val="auto"/>
        </w:rPr>
      </w:pPr>
    </w:p>
    <w:p>
      <w:pPr>
        <w:ind w:left="4671"/>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40005</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431"/>
          </w:cols>
          <w:pgMar w:left="1269" w:top="131" w:right="199" w:bottom="1440" w:gutter="0" w:footer="0" w:header="0"/>
        </w:sectPr>
      </w:pPr>
    </w:p>
    <w:bookmarkStart w:id="8" w:name="page9"/>
    <w:bookmarkEnd w:id="8"/>
    <w:p>
      <w:pPr>
        <w:ind w:left="623" w:right="100" w:hanging="191"/>
        <w:spacing w:after="0" w:line="298" w:lineRule="auto"/>
        <w:tabs>
          <w:tab w:leader="none" w:pos="623" w:val="left"/>
        </w:tabs>
        <w:numPr>
          <w:ilvl w:val="2"/>
          <w:numId w:val="7"/>
        </w:numPr>
        <w:rPr>
          <w:rFonts w:ascii="Arial" w:cs="Arial" w:eastAsia="Arial" w:hAnsi="Arial"/>
          <w:sz w:val="11"/>
          <w:szCs w:val="11"/>
          <w:color w:val="auto"/>
        </w:rPr>
      </w:pPr>
      <w:r>
        <w:rPr>
          <w:rFonts w:ascii="Arial" w:cs="Arial" w:eastAsia="Arial" w:hAnsi="Arial"/>
          <w:sz w:val="11"/>
          <w:szCs w:val="11"/>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05" w:lineRule="exact"/>
        <w:rPr>
          <w:rFonts w:ascii="Arial" w:cs="Arial" w:eastAsia="Arial" w:hAnsi="Arial"/>
          <w:sz w:val="11"/>
          <w:szCs w:val="11"/>
          <w:color w:val="auto"/>
        </w:rPr>
      </w:pPr>
    </w:p>
    <w:p>
      <w:pPr>
        <w:ind w:left="623" w:right="300" w:hanging="224"/>
        <w:spacing w:after="0" w:line="276" w:lineRule="auto"/>
        <w:tabs>
          <w:tab w:leader="none" w:pos="623" w:val="left"/>
        </w:tabs>
        <w:numPr>
          <w:ilvl w:val="2"/>
          <w:numId w:val="7"/>
        </w:numPr>
        <w:rPr>
          <w:rFonts w:ascii="Arial" w:cs="Arial" w:eastAsia="Arial" w:hAnsi="Arial"/>
          <w:sz w:val="12"/>
          <w:szCs w:val="12"/>
          <w:color w:val="auto"/>
        </w:rPr>
      </w:pPr>
      <w:r>
        <w:rPr>
          <w:rFonts w:ascii="Arial" w:cs="Arial" w:eastAsia="Arial" w:hAnsi="Arial"/>
          <w:sz w:val="12"/>
          <w:szCs w:val="12"/>
          <w:color w:val="auto"/>
        </w:rPr>
        <w:t>The term “Separation From Service” shall have the meaning contemplated in guidance issued by the U. S. Department of the Treasury for purposes of applying the provisions of Section 409A of the Internal Revenue Code.</w:t>
      </w:r>
    </w:p>
    <w:p>
      <w:pPr>
        <w:spacing w:after="0" w:line="150" w:lineRule="exact"/>
        <w:rPr>
          <w:rFonts w:ascii="Arial" w:cs="Arial" w:eastAsia="Arial" w:hAnsi="Arial"/>
          <w:sz w:val="12"/>
          <w:szCs w:val="12"/>
          <w:color w:val="auto"/>
        </w:rPr>
      </w:pPr>
    </w:p>
    <w:p>
      <w:pPr>
        <w:ind w:left="623" w:hanging="257"/>
        <w:spacing w:after="0"/>
        <w:tabs>
          <w:tab w:leader="none" w:pos="623" w:val="left"/>
        </w:tabs>
        <w:numPr>
          <w:ilvl w:val="2"/>
          <w:numId w:val="7"/>
        </w:numPr>
        <w:rPr>
          <w:rFonts w:ascii="Arial" w:cs="Arial" w:eastAsia="Arial" w:hAnsi="Arial"/>
          <w:sz w:val="11"/>
          <w:szCs w:val="11"/>
          <w:color w:val="auto"/>
        </w:rPr>
      </w:pPr>
      <w:r>
        <w:rPr>
          <w:rFonts w:ascii="Arial" w:cs="Arial" w:eastAsia="Arial" w:hAnsi="Arial"/>
          <w:sz w:val="11"/>
          <w:szCs w:val="11"/>
          <w:color w:val="auto"/>
        </w:rPr>
        <w:t>The term “Specified Employee” shall have the meaning contemplated by Section 409A(a)(2)(B)(i) of the Internal Revenue Code and guidance issued thereunder by the U. S. Department of the Treasury.</w:t>
      </w:r>
    </w:p>
    <w:p>
      <w:pPr>
        <w:spacing w:after="0" w:line="197" w:lineRule="exact"/>
        <w:rPr>
          <w:rFonts w:ascii="Arial" w:cs="Arial" w:eastAsia="Arial" w:hAnsi="Arial"/>
          <w:sz w:val="11"/>
          <w:szCs w:val="11"/>
          <w:color w:val="auto"/>
        </w:rPr>
      </w:pPr>
    </w:p>
    <w:p>
      <w:pPr>
        <w:jc w:val="both"/>
        <w:ind w:left="203" w:hanging="203"/>
        <w:spacing w:after="0" w:line="277" w:lineRule="auto"/>
        <w:tabs>
          <w:tab w:leader="none" w:pos="203" w:val="left"/>
        </w:tabs>
        <w:numPr>
          <w:ilvl w:val="0"/>
          <w:numId w:val="8"/>
        </w:numPr>
        <w:rPr>
          <w:rFonts w:ascii="Arial" w:cs="Arial" w:eastAsia="Arial" w:hAnsi="Arial"/>
          <w:sz w:val="11"/>
          <w:szCs w:val="11"/>
          <w:color w:val="auto"/>
        </w:rPr>
      </w:pPr>
      <w:r>
        <w:rPr>
          <w:rFonts w:ascii="Arial" w:cs="Arial" w:eastAsia="Arial" w:hAnsi="Arial"/>
          <w:sz w:val="11"/>
          <w:szCs w:val="11"/>
          <w:u w:val="single" w:color="auto"/>
          <w:color w:val="auto"/>
        </w:rPr>
        <w:t>Separation From Service By Company Not For Cause Or By Executive With Good Reason Prior To A Change Of Control</w:t>
      </w:r>
      <w:r>
        <w:rPr>
          <w:rFonts w:ascii="Arial" w:cs="Arial" w:eastAsia="Arial" w:hAnsi="Arial"/>
          <w:sz w:val="11"/>
          <w:szCs w:val="11"/>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w:t>
      </w:r>
    </w:p>
    <w:p>
      <w:pPr>
        <w:spacing w:after="0" w:line="1" w:lineRule="exact"/>
        <w:rPr>
          <w:rFonts w:ascii="Arial" w:cs="Arial" w:eastAsia="Arial" w:hAnsi="Arial"/>
          <w:sz w:val="11"/>
          <w:szCs w:val="11"/>
          <w:color w:val="auto"/>
        </w:rPr>
      </w:pPr>
    </w:p>
    <w:p>
      <w:pPr>
        <w:jc w:val="both"/>
        <w:ind w:left="203" w:hanging="3"/>
        <w:spacing w:after="0" w:line="281" w:lineRule="auto"/>
        <w:tabs>
          <w:tab w:leader="none" w:pos="373" w:val="left"/>
        </w:tabs>
        <w:numPr>
          <w:ilvl w:val="1"/>
          <w:numId w:val="8"/>
        </w:numPr>
        <w:rPr>
          <w:rFonts w:ascii="Arial" w:cs="Arial" w:eastAsia="Arial" w:hAnsi="Arial"/>
          <w:sz w:val="11"/>
          <w:szCs w:val="11"/>
          <w:color w:val="auto"/>
        </w:rPr>
      </w:pPr>
      <w:r>
        <w:rPr>
          <w:rFonts w:ascii="Arial" w:cs="Arial" w:eastAsia="Arial" w:hAnsi="Arial"/>
          <w:sz w:val="11"/>
          <w:szCs w:val="11"/>
          <w:color w:val="auto"/>
        </w:rPr>
        <w:t>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148" w:lineRule="exact"/>
        <w:rPr>
          <w:sz w:val="20"/>
          <w:szCs w:val="20"/>
          <w:color w:val="auto"/>
        </w:rPr>
      </w:pPr>
    </w:p>
    <w:p>
      <w:pPr>
        <w:ind w:left="5063"/>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40005</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823"/>
          </w:cols>
          <w:pgMar w:left="877" w:top="131" w:right="199" w:bottom="1440" w:gutter="0" w:footer="0" w:header="0"/>
        </w:sectPr>
      </w:pPr>
    </w:p>
    <w:bookmarkStart w:id="9" w:name="page10"/>
    <w:bookmarkEnd w:id="9"/>
    <w:p>
      <w:pPr>
        <w:ind w:left="203" w:right="20" w:hanging="197"/>
        <w:spacing w:after="0" w:line="323" w:lineRule="auto"/>
        <w:tabs>
          <w:tab w:leader="none" w:pos="203" w:val="left"/>
        </w:tabs>
        <w:numPr>
          <w:ilvl w:val="0"/>
          <w:numId w:val="9"/>
        </w:numPr>
        <w:rPr>
          <w:rFonts w:ascii="Arial" w:cs="Arial" w:eastAsia="Arial" w:hAnsi="Arial"/>
          <w:sz w:val="11"/>
          <w:szCs w:val="11"/>
          <w:color w:val="auto"/>
        </w:rPr>
      </w:pPr>
      <w:r>
        <w:rPr>
          <w:rFonts w:ascii="Arial" w:cs="Arial" w:eastAsia="Arial" w:hAnsi="Arial"/>
          <w:sz w:val="11"/>
          <w:szCs w:val="11"/>
          <w:u w:val="single" w:color="auto"/>
          <w:color w:val="auto"/>
        </w:rPr>
        <w:t>Termination By The Company For Cause Or By The Executive Without Good Reason</w:t>
      </w:r>
      <w:r>
        <w:rPr>
          <w:rFonts w:ascii="Arial" w:cs="Arial" w:eastAsia="Arial" w:hAnsi="Arial"/>
          <w:sz w:val="11"/>
          <w:szCs w:val="11"/>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127" w:lineRule="exact"/>
        <w:rPr>
          <w:rFonts w:ascii="Arial" w:cs="Arial" w:eastAsia="Arial" w:hAnsi="Arial"/>
          <w:sz w:val="11"/>
          <w:szCs w:val="11"/>
          <w:color w:val="auto"/>
        </w:rPr>
      </w:pPr>
    </w:p>
    <w:p>
      <w:pPr>
        <w:ind w:left="623" w:right="20" w:hanging="191"/>
        <w:spacing w:after="0" w:line="276" w:lineRule="auto"/>
        <w:tabs>
          <w:tab w:leader="none" w:pos="623" w:val="left"/>
        </w:tabs>
        <w:numPr>
          <w:ilvl w:val="2"/>
          <w:numId w:val="9"/>
        </w:numPr>
        <w:rPr>
          <w:rFonts w:ascii="Arial" w:cs="Arial" w:eastAsia="Arial" w:hAnsi="Arial"/>
          <w:sz w:val="12"/>
          <w:szCs w:val="12"/>
          <w:color w:val="auto"/>
        </w:rPr>
      </w:pPr>
      <w:r>
        <w:rPr>
          <w:rFonts w:ascii="Arial" w:cs="Arial" w:eastAsia="Arial" w:hAnsi="Arial"/>
          <w:sz w:val="12"/>
          <w:szCs w:val="12"/>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50" w:lineRule="exact"/>
        <w:rPr>
          <w:rFonts w:ascii="Arial" w:cs="Arial" w:eastAsia="Arial" w:hAnsi="Arial"/>
          <w:sz w:val="12"/>
          <w:szCs w:val="12"/>
          <w:color w:val="auto"/>
        </w:rPr>
      </w:pPr>
    </w:p>
    <w:p>
      <w:pPr>
        <w:jc w:val="both"/>
        <w:ind w:left="623" w:hanging="191"/>
        <w:spacing w:after="0" w:line="263" w:lineRule="auto"/>
        <w:tabs>
          <w:tab w:leader="none" w:pos="623" w:val="left"/>
        </w:tabs>
        <w:numPr>
          <w:ilvl w:val="2"/>
          <w:numId w:val="9"/>
        </w:numPr>
        <w:rPr>
          <w:rFonts w:ascii="Arial" w:cs="Arial" w:eastAsia="Arial" w:hAnsi="Arial"/>
          <w:sz w:val="12"/>
          <w:szCs w:val="12"/>
          <w:color w:val="auto"/>
        </w:rPr>
      </w:pPr>
      <w:r>
        <w:rPr>
          <w:rFonts w:ascii="Arial" w:cs="Arial" w:eastAsia="Arial" w:hAnsi="Arial"/>
          <w:sz w:val="12"/>
          <w:szCs w:val="12"/>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158" w:lineRule="exact"/>
        <w:rPr>
          <w:rFonts w:ascii="Arial" w:cs="Arial" w:eastAsia="Arial" w:hAnsi="Arial"/>
          <w:sz w:val="12"/>
          <w:szCs w:val="12"/>
          <w:color w:val="auto"/>
        </w:rPr>
      </w:pPr>
    </w:p>
    <w:p>
      <w:pPr>
        <w:ind w:left="623" w:hanging="191"/>
        <w:spacing w:after="0"/>
        <w:tabs>
          <w:tab w:leader="none" w:pos="623" w:val="left"/>
        </w:tabs>
        <w:numPr>
          <w:ilvl w:val="2"/>
          <w:numId w:val="9"/>
        </w:numPr>
        <w:rPr>
          <w:rFonts w:ascii="Arial" w:cs="Arial" w:eastAsia="Arial" w:hAnsi="Arial"/>
          <w:sz w:val="12"/>
          <w:szCs w:val="12"/>
          <w:color w:val="auto"/>
        </w:rPr>
      </w:pPr>
      <w:r>
        <w:rPr>
          <w:rFonts w:ascii="Arial" w:cs="Arial" w:eastAsia="Arial" w:hAnsi="Arial"/>
          <w:sz w:val="12"/>
          <w:szCs w:val="12"/>
          <w:color w:val="auto"/>
        </w:rPr>
        <w:t>The Company shall promptly reimburse Executive for any and all reimbursable business expenses (to the extent not already reimbursed) upon Executive's properly accounting for the same.</w:t>
      </w:r>
    </w:p>
    <w:p>
      <w:pPr>
        <w:spacing w:after="0" w:line="186" w:lineRule="exact"/>
        <w:rPr>
          <w:rFonts w:ascii="Arial" w:cs="Arial" w:eastAsia="Arial" w:hAnsi="Arial"/>
          <w:sz w:val="12"/>
          <w:szCs w:val="12"/>
          <w:color w:val="auto"/>
        </w:rPr>
      </w:pPr>
    </w:p>
    <w:p>
      <w:pPr>
        <w:ind w:left="203" w:hanging="203"/>
        <w:spacing w:after="0"/>
        <w:tabs>
          <w:tab w:leader="none" w:pos="203"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Separation From Service Following a Change of Control</w:t>
      </w:r>
    </w:p>
    <w:p>
      <w:pPr>
        <w:spacing w:after="0" w:line="186" w:lineRule="exact"/>
        <w:rPr>
          <w:rFonts w:ascii="Arial" w:cs="Arial" w:eastAsia="Arial" w:hAnsi="Arial"/>
          <w:sz w:val="12"/>
          <w:szCs w:val="12"/>
          <w:color w:val="auto"/>
        </w:rPr>
      </w:pPr>
    </w:p>
    <w:p>
      <w:pPr>
        <w:jc w:val="both"/>
        <w:ind w:left="623" w:hanging="423"/>
        <w:spacing w:after="0" w:line="263" w:lineRule="auto"/>
        <w:tabs>
          <w:tab w:leader="none" w:pos="623" w:val="left"/>
        </w:tabs>
        <w:numPr>
          <w:ilvl w:val="1"/>
          <w:numId w:val="9"/>
        </w:numPr>
        <w:rPr>
          <w:rFonts w:ascii="Arial" w:cs="Arial" w:eastAsia="Arial" w:hAnsi="Arial"/>
          <w:sz w:val="12"/>
          <w:szCs w:val="12"/>
          <w:color w:val="auto"/>
        </w:rPr>
      </w:pPr>
      <w:r>
        <w:rPr>
          <w:rFonts w:ascii="Arial" w:cs="Arial" w:eastAsia="Arial" w:hAnsi="Arial"/>
          <w:sz w:val="12"/>
          <w:szCs w:val="12"/>
          <w:u w:val="single" w:color="auto"/>
          <w:color w:val="auto"/>
        </w:rPr>
        <w:t>Severance Benefits</w:t>
      </w:r>
      <w:r>
        <w:rPr>
          <w:rFonts w:ascii="Arial" w:cs="Arial" w:eastAsia="Arial" w:hAnsi="Arial"/>
          <w:sz w:val="12"/>
          <w:szCs w:val="12"/>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Arial" w:cs="Arial" w:eastAsia="Arial" w:hAnsi="Arial"/>
          <w:sz w:val="12"/>
          <w:szCs w:val="12"/>
          <w:u w:val="single" w:color="auto"/>
          <w:color w:val="auto"/>
        </w:rPr>
        <w:t>and</w:t>
      </w:r>
      <w:r>
        <w:rPr>
          <w:rFonts w:ascii="Arial" w:cs="Arial" w:eastAsia="Arial" w:hAnsi="Arial"/>
          <w:sz w:val="12"/>
          <w:szCs w:val="12"/>
          <w:color w:val="auto"/>
        </w:rPr>
        <w:t xml:space="preserve"> such termination or Separation From Service is either (i) Without Cause (as defined below), </w:t>
      </w:r>
      <w:r>
        <w:rPr>
          <w:rFonts w:ascii="Arial" w:cs="Arial" w:eastAsia="Arial" w:hAnsi="Arial"/>
          <w:sz w:val="12"/>
          <w:szCs w:val="12"/>
          <w:u w:val="single" w:color="auto"/>
          <w:color w:val="auto"/>
        </w:rPr>
        <w:t>or</w:t>
      </w:r>
      <w:r>
        <w:rPr>
          <w:rFonts w:ascii="Arial" w:cs="Arial" w:eastAsia="Arial" w:hAnsi="Arial"/>
          <w:sz w:val="12"/>
          <w:szCs w:val="12"/>
          <w:color w:val="auto"/>
        </w:rPr>
        <w:t xml:space="preserve"> (ii) is a Constructive Termination (as defined below), Executive shall receive, in addition to all compensation due and payable to or accrued for the benefit of Executive:</w:t>
      </w:r>
    </w:p>
    <w:p>
      <w:pPr>
        <w:spacing w:after="0" w:line="158" w:lineRule="exact"/>
        <w:rPr>
          <w:rFonts w:ascii="Arial" w:cs="Arial" w:eastAsia="Arial" w:hAnsi="Arial"/>
          <w:sz w:val="12"/>
          <w:szCs w:val="12"/>
          <w:color w:val="auto"/>
        </w:rPr>
      </w:pPr>
    </w:p>
    <w:p>
      <w:pPr>
        <w:jc w:val="both"/>
        <w:ind w:left="1063" w:hanging="431"/>
        <w:spacing w:after="0" w:line="263" w:lineRule="auto"/>
        <w:tabs>
          <w:tab w:leader="none" w:pos="1063" w:val="left"/>
        </w:tabs>
        <w:numPr>
          <w:ilvl w:val="3"/>
          <w:numId w:val="9"/>
        </w:numPr>
        <w:rPr>
          <w:rFonts w:ascii="Arial" w:cs="Arial" w:eastAsia="Arial" w:hAnsi="Arial"/>
          <w:sz w:val="12"/>
          <w:szCs w:val="12"/>
          <w:color w:val="auto"/>
        </w:rPr>
      </w:pPr>
      <w:r>
        <w:rPr>
          <w:rFonts w:ascii="Arial" w:cs="Arial" w:eastAsia="Arial" w:hAnsi="Arial"/>
          <w:sz w:val="12"/>
          <w:szCs w:val="12"/>
          <w:color w:val="auto"/>
        </w:rPr>
        <w:t xml:space="preserve">a lump sum payment equal to an amount set forth on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158" w:lineRule="exact"/>
        <w:rPr>
          <w:rFonts w:ascii="Arial" w:cs="Arial" w:eastAsia="Arial" w:hAnsi="Arial"/>
          <w:sz w:val="12"/>
          <w:szCs w:val="12"/>
          <w:color w:val="auto"/>
        </w:rPr>
      </w:pPr>
    </w:p>
    <w:p>
      <w:pPr>
        <w:jc w:val="both"/>
        <w:ind w:left="1063" w:hanging="431"/>
        <w:spacing w:after="0" w:line="263" w:lineRule="auto"/>
        <w:tabs>
          <w:tab w:leader="none" w:pos="1063" w:val="left"/>
        </w:tabs>
        <w:numPr>
          <w:ilvl w:val="3"/>
          <w:numId w:val="9"/>
        </w:numPr>
        <w:rPr>
          <w:rFonts w:ascii="Arial" w:cs="Arial" w:eastAsia="Arial" w:hAnsi="Arial"/>
          <w:sz w:val="12"/>
          <w:szCs w:val="12"/>
          <w:color w:val="auto"/>
        </w:rPr>
      </w:pPr>
      <w:r>
        <w:rPr>
          <w:rFonts w:ascii="Arial" w:cs="Arial" w:eastAsia="Arial" w:hAnsi="Arial"/>
          <w:sz w:val="12"/>
          <w:szCs w:val="12"/>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155" w:lineRule="exact"/>
        <w:rPr>
          <w:sz w:val="20"/>
          <w:szCs w:val="20"/>
          <w:color w:val="auto"/>
        </w:rPr>
      </w:pPr>
    </w:p>
    <w:p>
      <w:pPr>
        <w:ind w:left="5063"/>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40005</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823"/>
          </w:cols>
          <w:pgMar w:left="877" w:top="131" w:right="199" w:bottom="1440" w:gutter="0" w:footer="0" w:header="0"/>
        </w:sectPr>
      </w:pPr>
    </w:p>
    <w:bookmarkStart w:id="10" w:name="page11"/>
    <w:bookmarkEnd w:id="10"/>
    <w:p>
      <w:pPr>
        <w:jc w:val="both"/>
        <w:ind w:left="1300" w:hanging="431"/>
        <w:spacing w:after="0" w:line="286" w:lineRule="auto"/>
        <w:tabs>
          <w:tab w:leader="none" w:pos="13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The Severance Payment, Pro-rated Bonus and Insurance Benefits are collectively referred to in this Agreement as the "Severance Benefit."</w:t>
      </w:r>
    </w:p>
    <w:p>
      <w:pPr>
        <w:spacing w:after="0" w:line="213" w:lineRule="exact"/>
        <w:rPr>
          <w:sz w:val="20"/>
          <w:szCs w:val="20"/>
          <w:color w:val="auto"/>
        </w:rPr>
      </w:pPr>
    </w:p>
    <w:p>
      <w:pPr>
        <w:jc w:val="both"/>
        <w:ind w:firstLine="437"/>
        <w:spacing w:after="0" w:line="307" w:lineRule="auto"/>
        <w:tabs>
          <w:tab w:leader="none" w:pos="939" w:val="left"/>
        </w:tabs>
        <w:numPr>
          <w:ilvl w:val="0"/>
          <w:numId w:val="11"/>
        </w:numPr>
        <w:rPr>
          <w:rFonts w:ascii="Arial" w:cs="Arial" w:eastAsia="Arial" w:hAnsi="Arial"/>
          <w:sz w:val="11"/>
          <w:szCs w:val="11"/>
          <w:color w:val="auto"/>
        </w:rPr>
      </w:pPr>
      <w:r>
        <w:rPr>
          <w:rFonts w:ascii="Arial" w:cs="Arial" w:eastAsia="Arial" w:hAnsi="Arial"/>
          <w:sz w:val="11"/>
          <w:szCs w:val="11"/>
          <w:u w:val="single" w:color="auto"/>
          <w:color w:val="auto"/>
        </w:rPr>
        <w:t>Termination or Separation From Service Without Cause</w:t>
      </w:r>
      <w:r>
        <w:rPr>
          <w:rFonts w:ascii="Arial" w:cs="Arial" w:eastAsia="Arial" w:hAnsi="Arial"/>
          <w:sz w:val="11"/>
          <w:szCs w:val="11"/>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163" w:lineRule="exact"/>
        <w:rPr>
          <w:rFonts w:ascii="Arial" w:cs="Arial" w:eastAsia="Arial" w:hAnsi="Arial"/>
          <w:sz w:val="11"/>
          <w:szCs w:val="11"/>
          <w:color w:val="auto"/>
        </w:rPr>
      </w:pPr>
    </w:p>
    <w:p>
      <w:pPr>
        <w:jc w:val="both"/>
        <w:ind w:firstLine="437"/>
        <w:spacing w:after="0" w:line="295" w:lineRule="auto"/>
        <w:tabs>
          <w:tab w:leader="none" w:pos="973" w:val="left"/>
        </w:tabs>
        <w:numPr>
          <w:ilvl w:val="0"/>
          <w:numId w:val="11"/>
        </w:numPr>
        <w:rPr>
          <w:rFonts w:ascii="Arial" w:cs="Arial" w:eastAsia="Arial" w:hAnsi="Arial"/>
          <w:sz w:val="11"/>
          <w:szCs w:val="11"/>
          <w:color w:val="auto"/>
        </w:rPr>
      </w:pPr>
      <w:r>
        <w:rPr>
          <w:rFonts w:ascii="Arial" w:cs="Arial" w:eastAsia="Arial" w:hAnsi="Arial"/>
          <w:sz w:val="11"/>
          <w:szCs w:val="11"/>
          <w:u w:val="single" w:color="auto"/>
          <w:color w:val="auto"/>
        </w:rPr>
        <w:t>Constructive Termination</w:t>
      </w:r>
      <w:r>
        <w:rPr>
          <w:rFonts w:ascii="Arial" w:cs="Arial" w:eastAsia="Arial" w:hAnsi="Arial"/>
          <w:sz w:val="11"/>
          <w:szCs w:val="11"/>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70" w:lineRule="exact"/>
        <w:rPr>
          <w:rFonts w:ascii="Arial" w:cs="Arial" w:eastAsia="Arial" w:hAnsi="Arial"/>
          <w:sz w:val="11"/>
          <w:szCs w:val="11"/>
          <w:color w:val="auto"/>
        </w:rPr>
      </w:pPr>
    </w:p>
    <w:p>
      <w:pPr>
        <w:ind w:right="20" w:firstLine="437"/>
        <w:spacing w:after="0" w:line="292" w:lineRule="auto"/>
        <w:tabs>
          <w:tab w:leader="none" w:pos="975"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Other Severance Benefits</w:t>
      </w:r>
      <w:r>
        <w:rPr>
          <w:rFonts w:ascii="Arial" w:cs="Arial" w:eastAsia="Arial" w:hAnsi="Arial"/>
          <w:sz w:val="12"/>
          <w:szCs w:val="12"/>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138"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40005</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131" w:right="199" w:bottom="1440" w:gutter="0" w:footer="0" w:header="0"/>
        </w:sectPr>
      </w:pPr>
    </w:p>
    <w:bookmarkStart w:id="11" w:name="page12"/>
    <w:bookmarkEnd w:id="11"/>
    <w:p>
      <w:pPr>
        <w:ind w:left="503" w:hanging="503"/>
        <w:spacing w:after="0"/>
        <w:tabs>
          <w:tab w:leader="none" w:pos="503" w:val="left"/>
        </w:tabs>
        <w:numPr>
          <w:ilvl w:val="0"/>
          <w:numId w:val="12"/>
        </w:numPr>
        <w:rPr>
          <w:rFonts w:ascii="Arial" w:cs="Arial" w:eastAsia="Arial" w:hAnsi="Arial"/>
          <w:sz w:val="12"/>
          <w:szCs w:val="12"/>
          <w:color w:val="auto"/>
        </w:rPr>
      </w:pPr>
      <w:r>
        <w:rPr>
          <w:rFonts w:ascii="Arial" w:cs="Arial" w:eastAsia="Arial" w:hAnsi="Arial"/>
          <w:sz w:val="12"/>
          <w:szCs w:val="12"/>
          <w:u w:val="single" w:color="auto"/>
          <w:color w:val="auto"/>
        </w:rPr>
        <w:t>Excise Tax</w:t>
      </w:r>
      <w:r>
        <w:rPr>
          <w:rFonts w:ascii="Arial" w:cs="Arial" w:eastAsia="Arial" w:hAnsi="Arial"/>
          <w:sz w:val="12"/>
          <w:szCs w:val="12"/>
          <w:color w:val="auto"/>
        </w:rPr>
        <w:t>.</w:t>
      </w:r>
    </w:p>
    <w:p>
      <w:pPr>
        <w:spacing w:after="0" w:line="195" w:lineRule="exact"/>
        <w:rPr>
          <w:rFonts w:ascii="Arial" w:cs="Arial" w:eastAsia="Arial" w:hAnsi="Arial"/>
          <w:sz w:val="12"/>
          <w:szCs w:val="12"/>
          <w:color w:val="auto"/>
        </w:rPr>
      </w:pPr>
    </w:p>
    <w:p>
      <w:pPr>
        <w:jc w:val="both"/>
        <w:ind w:left="863" w:hanging="431"/>
        <w:spacing w:after="0" w:line="254" w:lineRule="auto"/>
        <w:tabs>
          <w:tab w:leader="none" w:pos="863" w:val="left"/>
        </w:tabs>
        <w:numPr>
          <w:ilvl w:val="1"/>
          <w:numId w:val="12"/>
        </w:numPr>
        <w:rPr>
          <w:rFonts w:ascii="Arial" w:cs="Arial" w:eastAsia="Arial" w:hAnsi="Arial"/>
          <w:sz w:val="12"/>
          <w:szCs w:val="12"/>
          <w:color w:val="auto"/>
        </w:rPr>
      </w:pPr>
      <w:r>
        <w:rPr>
          <w:rFonts w:ascii="Arial" w:cs="Arial" w:eastAsia="Arial" w:hAnsi="Arial"/>
          <w:sz w:val="12"/>
          <w:szCs w:val="12"/>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166" w:lineRule="exact"/>
        <w:rPr>
          <w:rFonts w:ascii="Arial" w:cs="Arial" w:eastAsia="Arial" w:hAnsi="Arial"/>
          <w:sz w:val="12"/>
          <w:szCs w:val="12"/>
          <w:color w:val="auto"/>
        </w:rPr>
      </w:pPr>
    </w:p>
    <w:p>
      <w:pPr>
        <w:jc w:val="both"/>
        <w:ind w:left="863" w:hanging="431"/>
        <w:spacing w:after="0" w:line="257" w:lineRule="auto"/>
        <w:tabs>
          <w:tab w:leader="none" w:pos="863" w:val="left"/>
        </w:tabs>
        <w:numPr>
          <w:ilvl w:val="1"/>
          <w:numId w:val="12"/>
        </w:numPr>
        <w:rPr>
          <w:rFonts w:ascii="Arial" w:cs="Arial" w:eastAsia="Arial" w:hAnsi="Arial"/>
          <w:sz w:val="12"/>
          <w:szCs w:val="12"/>
          <w:color w:val="auto"/>
        </w:rPr>
      </w:pPr>
      <w:r>
        <w:rPr>
          <w:rFonts w:ascii="Arial" w:cs="Arial" w:eastAsia="Arial" w:hAnsi="Arial"/>
          <w:sz w:val="12"/>
          <w:szCs w:val="12"/>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61" w:lineRule="exact"/>
        <w:rPr>
          <w:rFonts w:ascii="Arial" w:cs="Arial" w:eastAsia="Arial" w:hAnsi="Arial"/>
          <w:sz w:val="12"/>
          <w:szCs w:val="12"/>
          <w:color w:val="auto"/>
        </w:rPr>
      </w:pPr>
    </w:p>
    <w:p>
      <w:pPr>
        <w:ind w:left="1303" w:hanging="439"/>
        <w:spacing w:after="0"/>
        <w:tabs>
          <w:tab w:leader="none" w:pos="1303" w:val="left"/>
        </w:tabs>
        <w:numPr>
          <w:ilvl w:val="2"/>
          <w:numId w:val="12"/>
        </w:numPr>
        <w:rPr>
          <w:rFonts w:ascii="Arial" w:cs="Arial" w:eastAsia="Arial" w:hAnsi="Arial"/>
          <w:sz w:val="12"/>
          <w:szCs w:val="12"/>
          <w:color w:val="auto"/>
        </w:rPr>
      </w:pPr>
      <w:r>
        <w:rPr>
          <w:rFonts w:ascii="Arial" w:cs="Arial" w:eastAsia="Arial" w:hAnsi="Arial"/>
          <w:sz w:val="12"/>
          <w:szCs w:val="12"/>
          <w:color w:val="auto"/>
        </w:rPr>
        <w:t>give the Company any information reasonably requested by the Company relating to such claim;</w:t>
      </w:r>
    </w:p>
    <w:p>
      <w:pPr>
        <w:spacing w:after="0" w:line="222" w:lineRule="exact"/>
        <w:rPr>
          <w:rFonts w:ascii="Arial" w:cs="Arial" w:eastAsia="Arial" w:hAnsi="Arial"/>
          <w:sz w:val="12"/>
          <w:szCs w:val="12"/>
          <w:color w:val="auto"/>
        </w:rPr>
      </w:pPr>
    </w:p>
    <w:p>
      <w:pPr>
        <w:ind w:left="1303" w:hanging="439"/>
        <w:spacing w:after="0" w:line="276" w:lineRule="auto"/>
        <w:tabs>
          <w:tab w:leader="none" w:pos="1303" w:val="left"/>
        </w:tabs>
        <w:numPr>
          <w:ilvl w:val="2"/>
          <w:numId w:val="12"/>
        </w:numPr>
        <w:rPr>
          <w:rFonts w:ascii="Arial" w:cs="Arial" w:eastAsia="Arial" w:hAnsi="Arial"/>
          <w:sz w:val="12"/>
          <w:szCs w:val="12"/>
          <w:color w:val="auto"/>
        </w:rPr>
      </w:pPr>
      <w:r>
        <w:rPr>
          <w:rFonts w:ascii="Arial" w:cs="Arial" w:eastAsia="Arial" w:hAnsi="Arial"/>
          <w:sz w:val="12"/>
          <w:szCs w:val="12"/>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47" w:lineRule="exact"/>
        <w:rPr>
          <w:sz w:val="20"/>
          <w:szCs w:val="20"/>
          <w:color w:val="auto"/>
        </w:rPr>
      </w:pPr>
    </w:p>
    <w:p>
      <w:pPr>
        <w:ind w:left="4863"/>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40005</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23"/>
          </w:cols>
          <w:pgMar w:left="1077" w:top="158" w:right="199" w:bottom="1440" w:gutter="0" w:footer="0" w:header="0"/>
        </w:sectPr>
      </w:pPr>
    </w:p>
    <w:bookmarkStart w:id="12" w:name="page13"/>
    <w:bookmarkEnd w:id="12"/>
    <w:p>
      <w:pPr>
        <w:ind w:left="1497" w:hanging="439"/>
        <w:spacing w:after="0"/>
        <w:tabs>
          <w:tab w:leader="none" w:pos="1497"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cooperate with the Company in good faith in order to effectively contest such claim; and</w:t>
      </w:r>
    </w:p>
    <w:p>
      <w:pPr>
        <w:spacing w:after="0" w:line="222" w:lineRule="exact"/>
        <w:rPr>
          <w:rFonts w:ascii="Arial" w:cs="Arial" w:eastAsia="Arial" w:hAnsi="Arial"/>
          <w:sz w:val="12"/>
          <w:szCs w:val="12"/>
          <w:color w:val="auto"/>
        </w:rPr>
      </w:pPr>
    </w:p>
    <w:p>
      <w:pPr>
        <w:ind w:left="1497" w:hanging="439"/>
        <w:spacing w:after="0"/>
        <w:tabs>
          <w:tab w:leader="none" w:pos="1497" w:val="left"/>
        </w:tabs>
        <w:numPr>
          <w:ilvl w:val="0"/>
          <w:numId w:val="13"/>
        </w:numPr>
        <w:rPr>
          <w:rFonts w:ascii="Arial" w:cs="Arial" w:eastAsia="Arial" w:hAnsi="Arial"/>
          <w:sz w:val="12"/>
          <w:szCs w:val="12"/>
          <w:color w:val="auto"/>
        </w:rPr>
      </w:pPr>
      <w:r>
        <w:rPr>
          <w:rFonts w:ascii="Arial" w:cs="Arial" w:eastAsia="Arial" w:hAnsi="Arial"/>
          <w:sz w:val="12"/>
          <w:szCs w:val="12"/>
          <w:color w:val="auto"/>
        </w:rPr>
        <w:t>permit the Company to participate in any proceedings relating to such claims;</w:t>
      </w:r>
    </w:p>
    <w:p>
      <w:pPr>
        <w:spacing w:after="0" w:line="222" w:lineRule="exact"/>
        <w:rPr>
          <w:sz w:val="20"/>
          <w:szCs w:val="20"/>
          <w:color w:val="auto"/>
        </w:rPr>
      </w:pPr>
    </w:p>
    <w:p>
      <w:pPr>
        <w:jc w:val="both"/>
        <w:ind w:left="617"/>
        <w:spacing w:after="0" w:line="278" w:lineRule="auto"/>
        <w:rPr>
          <w:sz w:val="20"/>
          <w:szCs w:val="20"/>
          <w:color w:val="auto"/>
        </w:rPr>
      </w:pPr>
      <w:r>
        <w:rPr>
          <w:rFonts w:ascii="Arial" w:cs="Arial" w:eastAsia="Arial" w:hAnsi="Arial"/>
          <w:sz w:val="11"/>
          <w:szCs w:val="11"/>
          <w:i w:val="1"/>
          <w:iCs w:val="1"/>
          <w:color w:val="auto"/>
        </w:rPr>
        <w:t xml:space="preserve">provided, however, </w:t>
      </w:r>
      <w:r>
        <w:rPr>
          <w:rFonts w:ascii="Arial" w:cs="Arial" w:eastAsia="Arial" w:hAnsi="Arial"/>
          <w:sz w:val="11"/>
          <w:szCs w:val="11"/>
          <w:color w:val="auto"/>
        </w:rPr>
        <w:t>that the Company shall bear and pay directly all costs and expenses (including additional interest and penalties) incurred in connection with such contest and shall indemnify Executive for and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1"/>
          <w:szCs w:val="11"/>
          <w:i w:val="1"/>
          <w:iCs w:val="1"/>
          <w:color w:val="auto"/>
        </w:rPr>
        <w:t>provided, further</w:t>
      </w:r>
      <w:r>
        <w:rPr>
          <w:rFonts w:ascii="Arial" w:cs="Arial" w:eastAsia="Arial" w:hAnsi="Arial"/>
          <w:sz w:val="11"/>
          <w:szCs w:val="11"/>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54" w:lineRule="exact"/>
        <w:rPr>
          <w:sz w:val="20"/>
          <w:szCs w:val="20"/>
          <w:color w:val="auto"/>
        </w:rPr>
      </w:pPr>
    </w:p>
    <w:p>
      <w:pPr>
        <w:jc w:val="both"/>
        <w:ind w:left="197" w:hanging="197"/>
        <w:spacing w:after="0" w:line="259" w:lineRule="auto"/>
        <w:tabs>
          <w:tab w:leader="none" w:pos="197"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Payments to Specified Employees</w:t>
      </w:r>
      <w:r>
        <w:rPr>
          <w:rFonts w:ascii="Arial" w:cs="Arial" w:eastAsia="Arial" w:hAnsi="Arial"/>
          <w:sz w:val="12"/>
          <w:szCs w:val="12"/>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157" w:lineRule="exact"/>
        <w:rPr>
          <w:sz w:val="20"/>
          <w:szCs w:val="20"/>
          <w:color w:val="auto"/>
        </w:rPr>
      </w:pPr>
    </w:p>
    <w:p>
      <w:pPr>
        <w:ind w:left="5057"/>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40005</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817"/>
          </w:cols>
          <w:pgMar w:left="883" w:top="131" w:right="199" w:bottom="1440" w:gutter="0" w:footer="0" w:header="0"/>
        </w:sectPr>
      </w:pPr>
    </w:p>
    <w:bookmarkStart w:id="13" w:name="page14"/>
    <w:bookmarkEnd w:id="13"/>
    <w:p>
      <w:pPr>
        <w:ind w:left="586" w:hanging="183"/>
        <w:spacing w:after="0" w:line="276" w:lineRule="auto"/>
        <w:tabs>
          <w:tab w:leader="none" w:pos="586" w:val="left"/>
        </w:tabs>
        <w:numPr>
          <w:ilvl w:val="1"/>
          <w:numId w:val="15"/>
        </w:numPr>
        <w:rPr>
          <w:rFonts w:ascii="Arial" w:cs="Arial" w:eastAsia="Arial" w:hAnsi="Arial"/>
          <w:sz w:val="12"/>
          <w:szCs w:val="12"/>
          <w:color w:val="auto"/>
        </w:rPr>
      </w:pPr>
      <w:r>
        <w:rPr>
          <w:rFonts w:ascii="Arial" w:cs="Arial" w:eastAsia="Arial" w:hAnsi="Arial"/>
          <w:sz w:val="12"/>
          <w:szCs w:val="12"/>
          <w:u w:val="single" w:color="auto"/>
          <w:color w:val="auto"/>
        </w:rPr>
        <w:t>Continuation of Benefits</w:t>
      </w:r>
      <w:r>
        <w:rPr>
          <w:rFonts w:ascii="Arial" w:cs="Arial" w:eastAsia="Arial" w:hAnsi="Arial"/>
          <w:sz w:val="12"/>
          <w:szCs w:val="12"/>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150" w:lineRule="exact"/>
        <w:rPr>
          <w:rFonts w:ascii="Arial" w:cs="Arial" w:eastAsia="Arial" w:hAnsi="Arial"/>
          <w:sz w:val="12"/>
          <w:szCs w:val="12"/>
          <w:color w:val="auto"/>
        </w:rPr>
      </w:pPr>
    </w:p>
    <w:p>
      <w:pPr>
        <w:jc w:val="both"/>
        <w:ind w:left="586" w:hanging="166"/>
        <w:spacing w:after="0" w:line="263" w:lineRule="auto"/>
        <w:tabs>
          <w:tab w:leader="none" w:pos="586" w:val="left"/>
        </w:tabs>
        <w:numPr>
          <w:ilvl w:val="2"/>
          <w:numId w:val="15"/>
        </w:numPr>
        <w:rPr>
          <w:rFonts w:ascii="Arial" w:cs="Arial" w:eastAsia="Arial" w:hAnsi="Arial"/>
          <w:sz w:val="12"/>
          <w:szCs w:val="12"/>
          <w:color w:val="auto"/>
        </w:rPr>
      </w:pPr>
      <w:r>
        <w:rPr>
          <w:rFonts w:ascii="Arial" w:cs="Arial" w:eastAsia="Arial" w:hAnsi="Arial"/>
          <w:sz w:val="12"/>
          <w:szCs w:val="12"/>
          <w:u w:val="single" w:color="auto"/>
          <w:color w:val="auto"/>
        </w:rPr>
        <w:t>Limit on Company Liability</w:t>
      </w:r>
      <w:r>
        <w:rPr>
          <w:rFonts w:ascii="Arial" w:cs="Arial" w:eastAsia="Arial" w:hAnsi="Arial"/>
          <w:sz w:val="12"/>
          <w:szCs w:val="12"/>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58" w:lineRule="exact"/>
        <w:rPr>
          <w:rFonts w:ascii="Arial" w:cs="Arial" w:eastAsia="Arial" w:hAnsi="Arial"/>
          <w:sz w:val="12"/>
          <w:szCs w:val="12"/>
          <w:color w:val="auto"/>
        </w:rPr>
      </w:pPr>
    </w:p>
    <w:p>
      <w:pPr>
        <w:jc w:val="both"/>
        <w:ind w:left="146" w:hanging="146"/>
        <w:spacing w:after="0" w:line="280" w:lineRule="auto"/>
        <w:tabs>
          <w:tab w:leader="none" w:pos="146" w:val="left"/>
        </w:tabs>
        <w:numPr>
          <w:ilvl w:val="0"/>
          <w:numId w:val="16"/>
        </w:numPr>
        <w:rPr>
          <w:rFonts w:ascii="Arial" w:cs="Arial" w:eastAsia="Arial" w:hAnsi="Arial"/>
          <w:sz w:val="11"/>
          <w:szCs w:val="11"/>
          <w:color w:val="auto"/>
        </w:rPr>
      </w:pPr>
      <w:r>
        <w:rPr>
          <w:rFonts w:ascii="Arial" w:cs="Arial" w:eastAsia="Arial" w:hAnsi="Arial"/>
          <w:sz w:val="11"/>
          <w:szCs w:val="11"/>
          <w:u w:val="single" w:color="auto"/>
          <w:color w:val="auto"/>
        </w:rPr>
        <w:t>Disclosure of Confidential Information</w:t>
      </w:r>
      <w:r>
        <w:rPr>
          <w:rFonts w:ascii="Arial" w:cs="Arial" w:eastAsia="Arial" w:hAnsi="Arial"/>
          <w:sz w:val="11"/>
          <w:szCs w:val="11"/>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52" w:lineRule="exact"/>
        <w:rPr>
          <w:rFonts w:ascii="Arial" w:cs="Arial" w:eastAsia="Arial" w:hAnsi="Arial"/>
          <w:sz w:val="11"/>
          <w:szCs w:val="11"/>
          <w:color w:val="auto"/>
        </w:rPr>
      </w:pPr>
    </w:p>
    <w:p>
      <w:pPr>
        <w:jc w:val="both"/>
        <w:ind w:left="146" w:hanging="146"/>
        <w:spacing w:after="0" w:line="263" w:lineRule="auto"/>
        <w:tabs>
          <w:tab w:leader="none" w:pos="146"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Non-Interference with Personnel Relations</w:t>
      </w:r>
      <w:r>
        <w:rPr>
          <w:rFonts w:ascii="Arial" w:cs="Arial" w:eastAsia="Arial" w:hAnsi="Arial"/>
          <w:sz w:val="12"/>
          <w:szCs w:val="12"/>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55" w:lineRule="exact"/>
        <w:rPr>
          <w:sz w:val="20"/>
          <w:szCs w:val="20"/>
          <w:color w:val="auto"/>
        </w:rPr>
      </w:pPr>
    </w:p>
    <w:p>
      <w:pPr>
        <w:jc w:val="center"/>
        <w:ind w:right="274"/>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40005</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06"/>
          </w:cols>
          <w:pgMar w:left="494" w:top="131" w:right="199" w:bottom="1440" w:gutter="0" w:footer="0" w:header="0"/>
        </w:sectPr>
      </w:pPr>
    </w:p>
    <w:bookmarkStart w:id="14" w:name="page15"/>
    <w:bookmarkEnd w:id="14"/>
    <w:p>
      <w:pPr>
        <w:jc w:val="both"/>
        <w:ind w:left="206" w:hanging="146"/>
        <w:spacing w:after="0" w:line="281" w:lineRule="auto"/>
        <w:tabs>
          <w:tab w:leader="none" w:pos="206" w:val="left"/>
        </w:tabs>
        <w:numPr>
          <w:ilvl w:val="0"/>
          <w:numId w:val="17"/>
        </w:numPr>
        <w:rPr>
          <w:rFonts w:ascii="Arial" w:cs="Arial" w:eastAsia="Arial" w:hAnsi="Arial"/>
          <w:sz w:val="11"/>
          <w:szCs w:val="11"/>
          <w:color w:val="auto"/>
        </w:rPr>
      </w:pPr>
      <w:r>
        <w:rPr>
          <w:rFonts w:ascii="Arial" w:cs="Arial" w:eastAsia="Arial" w:hAnsi="Arial"/>
          <w:sz w:val="11"/>
          <w:szCs w:val="11"/>
          <w:u w:val="single" w:color="auto"/>
          <w:color w:val="auto"/>
        </w:rPr>
        <w:t>Non-Competition</w:t>
      </w:r>
      <w:r>
        <w:rPr>
          <w:rFonts w:ascii="Arial" w:cs="Arial" w:eastAsia="Arial" w:hAnsi="Arial"/>
          <w:sz w:val="11"/>
          <w:szCs w:val="11"/>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152" w:lineRule="exact"/>
        <w:rPr>
          <w:rFonts w:ascii="Arial" w:cs="Arial" w:eastAsia="Arial" w:hAnsi="Arial"/>
          <w:sz w:val="11"/>
          <w:szCs w:val="11"/>
          <w:color w:val="auto"/>
        </w:rPr>
      </w:pPr>
    </w:p>
    <w:p>
      <w:pPr>
        <w:ind w:left="206" w:hanging="206"/>
        <w:spacing w:after="0" w:line="276" w:lineRule="auto"/>
        <w:tabs>
          <w:tab w:leader="none" w:pos="206" w:val="left"/>
        </w:tabs>
        <w:numPr>
          <w:ilvl w:val="0"/>
          <w:numId w:val="17"/>
        </w:numPr>
        <w:rPr>
          <w:rFonts w:ascii="Arial" w:cs="Arial" w:eastAsia="Arial" w:hAnsi="Arial"/>
          <w:sz w:val="12"/>
          <w:szCs w:val="12"/>
          <w:color w:val="auto"/>
        </w:rPr>
      </w:pPr>
      <w:r>
        <w:rPr>
          <w:rFonts w:ascii="Arial" w:cs="Arial" w:eastAsia="Arial" w:hAnsi="Arial"/>
          <w:sz w:val="12"/>
          <w:szCs w:val="12"/>
          <w:u w:val="single" w:color="auto"/>
          <w:color w:val="auto"/>
        </w:rPr>
        <w:t>Notification to Subsequent Employers</w:t>
      </w:r>
      <w:r>
        <w:rPr>
          <w:rFonts w:ascii="Arial" w:cs="Arial" w:eastAsia="Arial" w:hAnsi="Arial"/>
          <w:sz w:val="12"/>
          <w:szCs w:val="12"/>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150" w:lineRule="exact"/>
        <w:rPr>
          <w:rFonts w:ascii="Arial" w:cs="Arial" w:eastAsia="Arial" w:hAnsi="Arial"/>
          <w:sz w:val="12"/>
          <w:szCs w:val="12"/>
          <w:color w:val="auto"/>
        </w:rPr>
      </w:pPr>
    </w:p>
    <w:p>
      <w:pPr>
        <w:ind w:left="206" w:hanging="201"/>
        <w:spacing w:after="0"/>
        <w:tabs>
          <w:tab w:leader="none" w:pos="206" w:val="left"/>
        </w:tabs>
        <w:numPr>
          <w:ilvl w:val="0"/>
          <w:numId w:val="17"/>
        </w:numPr>
        <w:rPr>
          <w:rFonts w:ascii="Arial" w:cs="Arial" w:eastAsia="Arial" w:hAnsi="Arial"/>
          <w:sz w:val="12"/>
          <w:szCs w:val="12"/>
          <w:color w:val="auto"/>
        </w:rPr>
      </w:pPr>
      <w:r>
        <w:rPr>
          <w:rFonts w:ascii="Arial" w:cs="Arial" w:eastAsia="Arial" w:hAnsi="Arial"/>
          <w:sz w:val="12"/>
          <w:szCs w:val="12"/>
          <w:u w:val="single" w:color="auto"/>
          <w:color w:val="auto"/>
        </w:rPr>
        <w:t>Company Proprietary Rights</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jc w:val="both"/>
        <w:ind w:left="646" w:hanging="436"/>
        <w:spacing w:after="0" w:line="298" w:lineRule="auto"/>
        <w:tabs>
          <w:tab w:leader="none" w:pos="646" w:val="left"/>
        </w:tabs>
        <w:numPr>
          <w:ilvl w:val="1"/>
          <w:numId w:val="17"/>
        </w:numPr>
        <w:rPr>
          <w:rFonts w:ascii="Arial" w:cs="Arial" w:eastAsia="Arial" w:hAnsi="Arial"/>
          <w:sz w:val="11"/>
          <w:szCs w:val="11"/>
          <w:color w:val="auto"/>
        </w:rPr>
      </w:pPr>
      <w:r>
        <w:rPr>
          <w:rFonts w:ascii="Arial" w:cs="Arial" w:eastAsia="Arial" w:hAnsi="Arial"/>
          <w:sz w:val="11"/>
          <w:szCs w:val="11"/>
          <w:u w:val="single" w:color="auto"/>
          <w:color w:val="auto"/>
        </w:rPr>
        <w:t>Company to Retain Rights</w:t>
      </w:r>
      <w:r>
        <w:rPr>
          <w:rFonts w:ascii="Arial" w:cs="Arial" w:eastAsia="Arial" w:hAnsi="Arial"/>
          <w:sz w:val="11"/>
          <w:szCs w:val="11"/>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141" w:lineRule="exact"/>
        <w:rPr>
          <w:rFonts w:ascii="Arial" w:cs="Arial" w:eastAsia="Arial" w:hAnsi="Arial"/>
          <w:sz w:val="11"/>
          <w:szCs w:val="11"/>
          <w:color w:val="auto"/>
        </w:rPr>
      </w:pPr>
    </w:p>
    <w:p>
      <w:pPr>
        <w:jc w:val="both"/>
        <w:ind w:left="646" w:hanging="436"/>
        <w:spacing w:after="0" w:line="263" w:lineRule="auto"/>
        <w:tabs>
          <w:tab w:leader="none" w:pos="646" w:val="left"/>
        </w:tabs>
        <w:numPr>
          <w:ilvl w:val="1"/>
          <w:numId w:val="17"/>
        </w:numPr>
        <w:rPr>
          <w:rFonts w:ascii="Arial" w:cs="Arial" w:eastAsia="Arial" w:hAnsi="Arial"/>
          <w:sz w:val="12"/>
          <w:szCs w:val="12"/>
          <w:color w:val="auto"/>
        </w:rPr>
      </w:pPr>
      <w:r>
        <w:rPr>
          <w:rFonts w:ascii="Arial" w:cs="Arial" w:eastAsia="Arial" w:hAnsi="Arial"/>
          <w:sz w:val="12"/>
          <w:szCs w:val="12"/>
          <w:u w:val="single" w:color="auto"/>
          <w:color w:val="auto"/>
        </w:rPr>
        <w:t>Further Assurances</w:t>
      </w:r>
      <w:r>
        <w:rPr>
          <w:rFonts w:ascii="Arial" w:cs="Arial" w:eastAsia="Arial" w:hAnsi="Arial"/>
          <w:sz w:val="12"/>
          <w:szCs w:val="12"/>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158" w:lineRule="exact"/>
        <w:rPr>
          <w:rFonts w:ascii="Arial" w:cs="Arial" w:eastAsia="Arial" w:hAnsi="Arial"/>
          <w:sz w:val="12"/>
          <w:szCs w:val="12"/>
          <w:color w:val="auto"/>
        </w:rPr>
      </w:pPr>
    </w:p>
    <w:p>
      <w:pPr>
        <w:ind w:left="646" w:hanging="436"/>
        <w:spacing w:after="0" w:line="276" w:lineRule="auto"/>
        <w:tabs>
          <w:tab w:leader="none" w:pos="646" w:val="left"/>
        </w:tabs>
        <w:numPr>
          <w:ilvl w:val="1"/>
          <w:numId w:val="17"/>
        </w:numPr>
        <w:rPr>
          <w:rFonts w:ascii="Arial" w:cs="Arial" w:eastAsia="Arial" w:hAnsi="Arial"/>
          <w:sz w:val="12"/>
          <w:szCs w:val="12"/>
          <w:color w:val="auto"/>
        </w:rPr>
      </w:pPr>
      <w:r>
        <w:rPr>
          <w:rFonts w:ascii="Arial" w:cs="Arial" w:eastAsia="Arial" w:hAnsi="Arial"/>
          <w:sz w:val="12"/>
          <w:szCs w:val="12"/>
          <w:u w:val="single" w:color="auto"/>
          <w:color w:val="auto"/>
        </w:rPr>
        <w:t>Return of Material</w:t>
      </w:r>
      <w:r>
        <w:rPr>
          <w:rFonts w:ascii="Arial" w:cs="Arial" w:eastAsia="Arial" w:hAnsi="Arial"/>
          <w:sz w:val="12"/>
          <w:szCs w:val="12"/>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147" w:lineRule="exact"/>
        <w:rPr>
          <w:sz w:val="20"/>
          <w:szCs w:val="20"/>
          <w:color w:val="auto"/>
        </w:rPr>
      </w:pPr>
    </w:p>
    <w:p>
      <w:pPr>
        <w:jc w:val="center"/>
        <w:ind w:right="214"/>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40005</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6"/>
          </w:cols>
          <w:pgMar w:left="434" w:top="131" w:right="199" w:bottom="1440" w:gutter="0" w:footer="0" w:header="0"/>
        </w:sectPr>
      </w:pPr>
    </w:p>
    <w:bookmarkStart w:id="15" w:name="page16"/>
    <w:bookmarkEnd w:id="15"/>
    <w:p>
      <w:pPr>
        <w:ind w:left="206" w:hanging="206"/>
        <w:spacing w:after="0" w:line="276" w:lineRule="auto"/>
        <w:tabs>
          <w:tab w:leader="none" w:pos="206"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Representation and Warranty of Executive</w:t>
      </w:r>
      <w:r>
        <w:rPr>
          <w:rFonts w:ascii="Arial" w:cs="Arial" w:eastAsia="Arial" w:hAnsi="Arial"/>
          <w:sz w:val="12"/>
          <w:szCs w:val="12"/>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150" w:lineRule="exact"/>
        <w:rPr>
          <w:rFonts w:ascii="Arial" w:cs="Arial" w:eastAsia="Arial" w:hAnsi="Arial"/>
          <w:sz w:val="12"/>
          <w:szCs w:val="12"/>
          <w:color w:val="auto"/>
        </w:rPr>
      </w:pPr>
    </w:p>
    <w:p>
      <w:pPr>
        <w:jc w:val="both"/>
        <w:ind w:left="206" w:hanging="206"/>
        <w:spacing w:after="0" w:line="263" w:lineRule="auto"/>
        <w:tabs>
          <w:tab w:leader="none" w:pos="206"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Withholding</w:t>
      </w:r>
      <w:r>
        <w:rPr>
          <w:rFonts w:ascii="Arial" w:cs="Arial" w:eastAsia="Arial" w:hAnsi="Arial"/>
          <w:sz w:val="12"/>
          <w:szCs w:val="12"/>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58" w:lineRule="exact"/>
        <w:rPr>
          <w:rFonts w:ascii="Arial" w:cs="Arial" w:eastAsia="Arial" w:hAnsi="Arial"/>
          <w:sz w:val="12"/>
          <w:szCs w:val="12"/>
          <w:color w:val="auto"/>
        </w:rPr>
      </w:pPr>
    </w:p>
    <w:p>
      <w:pPr>
        <w:jc w:val="both"/>
        <w:ind w:left="206" w:right="20" w:hanging="206"/>
        <w:spacing w:after="0" w:line="263" w:lineRule="auto"/>
        <w:tabs>
          <w:tab w:leader="none" w:pos="206"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Mitigation</w:t>
      </w:r>
      <w:r>
        <w:rPr>
          <w:rFonts w:ascii="Arial" w:cs="Arial" w:eastAsia="Arial" w:hAnsi="Arial"/>
          <w:sz w:val="12"/>
          <w:szCs w:val="12"/>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58" w:lineRule="exact"/>
        <w:rPr>
          <w:rFonts w:ascii="Arial" w:cs="Arial" w:eastAsia="Arial" w:hAnsi="Arial"/>
          <w:sz w:val="12"/>
          <w:szCs w:val="12"/>
          <w:color w:val="auto"/>
        </w:rPr>
      </w:pPr>
    </w:p>
    <w:p>
      <w:pPr>
        <w:ind w:left="206" w:hanging="206"/>
        <w:spacing w:after="0" w:line="276" w:lineRule="auto"/>
        <w:tabs>
          <w:tab w:leader="none" w:pos="206"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151" w:lineRule="exact"/>
        <w:rPr>
          <w:sz w:val="20"/>
          <w:szCs w:val="20"/>
          <w:color w:val="auto"/>
        </w:rPr>
      </w:pPr>
    </w:p>
    <w:p>
      <w:pPr>
        <w:ind w:left="226"/>
        <w:spacing w:after="0"/>
        <w:tabs>
          <w:tab w:leader="none" w:pos="3385" w:val="left"/>
        </w:tabs>
        <w:rPr>
          <w:sz w:val="20"/>
          <w:szCs w:val="20"/>
          <w:color w:val="auto"/>
        </w:rPr>
      </w:pPr>
      <w:r>
        <w:rPr>
          <w:rFonts w:ascii="Arial" w:cs="Arial" w:eastAsia="Arial" w:hAnsi="Arial"/>
          <w:sz w:val="12"/>
          <w:szCs w:val="12"/>
          <w:color w:val="auto"/>
        </w:rPr>
        <w:t>To the Company:</w:t>
      </w:r>
      <w:r>
        <w:rPr>
          <w:sz w:val="20"/>
          <w:szCs w:val="20"/>
          <w:color w:val="auto"/>
        </w:rPr>
        <w:tab/>
      </w:r>
      <w:r>
        <w:rPr>
          <w:rFonts w:ascii="Arial" w:cs="Arial" w:eastAsia="Arial" w:hAnsi="Arial"/>
          <w:sz w:val="10"/>
          <w:szCs w:val="10"/>
          <w:color w:val="auto"/>
        </w:rPr>
        <w:t>President</w:t>
      </w:r>
    </w:p>
    <w:p>
      <w:pPr>
        <w:spacing w:after="0" w:line="24" w:lineRule="exact"/>
        <w:rPr>
          <w:sz w:val="20"/>
          <w:szCs w:val="20"/>
          <w:color w:val="auto"/>
        </w:rPr>
      </w:pPr>
    </w:p>
    <w:p>
      <w:pPr>
        <w:ind w:left="3406"/>
        <w:spacing w:after="0"/>
        <w:rPr>
          <w:sz w:val="20"/>
          <w:szCs w:val="20"/>
          <w:color w:val="auto"/>
        </w:rPr>
      </w:pPr>
      <w:r>
        <w:rPr>
          <w:rFonts w:ascii="Arial" w:cs="Arial" w:eastAsia="Arial" w:hAnsi="Arial"/>
          <w:sz w:val="12"/>
          <w:szCs w:val="12"/>
          <w:color w:val="auto"/>
        </w:rPr>
        <w:t>NN, Inc.</w:t>
      </w:r>
    </w:p>
    <w:p>
      <w:pPr>
        <w:spacing w:after="0" w:line="24" w:lineRule="exact"/>
        <w:rPr>
          <w:sz w:val="20"/>
          <w:szCs w:val="20"/>
          <w:color w:val="auto"/>
        </w:rPr>
      </w:pPr>
    </w:p>
    <w:p>
      <w:pPr>
        <w:ind w:left="3406"/>
        <w:spacing w:after="0"/>
        <w:rPr>
          <w:sz w:val="20"/>
          <w:szCs w:val="20"/>
          <w:color w:val="auto"/>
        </w:rPr>
      </w:pPr>
      <w:r>
        <w:rPr>
          <w:rFonts w:ascii="Arial" w:cs="Arial" w:eastAsia="Arial" w:hAnsi="Arial"/>
          <w:sz w:val="12"/>
          <w:szCs w:val="12"/>
          <w:color w:val="auto"/>
        </w:rPr>
        <w:t>2000 Waters Edge Drive</w:t>
      </w:r>
    </w:p>
    <w:p>
      <w:pPr>
        <w:spacing w:after="0" w:line="24" w:lineRule="exact"/>
        <w:rPr>
          <w:sz w:val="20"/>
          <w:szCs w:val="20"/>
          <w:color w:val="auto"/>
        </w:rPr>
      </w:pPr>
    </w:p>
    <w:p>
      <w:pPr>
        <w:ind w:left="3406"/>
        <w:spacing w:after="0"/>
        <w:rPr>
          <w:sz w:val="20"/>
          <w:szCs w:val="20"/>
          <w:color w:val="auto"/>
        </w:rPr>
      </w:pPr>
      <w:r>
        <w:rPr>
          <w:rFonts w:ascii="Arial" w:cs="Arial" w:eastAsia="Arial" w:hAnsi="Arial"/>
          <w:sz w:val="12"/>
          <w:szCs w:val="12"/>
          <w:color w:val="auto"/>
        </w:rPr>
        <w:t>Johnson City, TN 37604</w:t>
      </w:r>
    </w:p>
    <w:p>
      <w:pPr>
        <w:spacing w:after="0" w:line="204" w:lineRule="exact"/>
        <w:rPr>
          <w:sz w:val="20"/>
          <w:szCs w:val="20"/>
          <w:color w:val="auto"/>
        </w:rPr>
      </w:pPr>
    </w:p>
    <w:p>
      <w:pPr>
        <w:ind w:left="226"/>
        <w:spacing w:after="0"/>
        <w:tabs>
          <w:tab w:leader="none" w:pos="3385" w:val="left"/>
        </w:tabs>
        <w:rPr>
          <w:sz w:val="20"/>
          <w:szCs w:val="20"/>
          <w:color w:val="auto"/>
        </w:rPr>
      </w:pPr>
      <w:r>
        <w:rPr>
          <w:rFonts w:ascii="Arial" w:cs="Arial" w:eastAsia="Arial" w:hAnsi="Arial"/>
          <w:sz w:val="12"/>
          <w:szCs w:val="12"/>
          <w:color w:val="auto"/>
        </w:rPr>
        <w:t>To the Executive:</w:t>
      </w:r>
      <w:r>
        <w:rPr>
          <w:sz w:val="20"/>
          <w:szCs w:val="20"/>
          <w:color w:val="auto"/>
        </w:rPr>
        <w:tab/>
      </w:r>
      <w:r>
        <w:rPr>
          <w:rFonts w:ascii="Arial" w:cs="Arial" w:eastAsia="Arial" w:hAnsi="Arial"/>
          <w:sz w:val="11"/>
          <w:szCs w:val="11"/>
          <w:color w:val="auto"/>
        </w:rPr>
        <w:t>David M. Gilson</w:t>
      </w:r>
    </w:p>
    <w:p>
      <w:pPr>
        <w:spacing w:after="0" w:line="24" w:lineRule="exact"/>
        <w:rPr>
          <w:sz w:val="20"/>
          <w:szCs w:val="20"/>
          <w:color w:val="auto"/>
        </w:rPr>
      </w:pPr>
    </w:p>
    <w:p>
      <w:pPr>
        <w:ind w:left="3406"/>
        <w:spacing w:after="0"/>
        <w:rPr>
          <w:sz w:val="20"/>
          <w:szCs w:val="20"/>
          <w:color w:val="auto"/>
        </w:rPr>
      </w:pPr>
      <w:r>
        <w:rPr>
          <w:rFonts w:ascii="Arial" w:cs="Arial" w:eastAsia="Arial" w:hAnsi="Arial"/>
          <w:sz w:val="12"/>
          <w:szCs w:val="12"/>
          <w:color w:val="auto"/>
        </w:rPr>
        <w:t>7615 Windsor Drive</w:t>
      </w:r>
    </w:p>
    <w:p>
      <w:pPr>
        <w:spacing w:after="0" w:line="24" w:lineRule="exact"/>
        <w:rPr>
          <w:sz w:val="20"/>
          <w:szCs w:val="20"/>
          <w:color w:val="auto"/>
        </w:rPr>
      </w:pPr>
    </w:p>
    <w:p>
      <w:pPr>
        <w:ind w:left="3406"/>
        <w:spacing w:after="0"/>
        <w:rPr>
          <w:sz w:val="20"/>
          <w:szCs w:val="20"/>
          <w:color w:val="auto"/>
        </w:rPr>
      </w:pPr>
      <w:r>
        <w:rPr>
          <w:rFonts w:ascii="Arial" w:cs="Arial" w:eastAsia="Arial" w:hAnsi="Arial"/>
          <w:sz w:val="12"/>
          <w:szCs w:val="12"/>
          <w:color w:val="auto"/>
        </w:rPr>
        <w:t>Dublin, Ohio 43016</w:t>
      </w:r>
    </w:p>
    <w:p>
      <w:pPr>
        <w:spacing w:after="0" w:line="186" w:lineRule="exact"/>
        <w:rPr>
          <w:sz w:val="20"/>
          <w:szCs w:val="20"/>
          <w:color w:val="auto"/>
        </w:rPr>
      </w:pPr>
    </w:p>
    <w:p>
      <w:pPr>
        <w:jc w:val="both"/>
        <w:ind w:left="206" w:hanging="206"/>
        <w:spacing w:after="0" w:line="327" w:lineRule="auto"/>
        <w:tabs>
          <w:tab w:leader="none" w:pos="206" w:val="left"/>
        </w:tabs>
        <w:numPr>
          <w:ilvl w:val="0"/>
          <w:numId w:val="19"/>
        </w:numPr>
        <w:rPr>
          <w:rFonts w:ascii="Arial" w:cs="Arial" w:eastAsia="Arial" w:hAnsi="Arial"/>
          <w:sz w:val="10"/>
          <w:szCs w:val="10"/>
          <w:color w:val="auto"/>
        </w:rPr>
      </w:pPr>
      <w:r>
        <w:rPr>
          <w:rFonts w:ascii="Arial" w:cs="Arial" w:eastAsia="Arial" w:hAnsi="Arial"/>
          <w:sz w:val="10"/>
          <w:szCs w:val="10"/>
          <w:u w:val="single" w:color="auto"/>
          <w:color w:val="auto"/>
        </w:rPr>
        <w:t>Successors: Binding Agreement</w:t>
      </w:r>
      <w:r>
        <w:rPr>
          <w:rFonts w:ascii="Arial" w:cs="Arial" w:eastAsia="Arial" w:hAnsi="Arial"/>
          <w:sz w:val="10"/>
          <w:szCs w:val="10"/>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126" w:lineRule="exact"/>
        <w:rPr>
          <w:sz w:val="20"/>
          <w:szCs w:val="20"/>
          <w:color w:val="auto"/>
        </w:rPr>
      </w:pPr>
    </w:p>
    <w:p>
      <w:pPr>
        <w:jc w:val="center"/>
        <w:ind w:right="214"/>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40005</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6"/>
          </w:cols>
          <w:pgMar w:left="434" w:top="131" w:right="199" w:bottom="1440" w:gutter="0" w:footer="0" w:header="0"/>
        </w:sectPr>
      </w:pPr>
    </w:p>
    <w:bookmarkStart w:id="16" w:name="page17"/>
    <w:bookmarkEnd w:id="16"/>
    <w:p>
      <w:pPr>
        <w:jc w:val="both"/>
        <w:ind w:left="206"/>
        <w:spacing w:after="0" w:line="263" w:lineRule="auto"/>
        <w:rPr>
          <w:sz w:val="20"/>
          <w:szCs w:val="20"/>
          <w:color w:val="auto"/>
        </w:rPr>
      </w:pPr>
      <w:r>
        <w:rPr>
          <w:rFonts w:ascii="Arial" w:cs="Arial" w:eastAsia="Arial" w:hAnsi="Arial"/>
          <w:sz w:val="12"/>
          <w:szCs w:val="12"/>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59" w:lineRule="exact"/>
        <w:rPr>
          <w:sz w:val="20"/>
          <w:szCs w:val="20"/>
          <w:color w:val="auto"/>
        </w:rPr>
      </w:pPr>
    </w:p>
    <w:p>
      <w:pPr>
        <w:jc w:val="both"/>
        <w:ind w:left="206" w:hanging="206"/>
        <w:spacing w:after="0" w:line="259" w:lineRule="auto"/>
        <w:tabs>
          <w:tab w:leader="none" w:pos="206" w:val="left"/>
        </w:tabs>
        <w:numPr>
          <w:ilvl w:val="0"/>
          <w:numId w:val="20"/>
        </w:numPr>
        <w:rPr>
          <w:rFonts w:ascii="Arial" w:cs="Arial" w:eastAsia="Arial" w:hAnsi="Arial"/>
          <w:sz w:val="12"/>
          <w:szCs w:val="12"/>
          <w:color w:val="auto"/>
        </w:rPr>
      </w:pPr>
      <w:r>
        <w:rPr>
          <w:rFonts w:ascii="Arial" w:cs="Arial" w:eastAsia="Arial" w:hAnsi="Arial"/>
          <w:sz w:val="12"/>
          <w:szCs w:val="12"/>
          <w:u w:val="single" w:color="auto"/>
          <w:color w:val="auto"/>
        </w:rPr>
        <w:t>Modification, Waiver or Discharge</w:t>
      </w:r>
      <w:r>
        <w:rPr>
          <w:rFonts w:ascii="Arial" w:cs="Arial" w:eastAsia="Arial" w:hAnsi="Arial"/>
          <w:sz w:val="12"/>
          <w:szCs w:val="12"/>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160" w:lineRule="exact"/>
        <w:rPr>
          <w:rFonts w:ascii="Arial" w:cs="Arial" w:eastAsia="Arial" w:hAnsi="Arial"/>
          <w:sz w:val="12"/>
          <w:szCs w:val="12"/>
          <w:color w:val="auto"/>
        </w:rPr>
      </w:pPr>
    </w:p>
    <w:p>
      <w:pPr>
        <w:jc w:val="both"/>
        <w:ind w:left="206" w:hanging="206"/>
        <w:spacing w:after="0" w:line="298" w:lineRule="auto"/>
        <w:tabs>
          <w:tab w:leader="none" w:pos="206" w:val="left"/>
        </w:tabs>
        <w:numPr>
          <w:ilvl w:val="0"/>
          <w:numId w:val="20"/>
        </w:numPr>
        <w:rPr>
          <w:rFonts w:ascii="Arial" w:cs="Arial" w:eastAsia="Arial" w:hAnsi="Arial"/>
          <w:sz w:val="11"/>
          <w:szCs w:val="11"/>
          <w:color w:val="auto"/>
        </w:rPr>
      </w:pPr>
      <w:r>
        <w:rPr>
          <w:rFonts w:ascii="Arial" w:cs="Arial" w:eastAsia="Arial" w:hAnsi="Arial"/>
          <w:sz w:val="11"/>
          <w:szCs w:val="11"/>
          <w:u w:val="single" w:color="auto"/>
          <w:color w:val="auto"/>
        </w:rPr>
        <w:t>Entire Agreement</w:t>
      </w:r>
      <w:r>
        <w:rPr>
          <w:rFonts w:ascii="Arial" w:cs="Arial" w:eastAsia="Arial" w:hAnsi="Arial"/>
          <w:sz w:val="11"/>
          <w:szCs w:val="11"/>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August 7, 2003, which shall continue and remain in full force and effect.</w:t>
      </w:r>
    </w:p>
    <w:p>
      <w:pPr>
        <w:spacing w:after="0" w:line="141" w:lineRule="exact"/>
        <w:rPr>
          <w:rFonts w:ascii="Arial" w:cs="Arial" w:eastAsia="Arial" w:hAnsi="Arial"/>
          <w:sz w:val="11"/>
          <w:szCs w:val="11"/>
          <w:color w:val="auto"/>
        </w:rPr>
      </w:pPr>
    </w:p>
    <w:p>
      <w:pPr>
        <w:ind w:left="206" w:hanging="206"/>
        <w:spacing w:after="0"/>
        <w:tabs>
          <w:tab w:leader="none" w:pos="206" w:val="left"/>
        </w:tabs>
        <w:numPr>
          <w:ilvl w:val="0"/>
          <w:numId w:val="20"/>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The validity, interpretation, construction and performance of this Agreement shall be governed by the laws of the State of Tennessee to the extent federal law does not apply.</w:t>
      </w:r>
    </w:p>
    <w:p>
      <w:pPr>
        <w:spacing w:after="0" w:line="186" w:lineRule="exact"/>
        <w:rPr>
          <w:rFonts w:ascii="Arial" w:cs="Arial" w:eastAsia="Arial" w:hAnsi="Arial"/>
          <w:sz w:val="12"/>
          <w:szCs w:val="12"/>
          <w:color w:val="auto"/>
        </w:rPr>
      </w:pPr>
    </w:p>
    <w:p>
      <w:pPr>
        <w:jc w:val="both"/>
        <w:ind w:left="206" w:hanging="206"/>
        <w:spacing w:after="0" w:line="263" w:lineRule="auto"/>
        <w:tabs>
          <w:tab w:leader="none" w:pos="206" w:val="left"/>
        </w:tabs>
        <w:numPr>
          <w:ilvl w:val="0"/>
          <w:numId w:val="20"/>
        </w:numPr>
        <w:rPr>
          <w:rFonts w:ascii="Arial" w:cs="Arial" w:eastAsia="Arial" w:hAnsi="Arial"/>
          <w:sz w:val="12"/>
          <w:szCs w:val="12"/>
          <w:color w:val="auto"/>
        </w:rPr>
      </w:pPr>
      <w:r>
        <w:rPr>
          <w:rFonts w:ascii="Arial" w:cs="Arial" w:eastAsia="Arial" w:hAnsi="Arial"/>
          <w:sz w:val="12"/>
          <w:szCs w:val="12"/>
          <w:u w:val="single" w:color="auto"/>
          <w:color w:val="auto"/>
        </w:rPr>
        <w:t>Resolution of Disputes</w:t>
      </w:r>
      <w:r>
        <w:rPr>
          <w:rFonts w:ascii="Arial" w:cs="Arial" w:eastAsia="Arial" w:hAnsi="Arial"/>
          <w:sz w:val="12"/>
          <w:szCs w:val="12"/>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58" w:lineRule="exact"/>
        <w:rPr>
          <w:rFonts w:ascii="Arial" w:cs="Arial" w:eastAsia="Arial" w:hAnsi="Arial"/>
          <w:sz w:val="12"/>
          <w:szCs w:val="12"/>
          <w:color w:val="auto"/>
        </w:rPr>
      </w:pPr>
    </w:p>
    <w:p>
      <w:pPr>
        <w:ind w:left="206" w:hanging="206"/>
        <w:spacing w:after="0"/>
        <w:tabs>
          <w:tab w:leader="none" w:pos="206" w:val="left"/>
        </w:tabs>
        <w:numPr>
          <w:ilvl w:val="0"/>
          <w:numId w:val="20"/>
        </w:numPr>
        <w:rPr>
          <w:rFonts w:ascii="Arial" w:cs="Arial" w:eastAsia="Arial" w:hAnsi="Arial"/>
          <w:sz w:val="11"/>
          <w:szCs w:val="11"/>
          <w:color w:val="auto"/>
        </w:rPr>
      </w:pPr>
      <w:r>
        <w:rPr>
          <w:rFonts w:ascii="Arial" w:cs="Arial" w:eastAsia="Arial" w:hAnsi="Arial"/>
          <w:sz w:val="11"/>
          <w:szCs w:val="11"/>
          <w:u w:val="single" w:color="auto"/>
          <w:color w:val="auto"/>
        </w:rPr>
        <w:t>Validity</w:t>
      </w:r>
      <w:r>
        <w:rPr>
          <w:rFonts w:ascii="Arial" w:cs="Arial" w:eastAsia="Arial" w:hAnsi="Arial"/>
          <w:sz w:val="11"/>
          <w:szCs w:val="11"/>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4" w:lineRule="exact"/>
        <w:rPr>
          <w:sz w:val="20"/>
          <w:szCs w:val="20"/>
          <w:color w:val="auto"/>
        </w:rPr>
      </w:pPr>
    </w:p>
    <w:p>
      <w:pPr>
        <w:jc w:val="center"/>
        <w:ind w:right="214"/>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40005</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6"/>
          </w:cols>
          <w:pgMar w:left="434" w:top="131" w:right="199" w:bottom="1440" w:gutter="0" w:footer="0" w:header="0"/>
        </w:sectPr>
      </w:pPr>
    </w:p>
    <w:bookmarkStart w:id="17" w:name="page18"/>
    <w:bookmarkEnd w:id="17"/>
    <w:p>
      <w:pPr>
        <w:jc w:val="both"/>
        <w:ind w:left="420" w:hanging="206"/>
        <w:spacing w:after="0" w:line="263"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u w:val="single" w:color="auto"/>
          <w:color w:val="auto"/>
        </w:rPr>
        <w:t>No Adequate Remedy At Law; Costs to Prevailing Party</w:t>
      </w:r>
      <w:r>
        <w:rPr>
          <w:rFonts w:ascii="Arial" w:cs="Arial" w:eastAsia="Arial" w:hAnsi="Arial"/>
          <w:sz w:val="12"/>
          <w:szCs w:val="12"/>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158" w:lineRule="exact"/>
        <w:rPr>
          <w:rFonts w:ascii="Arial" w:cs="Arial" w:eastAsia="Arial" w:hAnsi="Arial"/>
          <w:sz w:val="12"/>
          <w:szCs w:val="12"/>
          <w:color w:val="auto"/>
        </w:rPr>
      </w:pPr>
    </w:p>
    <w:p>
      <w:pPr>
        <w:jc w:val="both"/>
        <w:ind w:left="420" w:hanging="206"/>
        <w:spacing w:after="0" w:line="298" w:lineRule="auto"/>
        <w:tabs>
          <w:tab w:leader="none" w:pos="420" w:val="left"/>
        </w:tabs>
        <w:numPr>
          <w:ilvl w:val="0"/>
          <w:numId w:val="21"/>
        </w:numPr>
        <w:rPr>
          <w:rFonts w:ascii="Arial" w:cs="Arial" w:eastAsia="Arial" w:hAnsi="Arial"/>
          <w:sz w:val="11"/>
          <w:szCs w:val="11"/>
          <w:color w:val="auto"/>
        </w:rPr>
      </w:pPr>
      <w:r>
        <w:rPr>
          <w:rFonts w:ascii="Arial" w:cs="Arial" w:eastAsia="Arial" w:hAnsi="Arial"/>
          <w:sz w:val="11"/>
          <w:szCs w:val="11"/>
          <w:u w:val="single" w:color="auto"/>
          <w:color w:val="auto"/>
        </w:rPr>
        <w:t>Non-Assignability</w:t>
      </w:r>
      <w:r>
        <w:rPr>
          <w:rFonts w:ascii="Arial" w:cs="Arial" w:eastAsia="Arial" w:hAnsi="Arial"/>
          <w:sz w:val="11"/>
          <w:szCs w:val="11"/>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41" w:lineRule="exact"/>
        <w:rPr>
          <w:rFonts w:ascii="Arial" w:cs="Arial" w:eastAsia="Arial" w:hAnsi="Arial"/>
          <w:sz w:val="11"/>
          <w:szCs w:val="11"/>
          <w:color w:val="auto"/>
        </w:rPr>
      </w:pPr>
    </w:p>
    <w:p>
      <w:pPr>
        <w:ind w:left="420" w:hanging="206"/>
        <w:spacing w:after="0" w:line="276"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u w:val="single" w:color="auto"/>
          <w:color w:val="auto"/>
        </w:rPr>
        <w:t>Headings</w:t>
      </w:r>
      <w:r>
        <w:rPr>
          <w:rFonts w:ascii="Arial" w:cs="Arial" w:eastAsia="Arial" w:hAnsi="Arial"/>
          <w:sz w:val="12"/>
          <w:szCs w:val="12"/>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50" w:lineRule="exact"/>
        <w:rPr>
          <w:rFonts w:ascii="Arial" w:cs="Arial" w:eastAsia="Arial" w:hAnsi="Arial"/>
          <w:sz w:val="12"/>
          <w:szCs w:val="12"/>
          <w:color w:val="auto"/>
        </w:rPr>
      </w:pPr>
    </w:p>
    <w:p>
      <w:pPr>
        <w:ind w:left="420" w:right="1820" w:hanging="206"/>
        <w:spacing w:after="0" w:line="665" w:lineRule="auto"/>
        <w:tabs>
          <w:tab w:leader="none" w:pos="420" w:val="left"/>
        </w:tabs>
        <w:numPr>
          <w:ilvl w:val="0"/>
          <w:numId w:val="21"/>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xml:space="preserve">. This Agreement may be executed in one or more counterparts, each of which shall be deemed to be an original, but of which together will constitute one and the same instrument. </w:t>
      </w:r>
      <w:r>
        <w:rPr>
          <w:rFonts w:ascii="Arial" w:cs="Arial" w:eastAsia="Arial" w:hAnsi="Arial"/>
          <w:sz w:val="11"/>
          <w:szCs w:val="11"/>
          <w:b w:val="1"/>
          <w:bCs w:val="1"/>
          <w:color w:val="auto"/>
        </w:rPr>
        <w:t>IN WITNESS WHEREOF</w:t>
      </w:r>
      <w:r>
        <w:rPr>
          <w:rFonts w:ascii="Arial" w:cs="Arial" w:eastAsia="Arial" w:hAnsi="Arial"/>
          <w:sz w:val="11"/>
          <w:szCs w:val="11"/>
          <w:color w:val="auto"/>
        </w:rPr>
        <w:t>, the Executive and the Company (by action of its duly authorized officers)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60"/>
        <w:spacing w:after="0"/>
        <w:rPr>
          <w:sz w:val="20"/>
          <w:szCs w:val="20"/>
          <w:color w:val="auto"/>
        </w:rPr>
      </w:pPr>
      <w:r>
        <w:rPr>
          <w:rFonts w:ascii="Arial" w:cs="Arial" w:eastAsia="Arial" w:hAnsi="Arial"/>
          <w:sz w:val="12"/>
          <w:szCs w:val="12"/>
          <w:b w:val="1"/>
          <w:bCs w:val="1"/>
          <w:color w:val="auto"/>
        </w:rPr>
        <w:t>NN, INC.</w:t>
      </w:r>
    </w:p>
    <w:p>
      <w:pPr>
        <w:spacing w:after="0" w:line="298" w:lineRule="exact"/>
        <w:rPr>
          <w:sz w:val="20"/>
          <w:szCs w:val="20"/>
          <w:color w:val="auto"/>
        </w:rPr>
      </w:pPr>
    </w:p>
    <w:p>
      <w:pPr>
        <w:spacing w:after="0"/>
        <w:tabs>
          <w:tab w:leader="none" w:pos="5640" w:val="left"/>
        </w:tabs>
        <w:rPr>
          <w:sz w:val="20"/>
          <w:szCs w:val="20"/>
          <w:color w:val="auto"/>
        </w:rPr>
      </w:pPr>
      <w:r>
        <w:rPr>
          <w:rFonts w:ascii="Arial" w:cs="Arial" w:eastAsia="Arial" w:hAnsi="Arial"/>
          <w:sz w:val="12"/>
          <w:szCs w:val="12"/>
          <w:color w:val="auto"/>
        </w:rPr>
        <w:t>Attest:</w:t>
      </w:r>
      <w:r>
        <w:rPr>
          <w:sz w:val="20"/>
          <w:szCs w:val="20"/>
          <w:color w:val="auto"/>
        </w:rPr>
        <w:tab/>
      </w:r>
      <w:r>
        <w:rPr>
          <w:rFonts w:ascii="Arial" w:cs="Arial" w:eastAsia="Arial" w:hAnsi="Arial"/>
          <w:sz w:val="12"/>
          <w:szCs w:val="12"/>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52070</wp:posOffset>
            </wp:positionV>
            <wp:extent cx="284924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9245" cy="18415"/>
                    </a:xfrm>
                    <a:prstGeom prst="rect">
                      <a:avLst/>
                    </a:prstGeom>
                    <a:noFill/>
                  </pic:spPr>
                </pic:pic>
              </a:graphicData>
            </a:graphic>
          </wp:anchor>
        </w:drawing>
      </w:r>
    </w:p>
    <w:p>
      <w:pPr>
        <w:spacing w:after="0" w:line="166"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Roderick R. Baty, Chairman/CEO</w:t>
      </w:r>
    </w:p>
    <w:p>
      <w:pPr>
        <w:spacing w:after="0" w:line="150"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 /s/ David M. Gilson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52070</wp:posOffset>
            </wp:positionV>
            <wp:extent cx="284924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9245" cy="18415"/>
                    </a:xfrm>
                    <a:prstGeom prst="rect">
                      <a:avLst/>
                    </a:prstGeom>
                    <a:noFill/>
                  </pic:spPr>
                </pic:pic>
              </a:graphicData>
            </a:graphic>
          </wp:anchor>
        </w:drawing>
      </w:r>
    </w:p>
    <w:p>
      <w:pPr>
        <w:spacing w:after="0" w:line="166"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David M. Gilson, Vice President of Marketing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 w:name="page19"/>
    <w:bookmarkEnd w:id="18"/>
    <w:p>
      <w:pPr>
        <w:jc w:val="right"/>
        <w:ind w:right="4219"/>
        <w:spacing w:after="0"/>
        <w:rPr>
          <w:sz w:val="20"/>
          <w:szCs w:val="20"/>
          <w:color w:val="auto"/>
        </w:rPr>
      </w:pPr>
      <w:r>
        <w:rPr>
          <w:rFonts w:ascii="Arial" w:cs="Arial" w:eastAsia="Arial" w:hAnsi="Arial"/>
          <w:sz w:val="12"/>
          <w:szCs w:val="12"/>
          <w:b w:val="1"/>
          <w:bCs w:val="1"/>
          <w:u w:val="single" w:color="auto"/>
          <w:color w:val="auto"/>
        </w:rPr>
        <w:t>Schedule A</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Executive's Severance Payment shall be a lump sum payment equal to:</w:t>
      </w:r>
    </w:p>
    <w:p>
      <w:pPr>
        <w:spacing w:after="0" w:line="207" w:lineRule="exact"/>
        <w:rPr>
          <w:sz w:val="20"/>
          <w:szCs w:val="20"/>
          <w:color w:val="auto"/>
        </w:rPr>
      </w:pPr>
    </w:p>
    <w:p>
      <w:pPr>
        <w:ind w:left="1160" w:hanging="1152"/>
        <w:spacing w:after="0"/>
        <w:tabs>
          <w:tab w:leader="none" w:pos="11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2.0 times Executive's base salary (as of the date of Executive's termination); plus</w:t>
      </w:r>
    </w:p>
    <w:p>
      <w:pPr>
        <w:spacing w:after="0" w:line="10" w:lineRule="exact"/>
        <w:rPr>
          <w:rFonts w:ascii="Arial" w:cs="Arial" w:eastAsia="Arial" w:hAnsi="Arial"/>
          <w:sz w:val="12"/>
          <w:szCs w:val="12"/>
          <w:color w:val="auto"/>
        </w:rPr>
      </w:pPr>
    </w:p>
    <w:p>
      <w:pPr>
        <w:ind w:left="1160" w:hanging="1158"/>
        <w:spacing w:after="0"/>
        <w:tabs>
          <w:tab w:leader="none" w:pos="1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1.0 times Executive's median bonus available at the following bonus target percentage: 35%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19"/>
          </w:cols>
          <w:pgMar w:left="240" w:top="289" w:right="1440" w:bottom="1440" w:gutter="0" w:footer="0" w:header="0"/>
        </w:sectPr>
      </w:pPr>
    </w:p>
    <w:bookmarkStart w:id="19" w:name="page20"/>
    <w:bookmarkEnd w:id="19"/>
    <w:p>
      <w:pPr>
        <w:jc w:val="right"/>
        <w:ind w:right="60"/>
        <w:spacing w:after="0"/>
        <w:rPr>
          <w:sz w:val="20"/>
          <w:szCs w:val="20"/>
          <w:color w:val="auto"/>
        </w:rPr>
      </w:pPr>
      <w:r>
        <w:rPr>
          <w:rFonts w:ascii="Arial" w:cs="Arial" w:eastAsia="Arial" w:hAnsi="Arial"/>
          <w:sz w:val="12"/>
          <w:szCs w:val="12"/>
          <w:b w:val="1"/>
          <w:bCs w:val="1"/>
          <w:color w:val="auto"/>
        </w:rPr>
        <w:t>EXHIBIT 99.2</w:t>
      </w:r>
    </w:p>
    <w:p>
      <w:pPr>
        <w:spacing w:after="0" w:line="330" w:lineRule="exact"/>
        <w:rPr>
          <w:sz w:val="20"/>
          <w:szCs w:val="20"/>
          <w:color w:val="auto"/>
        </w:rPr>
      </w:pPr>
    </w:p>
    <w:p>
      <w:pPr>
        <w:jc w:val="right"/>
        <w:ind w:right="60"/>
        <w:spacing w:after="0"/>
        <w:rPr>
          <w:sz w:val="20"/>
          <w:szCs w:val="20"/>
          <w:color w:val="auto"/>
        </w:rPr>
      </w:pPr>
      <w:r>
        <w:rPr>
          <w:rFonts w:ascii="Arial" w:cs="Arial" w:eastAsia="Arial" w:hAnsi="Arial"/>
          <w:sz w:val="19"/>
          <w:szCs w:val="19"/>
          <w:b w:val="1"/>
          <w:bCs w:val="1"/>
          <w:color w:val="auto"/>
        </w:rPr>
        <w:t>NEWS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RELATIONS BOARD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tcPr>
          <w:p>
            <w:pPr>
              <w:ind w:left="920"/>
              <w:spacing w:after="0"/>
              <w:rPr>
                <w:sz w:val="20"/>
                <w:szCs w:val="20"/>
                <w:color w:val="auto"/>
              </w:rPr>
            </w:pPr>
            <w:r>
              <w:rPr>
                <w:rFonts w:ascii="Arial" w:cs="Arial" w:eastAsia="Arial" w:hAnsi="Arial"/>
                <w:sz w:val="12"/>
                <w:szCs w:val="12"/>
                <w:color w:val="auto"/>
                <w:w w:val="95"/>
              </w:rPr>
              <w:t>RE: NN, Inc.</w:t>
            </w:r>
          </w:p>
        </w:tc>
        <w:tc>
          <w:tcPr>
            <w:tcW w:w="2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720" w:type="dxa"/>
            <w:vAlign w:val="bottom"/>
            <w:gridSpan w:val="2"/>
          </w:tcPr>
          <w:p>
            <w:pPr>
              <w:ind w:left="940"/>
              <w:spacing w:after="0"/>
              <w:rPr>
                <w:sz w:val="20"/>
                <w:szCs w:val="20"/>
                <w:color w:val="auto"/>
              </w:rPr>
            </w:pPr>
            <w:r>
              <w:rPr>
                <w:rFonts w:ascii="Arial" w:cs="Arial" w:eastAsia="Arial" w:hAnsi="Arial"/>
                <w:sz w:val="12"/>
                <w:szCs w:val="12"/>
                <w:color w:val="auto"/>
              </w:rPr>
              <w:t>2000 Waters Edge Drive</w:t>
            </w: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1500"/>
              <w:spacing w:after="0"/>
              <w:rPr>
                <w:sz w:val="20"/>
                <w:szCs w:val="20"/>
                <w:color w:val="auto"/>
              </w:rPr>
            </w:pPr>
            <w:r>
              <w:rPr>
                <w:rFonts w:ascii="Arial" w:cs="Arial" w:eastAsia="Arial" w:hAnsi="Arial"/>
                <w:sz w:val="12"/>
                <w:szCs w:val="12"/>
                <w:color w:val="auto"/>
              </w:rPr>
              <w:t>;</w:t>
            </w:r>
          </w:p>
        </w:tc>
        <w:tc>
          <w:tcPr>
            <w:tcW w:w="2140" w:type="dxa"/>
            <w:vAlign w:val="bottom"/>
          </w:tcPr>
          <w:p>
            <w:pPr>
              <w:spacing w:after="0"/>
              <w:rPr>
                <w:sz w:val="14"/>
                <w:szCs w:val="14"/>
                <w:color w:val="auto"/>
              </w:rPr>
            </w:pPr>
          </w:p>
        </w:tc>
        <w:tc>
          <w:tcPr>
            <w:tcW w:w="2560" w:type="dxa"/>
            <w:vAlign w:val="bottom"/>
            <w:gridSpan w:val="2"/>
          </w:tcPr>
          <w:p>
            <w:pPr>
              <w:ind w:left="660"/>
              <w:spacing w:after="0"/>
              <w:rPr>
                <w:sz w:val="20"/>
                <w:szCs w:val="20"/>
                <w:color w:val="auto"/>
              </w:rPr>
            </w:pPr>
            <w:r>
              <w:rPr>
                <w:rFonts w:ascii="Arial" w:cs="Arial" w:eastAsia="Arial" w:hAnsi="Arial"/>
                <w:sz w:val="12"/>
                <w:szCs w:val="12"/>
                <w:color w:val="auto"/>
              </w:rPr>
              <w:t>Johnson City, TN 37604</w:t>
            </w:r>
          </w:p>
        </w:tc>
      </w:tr>
      <w:tr>
        <w:trPr>
          <w:trHeight w:val="513"/>
        </w:trPr>
        <w:tc>
          <w:tcPr>
            <w:tcW w:w="5260" w:type="dxa"/>
            <w:vAlign w:val="bottom"/>
            <w:gridSpan w:val="5"/>
          </w:tcPr>
          <w:p>
            <w:pPr>
              <w:spacing w:after="0"/>
              <w:rPr>
                <w:sz w:val="20"/>
                <w:szCs w:val="20"/>
                <w:color w:val="auto"/>
              </w:rPr>
            </w:pPr>
            <w:r>
              <w:rPr>
                <w:rFonts w:ascii="Arial" w:cs="Arial" w:eastAsia="Arial" w:hAnsi="Arial"/>
                <w:sz w:val="12"/>
                <w:szCs w:val="12"/>
                <w:color w:val="auto"/>
              </w:rPr>
              <w:t>FOR FURTHER INFORMATION:</w:t>
            </w: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AT</w:t>
            </w:r>
          </w:p>
        </w:tc>
        <w:tc>
          <w:tcPr>
            <w:tcW w:w="1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60" w:type="dxa"/>
            <w:vAlign w:val="bottom"/>
            <w:gridSpan w:val="2"/>
          </w:tcPr>
          <w:p>
            <w:pPr>
              <w:ind w:left="2300"/>
              <w:spacing w:after="0"/>
              <w:rPr>
                <w:sz w:val="20"/>
                <w:szCs w:val="20"/>
                <w:color w:val="auto"/>
              </w:rPr>
            </w:pPr>
            <w:r>
              <w:rPr>
                <w:rFonts w:ascii="Arial" w:cs="Arial" w:eastAsia="Arial" w:hAnsi="Arial"/>
                <w:sz w:val="12"/>
                <w:szCs w:val="12"/>
                <w:b w:val="1"/>
                <w:bCs w:val="1"/>
                <w:color w:val="auto"/>
                <w:w w:val="99"/>
              </w:rPr>
              <w:t>THE</w:t>
            </w:r>
          </w:p>
        </w:tc>
      </w:tr>
      <w:tr>
        <w:trPr>
          <w:trHeight w:val="151"/>
        </w:trPr>
        <w:tc>
          <w:tcPr>
            <w:tcW w:w="92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COMPANY</w:t>
            </w:r>
          </w:p>
        </w:tc>
        <w:tc>
          <w:tcPr>
            <w:tcW w:w="18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9"/>
              </w:rPr>
              <w:t>AT FINANCIAL RELATIONS BOARD</w:t>
            </w:r>
          </w:p>
        </w:tc>
        <w:tc>
          <w:tcPr>
            <w:tcW w:w="15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920" w:type="dxa"/>
            <w:vAlign w:val="bottom"/>
            <w:gridSpan w:val="2"/>
          </w:tcPr>
          <w:p>
            <w:pPr>
              <w:spacing w:after="0"/>
              <w:rPr>
                <w:sz w:val="20"/>
                <w:szCs w:val="20"/>
                <w:color w:val="auto"/>
              </w:rPr>
            </w:pPr>
            <w:r>
              <w:rPr>
                <w:rFonts w:ascii="Arial" w:cs="Arial" w:eastAsia="Arial" w:hAnsi="Arial"/>
                <w:sz w:val="12"/>
                <w:szCs w:val="12"/>
                <w:color w:val="auto"/>
              </w:rPr>
              <w:t>Will Kelly</w:t>
            </w:r>
          </w:p>
        </w:tc>
        <w:tc>
          <w:tcPr>
            <w:tcW w:w="1820" w:type="dxa"/>
            <w:vAlign w:val="bottom"/>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2"/>
                <w:szCs w:val="12"/>
                <w:color w:val="auto"/>
              </w:rPr>
              <w:t>Marilynn Meek</w:t>
            </w:r>
          </w:p>
        </w:tc>
        <w:tc>
          <w:tcPr>
            <w:tcW w:w="2140" w:type="dxa"/>
            <w:vAlign w:val="bottom"/>
          </w:tcPr>
          <w:p>
            <w:pPr>
              <w:jc w:val="right"/>
              <w:ind w:right="1360"/>
              <w:spacing w:after="0"/>
              <w:rPr>
                <w:sz w:val="20"/>
                <w:szCs w:val="20"/>
                <w:color w:val="auto"/>
              </w:rPr>
            </w:pPr>
            <w:r>
              <w:rPr>
                <w:rFonts w:ascii="Arial" w:cs="Arial" w:eastAsia="Arial" w:hAnsi="Arial"/>
                <w:sz w:val="12"/>
                <w:szCs w:val="12"/>
                <w:color w:val="auto"/>
                <w:w w:val="87"/>
              </w:rPr>
              <w:t>Susan Garland</w:t>
            </w: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Vice</w:t>
            </w:r>
          </w:p>
        </w:tc>
        <w:tc>
          <w:tcPr>
            <w:tcW w:w="4340" w:type="dxa"/>
            <w:vAlign w:val="bottom"/>
            <w:gridSpan w:val="3"/>
          </w:tcPr>
          <w:p>
            <w:pPr>
              <w:jc w:val="right"/>
              <w:ind w:right="2200"/>
              <w:spacing w:after="0"/>
              <w:rPr>
                <w:sz w:val="20"/>
                <w:szCs w:val="20"/>
                <w:color w:val="auto"/>
              </w:rPr>
            </w:pPr>
            <w:r>
              <w:rPr>
                <w:rFonts w:ascii="Arial" w:cs="Arial" w:eastAsia="Arial" w:hAnsi="Arial"/>
                <w:sz w:val="12"/>
                <w:szCs w:val="12"/>
                <w:color w:val="auto"/>
              </w:rPr>
              <w:t>President</w:t>
            </w:r>
          </w:p>
        </w:tc>
        <w:tc>
          <w:tcPr>
            <w:tcW w:w="1580" w:type="dxa"/>
            <w:vAlign w:val="bottom"/>
          </w:tcPr>
          <w:p>
            <w:pPr>
              <w:ind w:left="220"/>
              <w:spacing w:after="0"/>
              <w:rPr>
                <w:sz w:val="20"/>
                <w:szCs w:val="20"/>
                <w:color w:val="auto"/>
              </w:rPr>
            </w:pPr>
            <w:r>
              <w:rPr>
                <w:rFonts w:ascii="Arial" w:cs="Arial" w:eastAsia="Arial" w:hAnsi="Arial"/>
                <w:sz w:val="12"/>
                <w:szCs w:val="12"/>
                <w:color w:val="auto"/>
              </w:rPr>
              <w:t>and</w:t>
            </w:r>
          </w:p>
        </w:tc>
        <w:tc>
          <w:tcPr>
            <w:tcW w:w="2140" w:type="dxa"/>
            <w:vAlign w:val="bottom"/>
          </w:tcPr>
          <w:p>
            <w:pPr>
              <w:jc w:val="right"/>
              <w:ind w:right="580"/>
              <w:spacing w:after="0"/>
              <w:rPr>
                <w:sz w:val="20"/>
                <w:szCs w:val="20"/>
                <w:color w:val="auto"/>
              </w:rPr>
            </w:pPr>
            <w:r>
              <w:rPr>
                <w:rFonts w:ascii="Arial" w:cs="Arial" w:eastAsia="Arial" w:hAnsi="Arial"/>
                <w:sz w:val="12"/>
                <w:szCs w:val="12"/>
                <w:color w:val="auto"/>
              </w:rPr>
              <w:t>Chief</w:t>
            </w:r>
          </w:p>
        </w:tc>
        <w:tc>
          <w:tcPr>
            <w:tcW w:w="2560" w:type="dxa"/>
            <w:vAlign w:val="bottom"/>
            <w:gridSpan w:val="2"/>
          </w:tcPr>
          <w:p>
            <w:pPr>
              <w:ind w:left="1760"/>
              <w:spacing w:after="0"/>
              <w:rPr>
                <w:sz w:val="20"/>
                <w:szCs w:val="20"/>
                <w:color w:val="auto"/>
              </w:rPr>
            </w:pPr>
            <w:r>
              <w:rPr>
                <w:rFonts w:ascii="Arial" w:cs="Arial" w:eastAsia="Arial" w:hAnsi="Arial"/>
                <w:sz w:val="12"/>
                <w:szCs w:val="12"/>
                <w:color w:val="auto"/>
              </w:rPr>
              <w:t>Administrative</w:t>
            </w:r>
          </w:p>
        </w:tc>
      </w:tr>
      <w:tr>
        <w:trPr>
          <w:trHeight w:val="171"/>
        </w:trPr>
        <w:tc>
          <w:tcPr>
            <w:tcW w:w="920" w:type="dxa"/>
            <w:vAlign w:val="bottom"/>
            <w:gridSpan w:val="2"/>
          </w:tcPr>
          <w:p>
            <w:pPr>
              <w:spacing w:after="0"/>
              <w:rPr>
                <w:sz w:val="20"/>
                <w:szCs w:val="20"/>
                <w:color w:val="auto"/>
              </w:rPr>
            </w:pPr>
            <w:r>
              <w:rPr>
                <w:rFonts w:ascii="Arial" w:cs="Arial" w:eastAsia="Arial" w:hAnsi="Arial"/>
                <w:sz w:val="12"/>
                <w:szCs w:val="12"/>
                <w:color w:val="auto"/>
              </w:rPr>
              <w:t>Officer</w:t>
            </w: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920" w:type="dxa"/>
            <w:vAlign w:val="bottom"/>
            <w:gridSpan w:val="2"/>
          </w:tcPr>
          <w:p>
            <w:pPr>
              <w:spacing w:after="0"/>
              <w:rPr>
                <w:sz w:val="20"/>
                <w:szCs w:val="20"/>
                <w:color w:val="auto"/>
              </w:rPr>
            </w:pPr>
            <w:r>
              <w:rPr>
                <w:rFonts w:ascii="Arial" w:cs="Arial" w:eastAsia="Arial" w:hAnsi="Arial"/>
                <w:sz w:val="12"/>
                <w:szCs w:val="12"/>
                <w:color w:val="auto"/>
              </w:rPr>
              <w:t>info)</w:t>
            </w:r>
          </w:p>
        </w:tc>
        <w:tc>
          <w:tcPr>
            <w:tcW w:w="4340" w:type="dxa"/>
            <w:vAlign w:val="bottom"/>
            <w:gridSpan w:val="3"/>
          </w:tcPr>
          <w:p>
            <w:pPr>
              <w:jc w:val="right"/>
              <w:ind w:right="3460"/>
              <w:spacing w:after="0"/>
              <w:rPr>
                <w:sz w:val="20"/>
                <w:szCs w:val="20"/>
                <w:color w:val="auto"/>
              </w:rPr>
            </w:pPr>
            <w:r>
              <w:rPr>
                <w:rFonts w:ascii="Arial" w:cs="Arial" w:eastAsia="Arial" w:hAnsi="Arial"/>
                <w:sz w:val="12"/>
                <w:szCs w:val="12"/>
                <w:color w:val="auto"/>
              </w:rPr>
              <w:t>(Analyst info)</w:t>
            </w: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20" w:type="dxa"/>
            <w:vAlign w:val="bottom"/>
            <w:gridSpan w:val="2"/>
          </w:tcPr>
          <w:p>
            <w:pPr>
              <w:spacing w:after="0"/>
              <w:rPr>
                <w:sz w:val="20"/>
                <w:szCs w:val="20"/>
                <w:color w:val="auto"/>
              </w:rPr>
            </w:pPr>
            <w:r>
              <w:rPr>
                <w:rFonts w:ascii="Arial" w:cs="Arial" w:eastAsia="Arial" w:hAnsi="Arial"/>
                <w:sz w:val="12"/>
                <w:szCs w:val="12"/>
                <w:color w:val="auto"/>
              </w:rPr>
              <w:t>(423)743-9151</w:t>
            </w:r>
          </w:p>
        </w:tc>
        <w:tc>
          <w:tcPr>
            <w:tcW w:w="4340" w:type="dxa"/>
            <w:vAlign w:val="bottom"/>
            <w:gridSpan w:val="3"/>
          </w:tcPr>
          <w:p>
            <w:pPr>
              <w:jc w:val="right"/>
              <w:ind w:right="100"/>
              <w:spacing w:after="0"/>
              <w:rPr>
                <w:sz w:val="20"/>
                <w:szCs w:val="20"/>
                <w:color w:val="auto"/>
              </w:rPr>
            </w:pPr>
            <w:r>
              <w:rPr>
                <w:rFonts w:ascii="Arial" w:cs="Arial" w:eastAsia="Arial" w:hAnsi="Arial"/>
                <w:sz w:val="12"/>
                <w:szCs w:val="12"/>
                <w:color w:val="auto"/>
              </w:rPr>
              <w:t>&amp; #160;</w:t>
            </w:r>
          </w:p>
        </w:tc>
        <w:tc>
          <w:tcPr>
            <w:tcW w:w="1580" w:type="dxa"/>
            <w:vAlign w:val="bottom"/>
          </w:tcPr>
          <w:p>
            <w:pPr>
              <w:ind w:left="500"/>
              <w:spacing w:after="0"/>
              <w:rPr>
                <w:sz w:val="20"/>
                <w:szCs w:val="20"/>
                <w:color w:val="auto"/>
              </w:rPr>
            </w:pPr>
            <w:r>
              <w:rPr>
                <w:rFonts w:ascii="Arial" w:cs="Arial" w:eastAsia="Arial" w:hAnsi="Arial"/>
                <w:sz w:val="12"/>
                <w:szCs w:val="12"/>
                <w:color w:val="auto"/>
              </w:rPr>
              <w:t>212-827-3773</w:t>
            </w:r>
          </w:p>
        </w:tc>
        <w:tc>
          <w:tcPr>
            <w:tcW w:w="2140" w:type="dxa"/>
            <w:vAlign w:val="bottom"/>
          </w:tcPr>
          <w:p>
            <w:pPr>
              <w:jc w:val="right"/>
              <w:ind w:right="900"/>
              <w:spacing w:after="0"/>
              <w:rPr>
                <w:sz w:val="20"/>
                <w:szCs w:val="20"/>
                <w:color w:val="auto"/>
              </w:rPr>
            </w:pPr>
            <w:r>
              <w:rPr>
                <w:rFonts w:ascii="Arial" w:cs="Arial" w:eastAsia="Arial" w:hAnsi="Arial"/>
                <w:sz w:val="12"/>
                <w:szCs w:val="12"/>
                <w:color w:val="auto"/>
              </w:rPr>
              <w:t>212-827-3775</w:t>
            </w:r>
          </w:p>
        </w:tc>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IMMEDIATE RELEASE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October 2, 2006</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NN, INC. NAMES DAVID M. GILSON VICE PRESIDENT OF MARKETING</w:t>
      </w:r>
    </w:p>
    <w:p>
      <w:pPr>
        <w:spacing w:after="0" w:line="186" w:lineRule="exact"/>
        <w:rPr>
          <w:sz w:val="20"/>
          <w:szCs w:val="20"/>
          <w:color w:val="auto"/>
        </w:rPr>
      </w:pPr>
    </w:p>
    <w:p>
      <w:pPr>
        <w:ind w:right="360"/>
        <w:spacing w:after="0" w:line="283" w:lineRule="auto"/>
        <w:rPr>
          <w:sz w:val="20"/>
          <w:szCs w:val="20"/>
          <w:color w:val="auto"/>
        </w:rPr>
      </w:pPr>
      <w:r>
        <w:rPr>
          <w:rFonts w:ascii="Arial" w:cs="Arial" w:eastAsia="Arial" w:hAnsi="Arial"/>
          <w:sz w:val="12"/>
          <w:szCs w:val="12"/>
          <w:b w:val="1"/>
          <w:bCs w:val="1"/>
          <w:color w:val="auto"/>
        </w:rPr>
        <w:t xml:space="preserve">Johnson City, Tenn, October 2, 2006- </w:t>
      </w:r>
      <w:r>
        <w:rPr>
          <w:rFonts w:ascii="Arial" w:cs="Arial" w:eastAsia="Arial" w:hAnsi="Arial"/>
          <w:sz w:val="12"/>
          <w:szCs w:val="12"/>
          <w:color w:val="auto"/>
        </w:rPr>
        <w:t>NN, Inc. (Nasdaq: NNBR) today announced that David M. Gilson, 41, has been named to the position of Vice President of Marketing. Roderick R. Baty, Chairman and Chief Executive Officer,</w:t>
      </w:r>
      <w:r>
        <w:rPr>
          <w:rFonts w:ascii="Arial" w:cs="Arial" w:eastAsia="Arial" w:hAnsi="Arial"/>
          <w:sz w:val="12"/>
          <w:szCs w:val="12"/>
          <w:b w:val="1"/>
          <w:bCs w:val="1"/>
          <w:color w:val="auto"/>
        </w:rPr>
        <w:t xml:space="preserve"> </w:t>
      </w:r>
      <w:r>
        <w:rPr>
          <w:rFonts w:ascii="Arial" w:cs="Arial" w:eastAsia="Arial" w:hAnsi="Arial"/>
          <w:sz w:val="12"/>
          <w:szCs w:val="12"/>
          <w:color w:val="auto"/>
        </w:rPr>
        <w:t>commented, “We are pleased to have Dave join NN’s senior management team. His extensive global marketing experience includes responsibilities in the Americas, Europe and Asia.</w:t>
      </w:r>
    </w:p>
    <w:p>
      <w:pPr>
        <w:spacing w:after="0" w:line="147"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Mr. Baty continued, “Dave brings to us over 15 years of experience in new product development, technical services, solutions based selling activities and applications marketing. We look forward to him providing a leadership role as we fully develop and execute our strategic growth plan. Applications marketing has been identified as a critical competency and component of our strategy moving forward.”</w:t>
      </w:r>
    </w:p>
    <w:p>
      <w:pPr>
        <w:spacing w:after="0" w:line="151" w:lineRule="exact"/>
        <w:rPr>
          <w:sz w:val="20"/>
          <w:szCs w:val="20"/>
          <w:color w:val="auto"/>
        </w:rPr>
      </w:pPr>
    </w:p>
    <w:p>
      <w:pPr>
        <w:jc w:val="both"/>
        <w:ind w:right="200"/>
        <w:spacing w:after="0" w:line="323" w:lineRule="auto"/>
        <w:rPr>
          <w:sz w:val="20"/>
          <w:szCs w:val="20"/>
          <w:color w:val="auto"/>
        </w:rPr>
      </w:pPr>
      <w:r>
        <w:rPr>
          <w:rFonts w:ascii="Arial" w:cs="Arial" w:eastAsia="Arial" w:hAnsi="Arial"/>
          <w:sz w:val="11"/>
          <w:szCs w:val="11"/>
          <w:color w:val="auto"/>
        </w:rPr>
        <w:t>Prior to joining NN, Mr. Gilson’s most recent position was with Ashland Inc.’s Castings Solutions Business Unit, as a Global Marketing Manager. While there, Mr. Gilson was responsible for global product management, development of market driven based selling approaches, and the marketing and R&amp;D interface. Mr. Gilson holds an MBA from the University of Wisconsin-Milwaukee and a B.S in Metallurgical Engineering from the University of Wisconsin-Madison.</w:t>
      </w:r>
    </w:p>
    <w:p>
      <w:pPr>
        <w:spacing w:after="0" w:line="12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$321 million in 2005.</w:t>
      </w:r>
    </w:p>
    <w:sectPr>
      <w:pgSz w:w="11900" w:h="16838" w:orient="portrait"/>
      <w:cols w:equalWidth="0" w:num="1">
        <w:col w:w="11540"/>
      </w:cols>
      <w:pgMar w:left="220" w:top="12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4"/>
    </w:lvl>
    <w:lvl w:ilvl="1">
      <w:lvlJc w:val="left"/>
      <w:lvlText w:val="(%2)"/>
      <w:numFmt w:val="lowerLetter"/>
      <w:start w:val="1"/>
    </w:lvl>
  </w:abstractNum>
  <w:abstractNum w:abstractNumId="2">
    <w:nsid w:val="140E0F7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
    <w:nsid w:val="3352255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
    <w:nsid w:val="109CF92E"/>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4"/>
    </w:lvl>
  </w:abstractNum>
  <w:abstractNum w:abstractNumId="5">
    <w:nsid w:val="DED7263"/>
    <w:multiLevelType w:val="hybridMultilevel"/>
    <w:lvl w:ilvl="0">
      <w:lvlJc w:val="left"/>
      <w:lvlText w:val="(%1)"/>
      <w:numFmt w:val="lowerRoman"/>
      <w:start w:val="4"/>
    </w:lvl>
  </w:abstractNum>
  <w:abstractNum w:abstractNumId="6">
    <w:nsid w:val="7FDCC2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7">
    <w:nsid w:val="1BEFD79F"/>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8">
    <w:nsid w:val="41A7C4C9"/>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
    <w:nsid w:val="6B68079A"/>
    <w:multiLevelType w:val="hybridMultilevel"/>
    <w:lvl w:ilvl="0">
      <w:lvlJc w:val="left"/>
      <w:lvlText w:val="(%1)"/>
      <w:numFmt w:val="upperLetter"/>
      <w:start w:val="3"/>
    </w:lvl>
  </w:abstractNum>
  <w:abstractNum w:abstractNumId="10">
    <w:nsid w:val="4E6AFB66"/>
    <w:multiLevelType w:val="hybridMultilevel"/>
    <w:lvl w:ilvl="0">
      <w:lvlJc w:val="left"/>
      <w:lvlText w:val="(%1)"/>
      <w:numFmt w:val="lowerRoman"/>
      <w:start w:val="2"/>
    </w:lvl>
  </w:abstractNum>
  <w:abstractNum w:abstractNumId="11">
    <w:nsid w:val="25E45D32"/>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lowerLetter"/>
      <w:start w:val="5"/>
    </w:lvl>
  </w:abstractNum>
  <w:abstractNum w:abstractNumId="14">
    <w:nsid w:val="3F2DBA31"/>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15">
    <w:nsid w:val="7C83E45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6">
    <w:nsid w:val="257130A3"/>
    <w:multiLevelType w:val="hybridMultilevel"/>
    <w:lvl w:ilvl="0">
      <w:lvlJc w:val="left"/>
      <w:lvlText w:val="%1."/>
      <w:numFmt w:val="decimal"/>
      <w:start w:val="9"/>
    </w:lvl>
    <w:lvl w:ilvl="1">
      <w:lvlJc w:val="left"/>
      <w:lvlText w:val="(%2)"/>
      <w:numFmt w:val="lowerLetter"/>
      <w:start w:val="1"/>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decimal"/>
      <w:start w:val="16"/>
    </w:lvl>
  </w:abstractNum>
  <w:abstractNum w:abstractNumId="19">
    <w:nsid w:val="628C895D"/>
    <w:multiLevelType w:val="hybridMultilevel"/>
    <w:lvl w:ilvl="0">
      <w:lvlJc w:val="left"/>
      <w:lvlText w:val="%1."/>
      <w:numFmt w:val="decimal"/>
      <w:start w:val="17"/>
    </w:lvl>
  </w:abstractNum>
  <w:abstractNum w:abstractNumId="20">
    <w:nsid w:val="333AB105"/>
    <w:multiLevelType w:val="hybridMultilevel"/>
    <w:lvl w:ilvl="0">
      <w:lvlJc w:val="left"/>
      <w:lvlText w:val="%1."/>
      <w:numFmt w:val="decimal"/>
      <w:start w:val="22"/>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2019-12-14T03:15:08Z</dcterms:created>
  <dcterms:modified xsi:type="dcterms:W3CDTF">2019-12-14T03:15:08Z</dcterms:modified>
</cp:coreProperties>
</file>