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80010</wp:posOffset>
            </wp:positionV>
            <wp:extent cx="17316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53975</wp:posOffset>
            </wp:positionV>
            <wp:extent cx="17316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October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75565</wp:posOffset>
            </wp:positionV>
            <wp:extent cx="1731645" cy="405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405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32385</wp:posOffset>
            </wp:positionV>
            <wp:extent cx="17316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9" w:lineRule="exact"/>
        <w:rPr>
          <w:sz w:val="24"/>
          <w:szCs w:val="24"/>
          <w:color w:val="auto"/>
        </w:rPr>
      </w:pPr>
    </w:p>
    <w:tbl>
      <w:tblPr>
        <w:tblLayout w:type="fixed"/>
        <w:tblInd w:w="2060" w:type="dxa"/>
        <w:tblCellMar>
          <w:top w:w="0" w:type="dxa"/>
          <w:left w:w="0" w:type="dxa"/>
          <w:bottom w:w="0" w:type="dxa"/>
          <w:right w:w="0" w:type="dxa"/>
        </w:tblCellMar>
      </w:tblPr>
      <w:tr>
        <w:trPr>
          <w:trHeight w:val="169"/>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4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001-39268</w:t>
            </w: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7"/>
              </w:rPr>
              <w:t>62-1096725</w:t>
            </w:r>
          </w:p>
        </w:tc>
      </w:tr>
      <w:tr>
        <w:trPr>
          <w:trHeight w:val="112"/>
        </w:trPr>
        <w:tc>
          <w:tcPr>
            <w:tcW w:w="128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i w:val="1"/>
                <w:iCs w:val="1"/>
                <w:color w:val="auto"/>
                <w:w w:val="99"/>
              </w:rPr>
              <w:t>(State or other jurisdiction of</w:t>
            </w:r>
          </w:p>
        </w:tc>
        <w:tc>
          <w:tcPr>
            <w:tcW w:w="2420" w:type="dxa"/>
            <w:vAlign w:val="bottom"/>
          </w:tcPr>
          <w:p>
            <w:pPr>
              <w:jc w:val="center"/>
              <w:ind w:right="66"/>
              <w:spacing w:after="0" w:line="112" w:lineRule="exact"/>
              <w:rPr>
                <w:sz w:val="20"/>
                <w:szCs w:val="20"/>
                <w:color w:val="auto"/>
              </w:rPr>
            </w:pPr>
            <w:r>
              <w:rPr>
                <w:rFonts w:ascii="Times New Roman" w:cs="Times New Roman" w:eastAsia="Times New Roman" w:hAnsi="Times New Roman"/>
                <w:sz w:val="11"/>
                <w:szCs w:val="11"/>
                <w:i w:val="1"/>
                <w:iCs w:val="1"/>
                <w:color w:val="auto"/>
                <w:w w:val="97"/>
              </w:rPr>
              <w:t>(Commission File Number)</w:t>
            </w:r>
          </w:p>
        </w:tc>
        <w:tc>
          <w:tcPr>
            <w:tcW w:w="940" w:type="dxa"/>
            <w:vAlign w:val="bottom"/>
          </w:tcPr>
          <w:p>
            <w:pPr>
              <w:jc w:val="center"/>
              <w:ind w:left="86"/>
              <w:spacing w:after="0" w:line="112" w:lineRule="exact"/>
              <w:rPr>
                <w:sz w:val="20"/>
                <w:szCs w:val="20"/>
                <w:color w:val="auto"/>
              </w:rPr>
            </w:pPr>
            <w:r>
              <w:rPr>
                <w:rFonts w:ascii="Times New Roman" w:cs="Times New Roman" w:eastAsia="Times New Roman" w:hAnsi="Times New Roman"/>
                <w:sz w:val="11"/>
                <w:szCs w:val="11"/>
                <w:i w:val="1"/>
                <w:iCs w:val="1"/>
                <w:color w:val="auto"/>
                <w:w w:val="98"/>
              </w:rPr>
              <w:t>(I.R.S. Employer</w:t>
            </w:r>
          </w:p>
        </w:tc>
      </w:tr>
      <w:tr>
        <w:trPr>
          <w:trHeight w:val="142"/>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incorporation)</w:t>
            </w:r>
          </w:p>
        </w:tc>
        <w:tc>
          <w:tcPr>
            <w:tcW w:w="2420" w:type="dxa"/>
            <w:vAlign w:val="bottom"/>
          </w:tcPr>
          <w:p>
            <w:pPr>
              <w:spacing w:after="0"/>
              <w:rPr>
                <w:sz w:val="12"/>
                <w:szCs w:val="12"/>
                <w:color w:val="auto"/>
              </w:rPr>
            </w:pP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i w:val="1"/>
                <w:iCs w:val="1"/>
                <w:color w:val="auto"/>
                <w:w w:val="98"/>
              </w:rPr>
              <w:t>Identification No.)</w:t>
            </w:r>
          </w:p>
        </w:tc>
      </w:tr>
      <w:tr>
        <w:trPr>
          <w:trHeight w:val="439"/>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7"/>
              </w:rPr>
              <w:t>6210 Ardrey Kell Road, Suite 120</w:t>
            </w:r>
          </w:p>
        </w:tc>
        <w:tc>
          <w:tcPr>
            <w:tcW w:w="940" w:type="dxa"/>
            <w:vAlign w:val="bottom"/>
          </w:tcPr>
          <w:p>
            <w:pPr>
              <w:spacing w:after="0"/>
              <w:rPr>
                <w:sz w:val="24"/>
                <w:szCs w:val="24"/>
                <w:color w:val="auto"/>
              </w:rPr>
            </w:pPr>
          </w:p>
        </w:tc>
      </w:tr>
      <w:tr>
        <w:trPr>
          <w:trHeight w:val="171"/>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9"/>
              </w:rPr>
              <w:t>Charlotte, North Carolina</w:t>
            </w: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28277</w:t>
            </w:r>
          </w:p>
        </w:tc>
      </w:tr>
      <w:tr>
        <w:trPr>
          <w:trHeight w:val="180"/>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i w:val="1"/>
                <w:iCs w:val="1"/>
                <w:color w:val="auto"/>
                <w:w w:val="98"/>
              </w:rPr>
              <w:t>(Address of principal executive offices)</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1"/>
                <w:szCs w:val="11"/>
                <w:i w:val="1"/>
                <w:iCs w:val="1"/>
                <w:color w:val="auto"/>
                <w:w w:val="99"/>
              </w:rPr>
              <w:t>(Zip Code)</w:t>
            </w:r>
          </w:p>
        </w:tc>
      </w:tr>
      <w:tr>
        <w:trPr>
          <w:trHeight w:val="380"/>
        </w:trPr>
        <w:tc>
          <w:tcPr>
            <w:tcW w:w="1280" w:type="dxa"/>
            <w:vAlign w:val="bottom"/>
          </w:tcPr>
          <w:p>
            <w:pPr>
              <w:spacing w:after="0"/>
              <w:rPr>
                <w:sz w:val="24"/>
                <w:szCs w:val="24"/>
                <w:color w:val="auto"/>
              </w:rPr>
            </w:pPr>
          </w:p>
        </w:tc>
        <w:tc>
          <w:tcPr>
            <w:tcW w:w="24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(980) 264-4300</w:t>
            </w:r>
          </w:p>
        </w:tc>
        <w:tc>
          <w:tcPr>
            <w:tcW w:w="9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2420" w:type="dxa"/>
            <w:vAlign w:val="bottom"/>
          </w:tcPr>
          <w:p>
            <w:pPr>
              <w:jc w:val="center"/>
              <w:ind w:right="66"/>
              <w:spacing w:after="0"/>
              <w:rPr>
                <w:sz w:val="20"/>
                <w:szCs w:val="20"/>
                <w:color w:val="auto"/>
              </w:rPr>
            </w:pPr>
            <w:r>
              <w:rPr>
                <w:rFonts w:ascii="Times New Roman" w:cs="Times New Roman" w:eastAsia="Times New Roman" w:hAnsi="Times New Roman"/>
                <w:sz w:val="11"/>
                <w:szCs w:val="11"/>
                <w:i w:val="1"/>
                <w:iCs w:val="1"/>
                <w:color w:val="auto"/>
                <w:w w:val="97"/>
              </w:rPr>
              <w:t>(Registrant’s telephone number, including area code)</w:t>
            </w:r>
          </w:p>
        </w:tc>
        <w:tc>
          <w:tcPr>
            <w:tcW w:w="940" w:type="dxa"/>
            <w:vAlign w:val="bottom"/>
          </w:tcPr>
          <w:p>
            <w:pPr>
              <w:spacing w:after="0"/>
              <w:rPr>
                <w:sz w:val="12"/>
                <w:szCs w:val="12"/>
                <w:color w:val="auto"/>
              </w:rPr>
            </w:pPr>
          </w:p>
        </w:tc>
      </w:tr>
    </w:tbl>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1791335</wp:posOffset>
            </wp:positionH>
            <wp:positionV relativeFrom="paragraph">
              <wp:posOffset>22860</wp:posOffset>
            </wp:positionV>
            <wp:extent cx="21374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7410" cy="5715"/>
                    </a:xfrm>
                    <a:prstGeom prst="rect">
                      <a:avLst/>
                    </a:prstGeom>
                    <a:noFill/>
                  </pic:spPr>
                </pic:pic>
              </a:graphicData>
            </a:graphic>
          </wp:anchor>
        </w:drawing>
      </w:r>
    </w:p>
    <w:p>
      <w:pPr>
        <w:spacing w:after="0" w:line="294" w:lineRule="exact"/>
        <w:rPr>
          <w:sz w:val="24"/>
          <w:szCs w:val="24"/>
          <w:color w:val="auto"/>
        </w:rPr>
      </w:pPr>
    </w:p>
    <w:p>
      <w:pPr>
        <w:ind w:left="1440" w:right="1679"/>
        <w:spacing w:after="0" w:line="236" w:lineRule="auto"/>
        <w:rPr>
          <w:sz w:val="20"/>
          <w:szCs w:val="20"/>
          <w:color w:val="auto"/>
        </w:rPr>
      </w:pPr>
      <w:r>
        <w:rPr>
          <w:rFonts w:ascii="Times New Roman" w:cs="Times New Roman" w:eastAsia="Times New Roman" w:hAnsi="Times New Roman"/>
          <w:sz w:val="12"/>
          <w:szCs w:val="12"/>
          <w:color w:val="auto"/>
        </w:rPr>
        <w:t>Check the appropriate box if the Form 8-K filing is intended to simultaneously satisfy the filing obligation of the registrant under any of the following provisions (see General Instruction A.2. below):</w:t>
      </w:r>
    </w:p>
    <w:p>
      <w:pPr>
        <w:spacing w:after="0" w:line="35" w:lineRule="exact"/>
        <w:rPr>
          <w:sz w:val="24"/>
          <w:szCs w:val="24"/>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p>
      <w:pPr>
        <w:sectPr>
          <w:pgSz w:w="11900" w:h="16838" w:orient="portrait"/>
          <w:cols w:equalWidth="0" w:num="1">
            <w:col w:w="9019"/>
          </w:cols>
          <w:pgMar w:left="1440" w:top="907" w:right="1440" w:bottom="1440" w:gutter="0" w:footer="0" w:header="0"/>
        </w:sectPr>
      </w:pPr>
    </w:p>
    <w:p>
      <w:pPr>
        <w:spacing w:after="0" w:line="2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8"/>
          <w:szCs w:val="8"/>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Trading symbol</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Name of each exchange on which registered</w:t>
      </w:r>
    </w:p>
    <w:p>
      <w:pPr>
        <w:spacing w:after="0" w:line="52" w:lineRule="exact"/>
        <w:rPr>
          <w:sz w:val="24"/>
          <w:szCs w:val="24"/>
          <w:color w:val="auto"/>
        </w:rPr>
      </w:pPr>
    </w:p>
    <w:p>
      <w:pPr>
        <w:sectPr>
          <w:pgSz w:w="11900" w:h="16838" w:orient="portrait"/>
          <w:cols w:equalWidth="0" w:num="3">
            <w:col w:w="3480" w:space="720"/>
            <w:col w:w="640" w:space="720"/>
            <w:col w:w="3459"/>
          </w:cols>
          <w:pgMar w:left="1440" w:top="907" w:right="1440"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8"/>
          <w:szCs w:val="8"/>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The Nasdaq Stock Market LLC</w:t>
      </w:r>
    </w:p>
    <w:p>
      <w:pPr>
        <w:spacing w:after="0" w:line="200" w:lineRule="exact"/>
        <w:rPr>
          <w:sz w:val="24"/>
          <w:szCs w:val="24"/>
          <w:color w:val="auto"/>
        </w:rPr>
      </w:pPr>
    </w:p>
    <w:p>
      <w:pPr>
        <w:sectPr>
          <w:pgSz w:w="11900" w:h="16838" w:orient="portrait"/>
          <w:cols w:equalWidth="0" w:num="3">
            <w:col w:w="3640" w:space="720"/>
            <w:col w:w="680" w:space="720"/>
            <w:col w:w="3259"/>
          </w:cols>
          <w:pgMar w:left="1440" w:top="907" w:right="1440" w:bottom="1440" w:gutter="0" w:footer="0" w:header="0"/>
          <w:type w:val="continuous"/>
        </w:sectPr>
      </w:pPr>
    </w:p>
    <w:p>
      <w:pPr>
        <w:spacing w:after="0" w:line="110" w:lineRule="exact"/>
        <w:rPr>
          <w:sz w:val="24"/>
          <w:szCs w:val="24"/>
          <w:color w:val="auto"/>
        </w:rPr>
      </w:pPr>
    </w:p>
    <w:p>
      <w:pPr>
        <w:ind w:left="1440" w:right="1559"/>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00"/>
        <w:spacing w:after="0" w:line="235"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21"/>
          <w:szCs w:val="21"/>
          <w:color w:val="auto"/>
          <w:vertAlign w:val="subscript"/>
        </w:rPr>
        <w:t>☐</w:t>
      </w:r>
    </w:p>
    <w:p>
      <w:pPr>
        <w:spacing w:after="0" w:line="16" w:lineRule="exact"/>
        <w:rPr>
          <w:sz w:val="24"/>
          <w:szCs w:val="24"/>
          <w:color w:val="auto"/>
        </w:rPr>
      </w:pPr>
    </w:p>
    <w:p>
      <w:pPr>
        <w:ind w:left="1440" w:right="1599"/>
        <w:spacing w:after="0" w:line="13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-741045</wp:posOffset>
            </wp:positionH>
            <wp:positionV relativeFrom="paragraph">
              <wp:posOffset>491490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401320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418465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46" w:lineRule="exact"/>
        <w:rPr>
          <w:sz w:val="20"/>
          <w:szCs w:val="20"/>
          <w:color w:val="auto"/>
        </w:rPr>
      </w:pPr>
    </w:p>
    <w:p>
      <w:pPr>
        <w:ind w:right="40" w:firstLine="432"/>
        <w:spacing w:after="0" w:line="279" w:lineRule="auto"/>
        <w:rPr>
          <w:sz w:val="20"/>
          <w:szCs w:val="20"/>
          <w:color w:val="auto"/>
        </w:rPr>
      </w:pPr>
      <w:r>
        <w:rPr>
          <w:rFonts w:ascii="Times New Roman" w:cs="Times New Roman" w:eastAsia="Times New Roman" w:hAnsi="Times New Roman"/>
          <w:sz w:val="12"/>
          <w:szCs w:val="12"/>
          <w:color w:val="auto"/>
        </w:rPr>
        <w:t>On October 29, 2025, NN, Inc. (the “Company”) issued a press release announcing the Company’s financial results for the quarter ended September 30, 2025. The full text of the press release is furnished as Exhibit 99.1 to this Current Report on Form 8-K (the "Current Report").</w:t>
      </w:r>
    </w:p>
    <w:p>
      <w:pPr>
        <w:spacing w:after="0" w:line="39" w:lineRule="exact"/>
        <w:rPr>
          <w:sz w:val="20"/>
          <w:szCs w:val="20"/>
          <w:color w:val="auto"/>
        </w:rPr>
      </w:pPr>
    </w:p>
    <w:p>
      <w:pPr>
        <w:ind w:right="16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U.S. Securities and Exchange Commission (the “SEC”), the information furnished pursuant to Item 2.02 of this Current Report (including Exhibit 99.1) is deemed to have been furnished and shall not be deemed to be “filed” for purposes of Section 18 of the Securities Exchange Act of 1934, as amended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4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46"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On October 29, 2025, the Company posted a supplemental presentation to its website, https://investors.nninc.com/, which will be presented during its quarterly investor conference call on October 30, 2025, at 9:00 a.m. ET. The supplemental presentation is included as Exhibit 99.2 to this Current Report.</w:t>
      </w:r>
    </w:p>
    <w:p>
      <w:pPr>
        <w:spacing w:after="0" w:line="39" w:lineRule="exact"/>
        <w:rPr>
          <w:sz w:val="20"/>
          <w:szCs w:val="20"/>
          <w:color w:val="auto"/>
        </w:rPr>
      </w:pPr>
    </w:p>
    <w:p>
      <w:pPr>
        <w:ind w:right="24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SEC, the information furnished pursuant to Item 7.01 of this Current Report (including Exhibit 99.2) is deemed to have been furnished and shall not be deemed to be “filed” for purposes of Section 18 of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44" w:lineRule="exact"/>
        <w:rPr>
          <w:sz w:val="20"/>
          <w:szCs w:val="20"/>
          <w:color w:val="auto"/>
        </w:rPr>
      </w:pPr>
    </w:p>
    <w:p>
      <w:pPr>
        <w:ind w:left="280" w:hanging="258"/>
        <w:spacing w:after="0"/>
        <w:tabs>
          <w:tab w:leader="none" w:pos="28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Exhibits.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0" w:type="dxa"/>
            <w:vAlign w:val="bottom"/>
            <w:gridSpan w:val="5"/>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3"/>
              </w:rPr>
              <w:t>Description of Exhibit</w:t>
            </w:r>
          </w:p>
        </w:tc>
        <w:tc>
          <w:tcPr>
            <w:tcW w:w="98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No.</w:t>
            </w:r>
          </w:p>
        </w:tc>
        <w:tc>
          <w:tcPr>
            <w:tcW w:w="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9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2"/>
                <w:szCs w:val="12"/>
                <w:color w:val="auto"/>
                <w:w w:val="95"/>
              </w:rPr>
              <w:t>99.1</w:t>
            </w:r>
          </w:p>
        </w:tc>
        <w:tc>
          <w:tcPr>
            <w:tcW w:w="220" w:type="dxa"/>
            <w:vAlign w:val="bottom"/>
          </w:tcPr>
          <w:p>
            <w:pPr>
              <w:spacing w:after="0"/>
              <w:rPr>
                <w:sz w:val="13"/>
                <w:szCs w:val="13"/>
                <w:color w:val="auto"/>
              </w:rPr>
            </w:pPr>
          </w:p>
        </w:tc>
        <w:tc>
          <w:tcPr>
            <w:tcW w:w="2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8"/>
              </w:rPr>
              <w:t>Press Release issued by NN, Inc., dated October 29, 2025</w:t>
            </w:r>
          </w:p>
        </w:tc>
        <w:tc>
          <w:tcPr>
            <w:tcW w:w="7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0" w:type="dxa"/>
            <w:vAlign w:val="bottom"/>
            <w:gridSpan w:val="4"/>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99.2</w:t>
            </w:r>
          </w:p>
        </w:tc>
        <w:tc>
          <w:tcPr>
            <w:tcW w:w="220" w:type="dxa"/>
            <w:vAlign w:val="bottom"/>
          </w:tcPr>
          <w:p>
            <w:pPr>
              <w:spacing w:after="0"/>
              <w:rPr>
                <w:sz w:val="11"/>
                <w:szCs w:val="11"/>
                <w:color w:val="auto"/>
              </w:rPr>
            </w:pPr>
          </w:p>
        </w:tc>
        <w:tc>
          <w:tcPr>
            <w:tcW w:w="1072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Third Quarter 2025 Investor Presentation</w:t>
            </w:r>
          </w:p>
        </w:tc>
        <w:tc>
          <w:tcPr>
            <w:tcW w:w="0" w:type="dxa"/>
            <w:vAlign w:val="bottom"/>
          </w:tcPr>
          <w:p>
            <w:pPr>
              <w:spacing w:after="0"/>
              <w:rPr>
                <w:sz w:val="1"/>
                <w:szCs w:val="1"/>
                <w:color w:val="auto"/>
              </w:rPr>
            </w:pPr>
          </w:p>
        </w:tc>
      </w:tr>
      <w:tr>
        <w:trPr>
          <w:trHeight w:val="20"/>
        </w:trPr>
        <w:tc>
          <w:tcPr>
            <w:tcW w:w="3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8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0" w:type="dxa"/>
            <w:vAlign w:val="bottom"/>
            <w:gridSpan w:val="4"/>
          </w:tcPr>
          <w:p>
            <w:pPr>
              <w:jc w:val="center"/>
              <w:ind w:left="3"/>
              <w:spacing w:after="0"/>
              <w:rPr>
                <w:sz w:val="20"/>
                <w:szCs w:val="20"/>
                <w:color w:val="auto"/>
              </w:rPr>
            </w:pPr>
            <w:r>
              <w:rPr>
                <w:rFonts w:ascii="Times New Roman" w:cs="Times New Roman" w:eastAsia="Times New Roman" w:hAnsi="Times New Roman"/>
                <w:sz w:val="12"/>
                <w:szCs w:val="12"/>
                <w:color w:val="auto"/>
                <w:w w:val="99"/>
              </w:rPr>
              <w:t>104</w:t>
            </w:r>
          </w:p>
        </w:tc>
        <w:tc>
          <w:tcPr>
            <w:tcW w:w="220" w:type="dxa"/>
            <w:vAlign w:val="bottom"/>
          </w:tcPr>
          <w:p>
            <w:pPr>
              <w:spacing w:after="0"/>
              <w:rPr>
                <w:sz w:val="15"/>
                <w:szCs w:val="15"/>
                <w:color w:val="auto"/>
              </w:rPr>
            </w:pPr>
          </w:p>
        </w:tc>
        <w:tc>
          <w:tcPr>
            <w:tcW w:w="107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1080"/>
        </w:trPr>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43" w:lineRule="exact"/>
        <w:rPr>
          <w:sz w:val="20"/>
          <w:szCs w:val="20"/>
          <w:color w:val="auto"/>
        </w:rPr>
      </w:pPr>
    </w:p>
    <w:p>
      <w:pPr>
        <w:ind w:left="1440" w:right="1719" w:firstLine="297"/>
        <w:spacing w:after="0" w:line="236"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15" w:lineRule="exact"/>
        <w:rPr>
          <w:sz w:val="20"/>
          <w:szCs w:val="20"/>
          <w:color w:val="auto"/>
        </w:rPr>
      </w:pPr>
    </w:p>
    <w:p>
      <w:pPr>
        <w:ind w:left="1440"/>
        <w:spacing w:after="0"/>
        <w:tabs>
          <w:tab w:leader="none" w:pos="1820" w:val="left"/>
        </w:tabs>
        <w:rPr>
          <w:sz w:val="20"/>
          <w:szCs w:val="20"/>
          <w:color w:val="auto"/>
        </w:rPr>
      </w:pPr>
      <w:r>
        <w:rPr>
          <w:rFonts w:ascii="Times New Roman" w:cs="Times New Roman" w:eastAsia="Times New Roman" w:hAnsi="Times New Roman"/>
          <w:sz w:val="12"/>
          <w:szCs w:val="12"/>
          <w:color w:val="auto"/>
        </w:rPr>
        <w:t>Date:</w:t>
        <w:tab/>
        <w:t>October 29, 2025</w:t>
      </w:r>
    </w:p>
    <w:p>
      <w:pPr>
        <w:spacing w:after="0" w:line="308" w:lineRule="exact"/>
        <w:rPr>
          <w:sz w:val="20"/>
          <w:szCs w:val="20"/>
          <w:color w:val="auto"/>
        </w:rPr>
      </w:pPr>
    </w:p>
    <w:tbl>
      <w:tblPr>
        <w:tblLayout w:type="fixed"/>
        <w:tblInd w:w="4380" w:type="dxa"/>
        <w:tblCellMar>
          <w:top w:w="0" w:type="dxa"/>
          <w:left w:w="0" w:type="dxa"/>
          <w:bottom w:w="0" w:type="dxa"/>
          <w:right w:w="0" w:type="dxa"/>
        </w:tblCellMar>
      </w:tblPr>
      <w:tr>
        <w:trPr>
          <w:trHeight w:val="159"/>
        </w:trPr>
        <w:tc>
          <w:tcPr>
            <w:tcW w:w="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NN, INC.</w:t>
            </w:r>
          </w:p>
        </w:tc>
        <w:tc>
          <w:tcPr>
            <w:tcW w:w="2600" w:type="dxa"/>
            <w:vAlign w:val="bottom"/>
          </w:tcPr>
          <w:p>
            <w:pPr>
              <w:spacing w:after="0"/>
              <w:rPr>
                <w:sz w:val="13"/>
                <w:szCs w:val="13"/>
                <w:color w:val="auto"/>
              </w:rPr>
            </w:pPr>
          </w:p>
        </w:tc>
      </w:tr>
      <w:tr>
        <w:trPr>
          <w:trHeight w:val="351"/>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Christopher H. Bohnert</w:t>
            </w:r>
          </w:p>
        </w:tc>
      </w:tr>
      <w:tr>
        <w:trPr>
          <w:trHeight w:val="144"/>
        </w:trPr>
        <w:tc>
          <w:tcPr>
            <w:tcW w:w="6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Christopher H. Bohnert</w:t>
            </w:r>
          </w:p>
        </w:tc>
      </w:tr>
      <w:tr>
        <w:trPr>
          <w:trHeight w:val="178"/>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tc>
      </w:tr>
    </w:tbl>
    <w:p>
      <w:pPr>
        <w:sectPr>
          <w:pgSz w:w="11900" w:h="16838" w:orient="portrait"/>
          <w:cols w:equalWidth="0" w:num="1">
            <w:col w:w="9019"/>
          </w:cols>
          <w:pgMar w:left="1440" w:top="638"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774700</wp:posOffset>
            </wp:positionV>
            <wp:extent cx="1097280" cy="817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17245"/>
                    </a:xfrm>
                    <a:prstGeom prst="rect">
                      <a:avLst/>
                    </a:prstGeom>
                    <a:noFill/>
                  </pic:spPr>
                </pic:pic>
              </a:graphicData>
            </a:graphic>
          </wp:anchor>
        </w:drawing>
        <w:drawing>
          <wp:anchor simplePos="0" relativeHeight="251657728" behindDoc="1" locked="0" layoutInCell="0" allowOverlap="1">
            <wp:simplePos x="0" y="0"/>
            <wp:positionH relativeFrom="page">
              <wp:posOffset>6071870</wp:posOffset>
            </wp:positionH>
            <wp:positionV relativeFrom="page">
              <wp:posOffset>374650</wp:posOffset>
            </wp:positionV>
            <wp:extent cx="128587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858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IMMEDIATE RELEASE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NN, INC. REPORTS THIRD QUARTER 2025 RESULTS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Business delivers improvements across operating income, margin performance, free cash flow, and Power Solutions segment sales growth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Strategic value creation actions fully underway with active M&amp;A program and preferred equity refinancing initiative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Softness in global automotive markets has created opportunity for closure of the final high-cost, unprofitable plant in NN’s 5-year plan</w:t>
      </w:r>
    </w:p>
    <w:p>
      <w:pPr>
        <w:spacing w:after="0" w:line="158"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b w:val="1"/>
          <w:bCs w:val="1"/>
          <w:color w:val="auto"/>
        </w:rPr>
        <w:t xml:space="preserve">CHARLOTTE, N.C., October 29, 2025 </w:t>
      </w:r>
      <w:r>
        <w:rPr>
          <w:rFonts w:ascii="Arial" w:cs="Arial" w:eastAsia="Arial" w:hAnsi="Arial"/>
          <w:sz w:val="13"/>
          <w:szCs w:val="13"/>
          <w:color w:val="auto"/>
        </w:rPr>
        <w:t>– NN, Inc. (NASDAQ: NNBR) (“NN” or the “Company”), a global diversified industrial company that engineers and manufactures high-precision</w:t>
      </w:r>
      <w:r>
        <w:rPr>
          <w:rFonts w:ascii="Arial" w:cs="Arial" w:eastAsia="Arial" w:hAnsi="Arial"/>
          <w:sz w:val="13"/>
          <w:szCs w:val="13"/>
          <w:b w:val="1"/>
          <w:bCs w:val="1"/>
          <w:color w:val="auto"/>
        </w:rPr>
        <w:t xml:space="preserve"> </w:t>
      </w:r>
      <w:r>
        <w:rPr>
          <w:rFonts w:ascii="Arial" w:cs="Arial" w:eastAsia="Arial" w:hAnsi="Arial"/>
          <w:sz w:val="13"/>
          <w:szCs w:val="13"/>
          <w:color w:val="auto"/>
        </w:rPr>
        <w:t>components and assemblies, today reported results for the third quarter ended September 30, 2025.</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Third Quarter Highlights: </w:t>
      </w:r>
      <w:r>
        <w:rPr>
          <w:rFonts w:ascii="Arial" w:cs="Arial" w:eastAsia="Arial" w:hAnsi="Arial"/>
          <w:sz w:val="13"/>
          <w:szCs w:val="13"/>
          <w:color w:val="auto"/>
        </w:rPr>
        <w:t>(results from continuing operations compared with prior year, where comparisons are noted)</w:t>
      </w:r>
    </w:p>
    <w:p>
      <w:pPr>
        <w:spacing w:after="0" w:line="40" w:lineRule="exact"/>
        <w:rPr>
          <w:sz w:val="20"/>
          <w:szCs w:val="20"/>
          <w:color w:val="auto"/>
        </w:rPr>
      </w:pPr>
    </w:p>
    <w:p>
      <w:pPr>
        <w:ind w:left="400" w:hanging="192"/>
        <w:spacing w:after="0"/>
        <w:tabs>
          <w:tab w:leader="none" w:pos="400" w:val="left"/>
        </w:tabs>
        <w:numPr>
          <w:ilvl w:val="0"/>
          <w:numId w:val="3"/>
        </w:numPr>
        <w:rPr>
          <w:rFonts w:ascii="Arial" w:cs="Arial" w:eastAsia="Arial" w:hAnsi="Arial"/>
          <w:sz w:val="14"/>
          <w:szCs w:val="14"/>
          <w:color w:val="auto"/>
        </w:rPr>
      </w:pPr>
      <w:r>
        <w:rPr>
          <w:rFonts w:ascii="Arial" w:cs="Arial" w:eastAsia="Arial" w:hAnsi="Arial"/>
          <w:sz w:val="13"/>
          <w:szCs w:val="13"/>
          <w:color w:val="auto"/>
        </w:rPr>
        <w:t>Net sales of $103.9 million, down 8.5%; Power Solutions grew 4.7%, and Mobile Solutions declined 16.4%.</w:t>
      </w:r>
    </w:p>
    <w:p>
      <w:pPr>
        <w:spacing w:after="0" w:line="4" w:lineRule="exact"/>
        <w:rPr>
          <w:rFonts w:ascii="Arial" w:cs="Arial" w:eastAsia="Arial" w:hAnsi="Arial"/>
          <w:sz w:val="14"/>
          <w:szCs w:val="14"/>
          <w:color w:val="auto"/>
        </w:rPr>
      </w:pPr>
    </w:p>
    <w:p>
      <w:pPr>
        <w:ind w:left="860" w:hanging="220"/>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Proforma net sales down 4.4% after accounting for rationalization of unprofitable business.</w:t>
      </w:r>
    </w:p>
    <w:p>
      <w:pPr>
        <w:spacing w:after="0" w:line="18" w:lineRule="exact"/>
        <w:rPr>
          <w:rFonts w:ascii="Arial" w:cs="Arial" w:eastAsia="Arial" w:hAnsi="Arial"/>
          <w:sz w:val="13"/>
          <w:szCs w:val="13"/>
          <w:color w:val="auto"/>
        </w:rPr>
      </w:pPr>
    </w:p>
    <w:p>
      <w:pPr>
        <w:ind w:left="420" w:right="20" w:hanging="212"/>
        <w:spacing w:after="0" w:line="259" w:lineRule="auto"/>
        <w:tabs>
          <w:tab w:leader="none" w:pos="398" w:val="left"/>
        </w:tabs>
        <w:numPr>
          <w:ilvl w:val="0"/>
          <w:numId w:val="3"/>
        </w:numPr>
        <w:rPr>
          <w:rFonts w:ascii="Arial" w:cs="Arial" w:eastAsia="Arial" w:hAnsi="Arial"/>
          <w:sz w:val="14"/>
          <w:szCs w:val="14"/>
          <w:color w:val="auto"/>
        </w:rPr>
      </w:pPr>
      <w:r>
        <w:rPr>
          <w:rFonts w:ascii="Arial" w:cs="Arial" w:eastAsia="Arial" w:hAnsi="Arial"/>
          <w:sz w:val="13"/>
          <w:szCs w:val="13"/>
          <w:color w:val="auto"/>
        </w:rPr>
        <w:t>Gross margin improved to $17.5 million (16.8% of sales) and adjusted gross margin improved to $19.6 million (18.8% of sales), up from $16.5 million (14.5%) and $18.6 million (16.3%), respectively, due to net sales growth in Power Solutions, and a successful continuous improvement cost-reduction program.</w:t>
      </w:r>
    </w:p>
    <w:p>
      <w:pPr>
        <w:ind w:left="400" w:hanging="192"/>
        <w:spacing w:after="0"/>
        <w:tabs>
          <w:tab w:leader="none" w:pos="400" w:val="left"/>
        </w:tabs>
        <w:numPr>
          <w:ilvl w:val="0"/>
          <w:numId w:val="3"/>
        </w:numPr>
        <w:rPr>
          <w:rFonts w:ascii="Arial" w:cs="Arial" w:eastAsia="Arial" w:hAnsi="Arial"/>
          <w:sz w:val="14"/>
          <w:szCs w:val="14"/>
          <w:color w:val="auto"/>
        </w:rPr>
      </w:pPr>
      <w:r>
        <w:rPr>
          <w:rFonts w:ascii="Arial" w:cs="Arial" w:eastAsia="Arial" w:hAnsi="Arial"/>
          <w:sz w:val="13"/>
          <w:szCs w:val="13"/>
          <w:color w:val="auto"/>
        </w:rPr>
        <w:t>Operating loss of $2.2 million improved versus $3.8 million, and adjusted operating income improved to $4.0 million versus adjusted operating income of $1.3 million.</w:t>
      </w:r>
    </w:p>
    <w:p>
      <w:pPr>
        <w:spacing w:after="0" w:line="16" w:lineRule="exact"/>
        <w:rPr>
          <w:rFonts w:ascii="Arial" w:cs="Arial" w:eastAsia="Arial" w:hAnsi="Arial"/>
          <w:sz w:val="14"/>
          <w:szCs w:val="14"/>
          <w:color w:val="auto"/>
        </w:rPr>
      </w:pPr>
    </w:p>
    <w:p>
      <w:pPr>
        <w:ind w:left="400" w:hanging="192"/>
        <w:spacing w:after="0"/>
        <w:tabs>
          <w:tab w:leader="none" w:pos="400" w:val="left"/>
        </w:tabs>
        <w:numPr>
          <w:ilvl w:val="0"/>
          <w:numId w:val="3"/>
        </w:numPr>
        <w:rPr>
          <w:rFonts w:ascii="Arial" w:cs="Arial" w:eastAsia="Arial" w:hAnsi="Arial"/>
          <w:sz w:val="14"/>
          <w:szCs w:val="14"/>
          <w:color w:val="auto"/>
        </w:rPr>
      </w:pPr>
      <w:r>
        <w:rPr>
          <w:rFonts w:ascii="Arial" w:cs="Arial" w:eastAsia="Arial" w:hAnsi="Arial"/>
          <w:sz w:val="13"/>
          <w:szCs w:val="13"/>
          <w:color w:val="auto"/>
        </w:rPr>
        <w:t>Adjusted EBITDA improved to $12.4 million and 11.9% margin rate versus $11.6 million and 10.2% margin rate.</w:t>
      </w:r>
    </w:p>
    <w:p>
      <w:pPr>
        <w:spacing w:after="0" w:line="16" w:lineRule="exact"/>
        <w:rPr>
          <w:rFonts w:ascii="Arial" w:cs="Arial" w:eastAsia="Arial" w:hAnsi="Arial"/>
          <w:sz w:val="14"/>
          <w:szCs w:val="14"/>
          <w:color w:val="auto"/>
        </w:rPr>
      </w:pPr>
    </w:p>
    <w:p>
      <w:pPr>
        <w:ind w:left="400" w:hanging="192"/>
        <w:spacing w:after="0"/>
        <w:tabs>
          <w:tab w:leader="none" w:pos="400" w:val="left"/>
        </w:tabs>
        <w:numPr>
          <w:ilvl w:val="0"/>
          <w:numId w:val="3"/>
        </w:numPr>
        <w:rPr>
          <w:rFonts w:ascii="Arial" w:cs="Arial" w:eastAsia="Arial" w:hAnsi="Arial"/>
          <w:sz w:val="14"/>
          <w:szCs w:val="14"/>
          <w:color w:val="auto"/>
        </w:rPr>
      </w:pPr>
      <w:r>
        <w:rPr>
          <w:rFonts w:ascii="Arial" w:cs="Arial" w:eastAsia="Arial" w:hAnsi="Arial"/>
          <w:sz w:val="13"/>
          <w:szCs w:val="13"/>
          <w:color w:val="auto"/>
        </w:rPr>
        <w:t>Free cash flow improved to $9.1 million; NN has seen step change in working capital, strengthening cash flow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Business Wins</w:t>
      </w:r>
    </w:p>
    <w:p>
      <w:pPr>
        <w:spacing w:after="0" w:line="25" w:lineRule="exact"/>
        <w:rPr>
          <w:sz w:val="20"/>
          <w:szCs w:val="20"/>
          <w:color w:val="auto"/>
        </w:rPr>
      </w:pPr>
    </w:p>
    <w:p>
      <w:pPr>
        <w:ind w:left="400" w:hanging="192"/>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Third quarter wins of $11.3 million, led by strategic wins in North America auto, fire protection and aerospace &amp; defense products.</w:t>
      </w:r>
    </w:p>
    <w:p>
      <w:pPr>
        <w:spacing w:after="0" w:line="18" w:lineRule="exact"/>
        <w:rPr>
          <w:rFonts w:ascii="Arial" w:cs="Arial" w:eastAsia="Arial" w:hAnsi="Arial"/>
          <w:sz w:val="13"/>
          <w:szCs w:val="13"/>
          <w:color w:val="auto"/>
        </w:rPr>
      </w:pPr>
    </w:p>
    <w:p>
      <w:pPr>
        <w:ind w:left="400" w:hanging="192"/>
        <w:spacing w:after="0"/>
        <w:tabs>
          <w:tab w:leader="none" w:pos="400" w:val="left"/>
        </w:tabs>
        <w:numPr>
          <w:ilvl w:val="0"/>
          <w:numId w:val="4"/>
        </w:numPr>
        <w:rPr>
          <w:rFonts w:ascii="Arial" w:cs="Arial" w:eastAsia="Arial" w:hAnsi="Arial"/>
          <w:sz w:val="14"/>
          <w:szCs w:val="14"/>
          <w:color w:val="auto"/>
        </w:rPr>
      </w:pPr>
      <w:r>
        <w:rPr>
          <w:rFonts w:ascii="Arial" w:cs="Arial" w:eastAsia="Arial" w:hAnsi="Arial"/>
          <w:sz w:val="13"/>
          <w:szCs w:val="13"/>
          <w:color w:val="auto"/>
        </w:rPr>
        <w:t>Wins of $44.4 million through the third quarter; underway with launch of new programs with $48 million expected run-rate value.</w:t>
      </w:r>
    </w:p>
    <w:p>
      <w:pPr>
        <w:spacing w:after="0" w:line="13" w:lineRule="exact"/>
        <w:rPr>
          <w:rFonts w:ascii="Arial" w:cs="Arial" w:eastAsia="Arial" w:hAnsi="Arial"/>
          <w:sz w:val="14"/>
          <w:szCs w:val="14"/>
          <w:color w:val="auto"/>
        </w:rPr>
      </w:pPr>
    </w:p>
    <w:p>
      <w:pPr>
        <w:ind w:left="420" w:hanging="212"/>
        <w:spacing w:after="0" w:line="264" w:lineRule="auto"/>
        <w:tabs>
          <w:tab w:leader="none" w:pos="394" w:val="left"/>
        </w:tabs>
        <w:numPr>
          <w:ilvl w:val="0"/>
          <w:numId w:val="4"/>
        </w:numPr>
        <w:rPr>
          <w:rFonts w:ascii="Arial" w:cs="Arial" w:eastAsia="Arial" w:hAnsi="Arial"/>
          <w:sz w:val="13"/>
          <w:szCs w:val="13"/>
          <w:color w:val="auto"/>
        </w:rPr>
      </w:pPr>
      <w:r>
        <w:rPr>
          <w:rFonts w:ascii="Arial" w:cs="Arial" w:eastAsia="Arial" w:hAnsi="Arial"/>
          <w:sz w:val="13"/>
          <w:szCs w:val="13"/>
          <w:color w:val="auto"/>
        </w:rPr>
        <w:t>NN has taken aggressive actions in the third quarter to address future organic net sales growth. The Company has strategically expanded its electrical leadership and commercial team with technical and commercial additions.</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300"/>
          </w:cols>
          <w:pgMar w:left="300" w:top="1440" w:right="299" w:bottom="1440" w:gutter="0" w:footer="0" w:header="0"/>
        </w:sectPr>
      </w:pPr>
    </w:p>
    <w:bookmarkStart w:id="4" w:name="page5"/>
    <w:bookmarkEnd w:id="4"/>
    <w:p>
      <w:pPr>
        <w:jc w:val="both"/>
        <w:spacing w:after="0" w:line="251" w:lineRule="auto"/>
        <w:rPr>
          <w:sz w:val="20"/>
          <w:szCs w:val="20"/>
          <w:color w:val="auto"/>
        </w:rPr>
      </w:pPr>
      <w:r>
        <w:rPr>
          <w:rFonts w:ascii="Arial" w:cs="Arial" w:eastAsia="Arial" w:hAnsi="Arial"/>
          <w:sz w:val="13"/>
          <w:szCs w:val="13"/>
          <w:color w:val="auto"/>
        </w:rPr>
        <w:t>Harold Bevis, President and Chief Executive Officer, said, “NN maintained its advancement program during the quarter, balanced around growth in targeted areas, rationalization of underperforming business, cost optimization, and cash management. We delivered another quarter of strong progress, as our transformation plan generated measurable improvement to our business fundamentals, while driving higher operating income, improved gross and adjusted EBITDA margins, and positive free cash flow performance. While certain global automotive markets remain soft in base volumes along with some new program pushouts, we are seeing better forward forecasts and tangible benefits from prior program wins, which are helping to counterbalance persistent macro pressures.”</w:t>
      </w:r>
    </w:p>
    <w:p>
      <w:pPr>
        <w:spacing w:after="0" w:line="145"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“We are nearing the completion of the rationalization of unprofitable legacy Mobile Solutions business, with one plant consolidation remaining. We have been mindful of the cash flow requirements of these activities but remain persistent on our continued actions. Along with diligent cost management, our operational efficiency initiatives and our commercial growth are taking hold while we can see market inflections in 2026, particularly in North America auto, Europe auto and North America commercial vehicle markets.”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Bevis continued, “Our commercial engine and new business program continues to both deliver results and expand in breadth. We remain on track to achieve our 2025 and multi-year growth objectives. We are launching approximately $48 million of new programs in 2025, and as these programs ramp up and scale, alongside our robust pipeline, they will serve to further strengthen our foundation and position NN for solid top-line growth in 2026 and beyond. Additionally, we fundamentally increased the size and breadth of our Electrical, Medical and Defense commercial team with key new hires in the quarter.”</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“In the quarter, our organization turned a corner in cash flow generation, driven by diligent operational and cost leadership, combined with a clear step-change in working capital management. These are structural changes which we will carry forward, and as our sales ramp from new program launches on previously won programs, we will translate operating leverage into improved earnings power and materially improved returns.”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Bevis concluded, “In parallel with our ongoing operational agenda, we are underway on several strategic fronts aimed at enhancing and unlocking shareholder value. We are actively evaluating multiple acquisition opportunities to scale up the organization through an aggressive M&amp;A program while incorporating the refinancing of our preferred stock. We are taking decisive action to position the company for greater financial flexibility and improved common equity accretion. NN’s transformation is advancing on multiple fronts—commercially, operationally, and strategically— and our focus remains squarely on creating sustainable, long-term value for our shareholders and stakeholders.”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Third Quarter Results</w:t>
      </w:r>
    </w:p>
    <w:p>
      <w:pPr>
        <w:spacing w:after="0" w:line="49" w:lineRule="exact"/>
        <w:rPr>
          <w:sz w:val="20"/>
          <w:szCs w:val="20"/>
          <w:color w:val="auto"/>
        </w:rPr>
      </w:pPr>
    </w:p>
    <w:p>
      <w:pPr>
        <w:ind w:right="100"/>
        <w:spacing w:after="0" w:line="250" w:lineRule="auto"/>
        <w:rPr>
          <w:sz w:val="20"/>
          <w:szCs w:val="20"/>
          <w:color w:val="auto"/>
        </w:rPr>
      </w:pPr>
      <w:r>
        <w:rPr>
          <w:rFonts w:ascii="Arial" w:cs="Arial" w:eastAsia="Arial" w:hAnsi="Arial"/>
          <w:sz w:val="13"/>
          <w:szCs w:val="13"/>
          <w:color w:val="auto"/>
        </w:rPr>
        <w:t>Net sales were $103.9 million, a decrease of 8.5% compared to the third quarter of 2024 net sales of $113.6 million, primarily due to the rationalization of underperforming Mobile Solutions business and plants, and lower volumes. These net sales decreases were partially offset by higher precious metal pass-through pricing in the Power Solutions business, new business launches and favorable foreign exchange effects.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company is underway remaking the Mobile Solutions business profile with initiatives in medical products, industrial products and is launching over 100 new business programs in 2025, along with the benefits of higher metal pass-through pricing. Loss from operations for the third quarter of 2025 was $2.2 million, an improvement of 40.1% compared to the third quarter of 2024 loss from operations of $3.8 million.</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Third Quarter Adjusted Results</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Adjusted income from operations for the third quarter of 2025 was $4.0 million compared to adjusted income from operations of $1.3 million for the same period in 2024. Adjusted EBITDA was $12.4 million, or 11.9% of sales, compared to $ 11.6 million, or 10.2% of sales, for the same period in 2024. The improvement in adjusted income from operations and adjusted EBITDA was driven by the impacts of cost reduction initiatives and higher precious metal pass-through pricing.</w:t>
      </w:r>
    </w:p>
    <w:p>
      <w:pPr>
        <w:spacing w:after="0" w:line="249" w:lineRule="exact"/>
        <w:rPr>
          <w:sz w:val="20"/>
          <w:szCs w:val="20"/>
          <w:color w:val="auto"/>
        </w:rPr>
      </w:pPr>
    </w:p>
    <w:p>
      <w:pPr>
        <w:ind w:right="320"/>
        <w:spacing w:after="0" w:line="312" w:lineRule="auto"/>
        <w:rPr>
          <w:sz w:val="20"/>
          <w:szCs w:val="20"/>
          <w:color w:val="auto"/>
        </w:rPr>
      </w:pPr>
      <w:r>
        <w:rPr>
          <w:rFonts w:ascii="Arial" w:cs="Arial" w:eastAsia="Arial" w:hAnsi="Arial"/>
          <w:sz w:val="13"/>
          <w:szCs w:val="13"/>
          <w:color w:val="auto"/>
        </w:rPr>
        <w:t>Adjusted net loss was $0.3 million, or $(0.01) per diluted share, compared to adjusted net loss of $2.5 million, or $(0.05) per diluted share, for the same period in 2024. Free cash flow was a generation of cash of $9.1 million compared to a generation of cash of $0.3 million for the same period in 2024.</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0"/>
          </w:cols>
          <w:pgMar w:left="300" w:top="971" w:right="299" w:bottom="1440" w:gutter="0" w:footer="0" w:header="0"/>
        </w:sectPr>
      </w:pPr>
    </w:p>
    <w:bookmarkStart w:id="5" w:name="page6"/>
    <w:bookmarkEnd w:id="5"/>
    <w:p>
      <w:pPr>
        <w:ind w:left="8"/>
        <w:spacing w:after="0"/>
        <w:rPr>
          <w:sz w:val="20"/>
          <w:szCs w:val="20"/>
          <w:color w:val="auto"/>
        </w:rPr>
      </w:pPr>
      <w:r>
        <w:rPr>
          <w:rFonts w:ascii="Arial" w:cs="Arial" w:eastAsia="Arial" w:hAnsi="Arial"/>
          <w:sz w:val="13"/>
          <w:szCs w:val="13"/>
          <w:b w:val="1"/>
          <w:bCs w:val="1"/>
          <w:u w:val="single" w:color="auto"/>
          <w:color w:val="auto"/>
        </w:rPr>
        <w:t>Power Solutions</w:t>
      </w:r>
    </w:p>
    <w:p>
      <w:pPr>
        <w:spacing w:after="0" w:line="16" w:lineRule="exact"/>
        <w:rPr>
          <w:sz w:val="20"/>
          <w:szCs w:val="20"/>
          <w:color w:val="auto"/>
        </w:rPr>
      </w:pPr>
    </w:p>
    <w:p>
      <w:pPr>
        <w:ind w:left="8"/>
        <w:spacing w:after="0"/>
        <w:rPr>
          <w:sz w:val="20"/>
          <w:szCs w:val="20"/>
          <w:color w:val="auto"/>
        </w:rPr>
      </w:pPr>
      <w:r>
        <w:rPr>
          <w:rFonts w:ascii="Arial" w:cs="Arial" w:eastAsia="Arial" w:hAnsi="Arial"/>
          <w:sz w:val="13"/>
          <w:szCs w:val="13"/>
          <w:color w:val="auto"/>
        </w:rPr>
        <w:t>Net sales for the third quarter of 2025 were $44.9 million compared to $42.9 million in the same period in 2024.</w:t>
      </w:r>
    </w:p>
    <w:p>
      <w:pPr>
        <w:spacing w:after="0" w:line="4" w:lineRule="exact"/>
        <w:rPr>
          <w:sz w:val="20"/>
          <w:szCs w:val="20"/>
          <w:color w:val="auto"/>
        </w:rPr>
      </w:pPr>
    </w:p>
    <w:p>
      <w:pPr>
        <w:ind w:left="8" w:right="40"/>
        <w:spacing w:after="0" w:line="264" w:lineRule="auto"/>
        <w:rPr>
          <w:sz w:val="20"/>
          <w:szCs w:val="20"/>
          <w:color w:val="auto"/>
        </w:rPr>
      </w:pPr>
      <w:r>
        <w:rPr>
          <w:rFonts w:ascii="Arial" w:cs="Arial" w:eastAsia="Arial" w:hAnsi="Arial"/>
          <w:sz w:val="13"/>
          <w:szCs w:val="13"/>
          <w:color w:val="auto"/>
        </w:rPr>
        <w:t>The increase is primarily due to higher precious metal pass-through pricing, partially offset by lower sales volumes. Income from operations was $5.4 million compared to income from operations of $2.5 million for the same period in 2024, primarily due to improved margins and lower operating costs from headcount reductions.</w:t>
      </w:r>
    </w:p>
    <w:p>
      <w:pPr>
        <w:spacing w:after="0" w:line="127" w:lineRule="exact"/>
        <w:rPr>
          <w:sz w:val="20"/>
          <w:szCs w:val="20"/>
          <w:color w:val="auto"/>
        </w:rPr>
      </w:pPr>
    </w:p>
    <w:p>
      <w:pPr>
        <w:ind w:left="8" w:right="20"/>
        <w:spacing w:after="0" w:line="284" w:lineRule="auto"/>
        <w:rPr>
          <w:sz w:val="20"/>
          <w:szCs w:val="20"/>
          <w:color w:val="auto"/>
        </w:rPr>
      </w:pPr>
      <w:r>
        <w:rPr>
          <w:rFonts w:ascii="Arial" w:cs="Arial" w:eastAsia="Arial" w:hAnsi="Arial"/>
          <w:sz w:val="13"/>
          <w:szCs w:val="13"/>
          <w:color w:val="auto"/>
        </w:rPr>
        <w:t>Adjusted income from operations was $8.1 million compared to $5.2 million in the third quarter of 2024. The increase in adjusted income from operations was primarily due to favorable product mix, and lower operating costs.</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auto"/>
        </w:rPr>
        <w:t>Mobile Solutions</w:t>
      </w:r>
    </w:p>
    <w:p>
      <w:pPr>
        <w:spacing w:after="0" w:line="49" w:lineRule="exact"/>
        <w:rPr>
          <w:sz w:val="20"/>
          <w:szCs w:val="20"/>
          <w:color w:val="auto"/>
        </w:rPr>
      </w:pPr>
    </w:p>
    <w:p>
      <w:pPr>
        <w:ind w:left="8" w:right="100"/>
        <w:spacing w:after="0" w:line="257" w:lineRule="auto"/>
        <w:rPr>
          <w:sz w:val="20"/>
          <w:szCs w:val="20"/>
          <w:color w:val="auto"/>
        </w:rPr>
      </w:pPr>
      <w:r>
        <w:rPr>
          <w:rFonts w:ascii="Arial" w:cs="Arial" w:eastAsia="Arial" w:hAnsi="Arial"/>
          <w:sz w:val="13"/>
          <w:szCs w:val="13"/>
          <w:color w:val="auto"/>
        </w:rPr>
        <w:t>Net sales for the third quarter of 2025 were $59.1 million compared to $70.7 million in the third quarter of 2024. The decrease in sales was primarily due to the rationalization of underperforming business and plants, and lower volumes. Loss from operations was $2.9 million compared to loss from operations of $1.4 million for the same period in 2024, primarily due to lower net sales, partially offset by lower depreciation expense.</w:t>
      </w:r>
    </w:p>
    <w:p>
      <w:pPr>
        <w:spacing w:after="0" w:line="132" w:lineRule="exact"/>
        <w:rPr>
          <w:sz w:val="20"/>
          <w:szCs w:val="20"/>
          <w:color w:val="auto"/>
        </w:rPr>
      </w:pPr>
    </w:p>
    <w:p>
      <w:pPr>
        <w:ind w:left="8"/>
        <w:spacing w:after="0" w:line="269" w:lineRule="auto"/>
        <w:rPr>
          <w:sz w:val="20"/>
          <w:szCs w:val="20"/>
          <w:color w:val="auto"/>
        </w:rPr>
      </w:pPr>
      <w:r>
        <w:rPr>
          <w:rFonts w:ascii="Arial" w:cs="Arial" w:eastAsia="Arial" w:hAnsi="Arial"/>
          <w:sz w:val="13"/>
          <w:szCs w:val="13"/>
          <w:color w:val="auto"/>
        </w:rPr>
        <w:t>Adjusted income from operations was $0.3 million compared to adjusted income from operations of $0.9 million in the third quarter of 2024. The decrease in adjusted income from operations was primarily due to lower sales volumes, partially offset by lower operating costs.</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auto"/>
        </w:rPr>
        <w:t>2025 Outlook</w:t>
      </w:r>
    </w:p>
    <w:p>
      <w:pPr>
        <w:spacing w:after="0" w:line="31" w:lineRule="exact"/>
        <w:rPr>
          <w:sz w:val="20"/>
          <w:szCs w:val="20"/>
          <w:color w:val="auto"/>
        </w:rPr>
      </w:pPr>
    </w:p>
    <w:p>
      <w:pPr>
        <w:ind w:left="8" w:hanging="8"/>
        <w:spacing w:after="0" w:line="327" w:lineRule="auto"/>
        <w:tabs>
          <w:tab w:leader="none" w:pos="247" w:val="left"/>
        </w:tabs>
        <w:numPr>
          <w:ilvl w:val="0"/>
          <w:numId w:val="5"/>
        </w:numPr>
        <w:rPr>
          <w:rFonts w:ascii="Arial" w:cs="Arial" w:eastAsia="Arial" w:hAnsi="Arial"/>
          <w:sz w:val="13"/>
          <w:szCs w:val="13"/>
          <w:color w:val="auto"/>
        </w:rPr>
      </w:pPr>
      <w:r>
        <w:rPr>
          <w:rFonts w:ascii="Arial" w:cs="Arial" w:eastAsia="Arial" w:hAnsi="Arial"/>
          <w:sz w:val="13"/>
          <w:szCs w:val="13"/>
          <w:color w:val="auto"/>
        </w:rPr>
        <w:t>is adjusting its full-year 2025 guidance for net sales, while reiterating the existing ranges on adjusted EBITDA, free cash flow, and new business wins, again guiding to the low-end of its ranges due to market uncertainties.</w:t>
      </w:r>
    </w:p>
    <w:p>
      <w:pPr>
        <w:spacing w:after="0" w:line="132" w:lineRule="exact"/>
        <w:rPr>
          <w:rFonts w:ascii="Arial" w:cs="Arial" w:eastAsia="Arial" w:hAnsi="Arial"/>
          <w:sz w:val="13"/>
          <w:szCs w:val="13"/>
          <w:color w:val="auto"/>
        </w:rPr>
      </w:pPr>
    </w:p>
    <w:p>
      <w:pPr>
        <w:ind w:left="408" w:hanging="192"/>
        <w:spacing w:after="0"/>
        <w:tabs>
          <w:tab w:leader="none" w:pos="408" w:val="left"/>
        </w:tabs>
        <w:numPr>
          <w:ilvl w:val="1"/>
          <w:numId w:val="5"/>
        </w:numPr>
        <w:rPr>
          <w:rFonts w:ascii="Arial" w:cs="Arial" w:eastAsia="Arial" w:hAnsi="Arial"/>
          <w:sz w:val="14"/>
          <w:szCs w:val="14"/>
          <w:color w:val="auto"/>
        </w:rPr>
      </w:pPr>
      <w:r>
        <w:rPr>
          <w:rFonts w:ascii="Arial" w:cs="Arial" w:eastAsia="Arial" w:hAnsi="Arial"/>
          <w:sz w:val="13"/>
          <w:szCs w:val="13"/>
          <w:color w:val="auto"/>
        </w:rPr>
        <w:t>Net sales to range between $420 to $440 million</w:t>
      </w:r>
    </w:p>
    <w:p>
      <w:pPr>
        <w:spacing w:after="0" w:line="37" w:lineRule="exact"/>
        <w:rPr>
          <w:rFonts w:ascii="Arial" w:cs="Arial" w:eastAsia="Arial" w:hAnsi="Arial"/>
          <w:sz w:val="14"/>
          <w:szCs w:val="14"/>
          <w:color w:val="auto"/>
        </w:rPr>
      </w:pPr>
    </w:p>
    <w:p>
      <w:pPr>
        <w:ind w:left="408" w:hanging="192"/>
        <w:spacing w:after="0"/>
        <w:tabs>
          <w:tab w:leader="none" w:pos="408" w:val="left"/>
        </w:tabs>
        <w:numPr>
          <w:ilvl w:val="1"/>
          <w:numId w:val="5"/>
        </w:numPr>
        <w:rPr>
          <w:rFonts w:ascii="Arial" w:cs="Arial" w:eastAsia="Arial" w:hAnsi="Arial"/>
          <w:sz w:val="14"/>
          <w:szCs w:val="14"/>
          <w:color w:val="auto"/>
        </w:rPr>
      </w:pPr>
      <w:r>
        <w:rPr>
          <w:rFonts w:ascii="Arial" w:cs="Arial" w:eastAsia="Arial" w:hAnsi="Arial"/>
          <w:sz w:val="13"/>
          <w:szCs w:val="13"/>
          <w:color w:val="auto"/>
        </w:rPr>
        <w:t>Adjusted EBITDA to range between $53 to $63 million</w:t>
      </w:r>
    </w:p>
    <w:p>
      <w:pPr>
        <w:spacing w:after="0" w:line="37" w:lineRule="exact"/>
        <w:rPr>
          <w:rFonts w:ascii="Arial" w:cs="Arial" w:eastAsia="Arial" w:hAnsi="Arial"/>
          <w:sz w:val="14"/>
          <w:szCs w:val="14"/>
          <w:color w:val="auto"/>
        </w:rPr>
      </w:pPr>
    </w:p>
    <w:p>
      <w:pPr>
        <w:ind w:left="408" w:hanging="192"/>
        <w:spacing w:after="0"/>
        <w:tabs>
          <w:tab w:leader="none" w:pos="408" w:val="left"/>
        </w:tabs>
        <w:numPr>
          <w:ilvl w:val="1"/>
          <w:numId w:val="5"/>
        </w:numPr>
        <w:rPr>
          <w:rFonts w:ascii="Arial" w:cs="Arial" w:eastAsia="Arial" w:hAnsi="Arial"/>
          <w:sz w:val="14"/>
          <w:szCs w:val="14"/>
          <w:color w:val="auto"/>
        </w:rPr>
      </w:pPr>
      <w:r>
        <w:rPr>
          <w:rFonts w:ascii="Arial" w:cs="Arial" w:eastAsia="Arial" w:hAnsi="Arial"/>
          <w:sz w:val="13"/>
          <w:szCs w:val="13"/>
          <w:color w:val="auto"/>
        </w:rPr>
        <w:t>Free cash flow to range between $14 to $16 million; guidance assumes receipt of CARES Act refund in 2025</w:t>
      </w:r>
    </w:p>
    <w:p>
      <w:pPr>
        <w:spacing w:after="0" w:line="37" w:lineRule="exact"/>
        <w:rPr>
          <w:rFonts w:ascii="Arial" w:cs="Arial" w:eastAsia="Arial" w:hAnsi="Arial"/>
          <w:sz w:val="14"/>
          <w:szCs w:val="14"/>
          <w:color w:val="auto"/>
        </w:rPr>
      </w:pPr>
    </w:p>
    <w:p>
      <w:pPr>
        <w:ind w:left="408" w:hanging="192"/>
        <w:spacing w:after="0"/>
        <w:tabs>
          <w:tab w:leader="none" w:pos="408" w:val="left"/>
        </w:tabs>
        <w:numPr>
          <w:ilvl w:val="1"/>
          <w:numId w:val="5"/>
        </w:numPr>
        <w:rPr>
          <w:rFonts w:ascii="Arial" w:cs="Arial" w:eastAsia="Arial" w:hAnsi="Arial"/>
          <w:sz w:val="14"/>
          <w:szCs w:val="14"/>
          <w:color w:val="auto"/>
        </w:rPr>
      </w:pPr>
      <w:r>
        <w:rPr>
          <w:rFonts w:ascii="Arial" w:cs="Arial" w:eastAsia="Arial" w:hAnsi="Arial"/>
          <w:sz w:val="13"/>
          <w:szCs w:val="13"/>
          <w:color w:val="auto"/>
        </w:rPr>
        <w:t>New business wins to range between $60 to $70 million</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auto"/>
        </w:rPr>
        <w:t>2026 Outlook</w:t>
      </w:r>
    </w:p>
    <w:p>
      <w:pPr>
        <w:spacing w:after="0" w:line="31" w:lineRule="exact"/>
        <w:rPr>
          <w:sz w:val="20"/>
          <w:szCs w:val="20"/>
          <w:color w:val="auto"/>
        </w:rPr>
      </w:pPr>
    </w:p>
    <w:p>
      <w:pPr>
        <w:ind w:left="228" w:hanging="228"/>
        <w:spacing w:after="0"/>
        <w:tabs>
          <w:tab w:leader="none" w:pos="228" w:val="left"/>
        </w:tabs>
        <w:numPr>
          <w:ilvl w:val="0"/>
          <w:numId w:val="6"/>
        </w:numPr>
        <w:rPr>
          <w:rFonts w:ascii="Arial" w:cs="Arial" w:eastAsia="Arial" w:hAnsi="Arial"/>
          <w:sz w:val="13"/>
          <w:szCs w:val="13"/>
          <w:color w:val="auto"/>
        </w:rPr>
      </w:pPr>
      <w:r>
        <w:rPr>
          <w:rFonts w:ascii="Arial" w:cs="Arial" w:eastAsia="Arial" w:hAnsi="Arial"/>
          <w:sz w:val="13"/>
          <w:szCs w:val="13"/>
          <w:color w:val="auto"/>
        </w:rPr>
        <w:t>expects to have an improving core markets outlook in 2026, supporting net sales growth and profitability.</w:t>
      </w:r>
    </w:p>
    <w:p>
      <w:pPr>
        <w:spacing w:after="0" w:line="111" w:lineRule="exact"/>
        <w:rPr>
          <w:rFonts w:ascii="Arial" w:cs="Arial" w:eastAsia="Arial" w:hAnsi="Arial"/>
          <w:sz w:val="13"/>
          <w:szCs w:val="13"/>
          <w:color w:val="auto"/>
        </w:rPr>
      </w:pPr>
    </w:p>
    <w:p>
      <w:pPr>
        <w:ind w:left="408" w:hanging="192"/>
        <w:spacing w:after="0"/>
        <w:tabs>
          <w:tab w:leader="none" w:pos="408" w:val="left"/>
        </w:tabs>
        <w:numPr>
          <w:ilvl w:val="1"/>
          <w:numId w:val="6"/>
        </w:numPr>
        <w:rPr>
          <w:rFonts w:ascii="Times New Roman" w:cs="Times New Roman" w:eastAsia="Times New Roman" w:hAnsi="Times New Roman"/>
          <w:sz w:val="14"/>
          <w:szCs w:val="14"/>
          <w:color w:val="auto"/>
        </w:rPr>
      </w:pPr>
      <w:r>
        <w:rPr>
          <w:rFonts w:ascii="Arial" w:cs="Arial" w:eastAsia="Arial" w:hAnsi="Arial"/>
          <w:sz w:val="13"/>
          <w:szCs w:val="13"/>
          <w:color w:val="auto"/>
        </w:rPr>
        <w:t>North American passenger vehicle production outlooks showing some signs of improvement</w:t>
      </w:r>
    </w:p>
    <w:p>
      <w:pPr>
        <w:spacing w:after="0" w:line="28" w:lineRule="exact"/>
        <w:rPr>
          <w:rFonts w:ascii="Times New Roman" w:cs="Times New Roman" w:eastAsia="Times New Roman" w:hAnsi="Times New Roman"/>
          <w:sz w:val="14"/>
          <w:szCs w:val="14"/>
          <w:color w:val="auto"/>
        </w:rPr>
      </w:pPr>
    </w:p>
    <w:p>
      <w:pPr>
        <w:ind w:left="408" w:hanging="192"/>
        <w:spacing w:after="0"/>
        <w:tabs>
          <w:tab w:leader="none" w:pos="408" w:val="left"/>
        </w:tabs>
        <w:numPr>
          <w:ilvl w:val="1"/>
          <w:numId w:val="6"/>
        </w:numPr>
        <w:rPr>
          <w:rFonts w:ascii="Arial" w:cs="Arial" w:eastAsia="Arial" w:hAnsi="Arial"/>
          <w:sz w:val="13"/>
          <w:szCs w:val="13"/>
          <w:color w:val="auto"/>
        </w:rPr>
      </w:pPr>
      <w:r>
        <w:rPr>
          <w:rFonts w:ascii="Arial" w:cs="Arial" w:eastAsia="Arial" w:hAnsi="Arial"/>
          <w:sz w:val="13"/>
          <w:szCs w:val="13"/>
          <w:color w:val="auto"/>
        </w:rPr>
        <w:t>Commercial vehicle production is forecast to improve in the second half of 2026</w:t>
      </w:r>
    </w:p>
    <w:p>
      <w:pPr>
        <w:spacing w:after="0" w:line="39" w:lineRule="exact"/>
        <w:rPr>
          <w:rFonts w:ascii="Arial" w:cs="Arial" w:eastAsia="Arial" w:hAnsi="Arial"/>
          <w:sz w:val="13"/>
          <w:szCs w:val="13"/>
          <w:color w:val="auto"/>
        </w:rPr>
      </w:pPr>
    </w:p>
    <w:p>
      <w:pPr>
        <w:ind w:left="408" w:hanging="192"/>
        <w:spacing w:after="0"/>
        <w:tabs>
          <w:tab w:leader="none" w:pos="408" w:val="left"/>
        </w:tabs>
        <w:numPr>
          <w:ilvl w:val="1"/>
          <w:numId w:val="6"/>
        </w:numPr>
        <w:rPr>
          <w:rFonts w:ascii="Arial" w:cs="Arial" w:eastAsia="Arial" w:hAnsi="Arial"/>
          <w:sz w:val="13"/>
          <w:szCs w:val="13"/>
          <w:color w:val="auto"/>
        </w:rPr>
      </w:pPr>
      <w:r>
        <w:rPr>
          <w:rFonts w:ascii="Arial" w:cs="Arial" w:eastAsia="Arial" w:hAnsi="Arial"/>
          <w:sz w:val="13"/>
          <w:szCs w:val="13"/>
          <w:color w:val="auto"/>
        </w:rPr>
        <w:t>Defense and electronics markets are forecast to continue growing for multiple years</w:t>
      </w:r>
    </w:p>
    <w:p>
      <w:pPr>
        <w:spacing w:after="0" w:line="30" w:lineRule="exact"/>
        <w:rPr>
          <w:rFonts w:ascii="Arial" w:cs="Arial" w:eastAsia="Arial" w:hAnsi="Arial"/>
          <w:sz w:val="13"/>
          <w:szCs w:val="13"/>
          <w:color w:val="auto"/>
        </w:rPr>
      </w:pPr>
    </w:p>
    <w:p>
      <w:pPr>
        <w:ind w:left="408" w:hanging="192"/>
        <w:spacing w:after="0"/>
        <w:tabs>
          <w:tab w:leader="none" w:pos="408" w:val="left"/>
        </w:tabs>
        <w:numPr>
          <w:ilvl w:val="1"/>
          <w:numId w:val="6"/>
        </w:numPr>
        <w:rPr>
          <w:rFonts w:ascii="Arial" w:cs="Arial" w:eastAsia="Arial" w:hAnsi="Arial"/>
          <w:sz w:val="13"/>
          <w:szCs w:val="13"/>
          <w:color w:val="auto"/>
        </w:rPr>
      </w:pPr>
      <w:r>
        <w:rPr>
          <w:rFonts w:ascii="Arial" w:cs="Arial" w:eastAsia="Arial" w:hAnsi="Arial"/>
          <w:sz w:val="13"/>
          <w:szCs w:val="13"/>
          <w:color w:val="auto"/>
        </w:rPr>
        <w:t>Some remaining legacy NN minimal-profit auto business will be rationalized, and this multi-year program will be completed</w:t>
      </w:r>
    </w:p>
    <w:p>
      <w:pPr>
        <w:spacing w:after="0" w:line="39" w:lineRule="exact"/>
        <w:rPr>
          <w:rFonts w:ascii="Arial" w:cs="Arial" w:eastAsia="Arial" w:hAnsi="Arial"/>
          <w:sz w:val="13"/>
          <w:szCs w:val="13"/>
          <w:color w:val="auto"/>
        </w:rPr>
      </w:pPr>
    </w:p>
    <w:p>
      <w:pPr>
        <w:ind w:left="408" w:hanging="192"/>
        <w:spacing w:after="0"/>
        <w:tabs>
          <w:tab w:leader="none" w:pos="408" w:val="left"/>
        </w:tabs>
        <w:numPr>
          <w:ilvl w:val="1"/>
          <w:numId w:val="6"/>
        </w:numPr>
        <w:rPr>
          <w:rFonts w:ascii="Arial" w:cs="Arial" w:eastAsia="Arial" w:hAnsi="Arial"/>
          <w:sz w:val="13"/>
          <w:szCs w:val="13"/>
          <w:color w:val="auto"/>
        </w:rPr>
      </w:pPr>
      <w:r>
        <w:rPr>
          <w:rFonts w:ascii="Arial" w:cs="Arial" w:eastAsia="Arial" w:hAnsi="Arial"/>
          <w:sz w:val="13"/>
          <w:szCs w:val="13"/>
          <w:color w:val="auto"/>
        </w:rPr>
        <w:t>Over $60 million of new business launches and ramp-ups already in the 2026 forecast</w:t>
      </w:r>
    </w:p>
    <w:p>
      <w:pPr>
        <w:spacing w:after="0" w:line="30" w:lineRule="exact"/>
        <w:rPr>
          <w:rFonts w:ascii="Arial" w:cs="Arial" w:eastAsia="Arial" w:hAnsi="Arial"/>
          <w:sz w:val="13"/>
          <w:szCs w:val="13"/>
          <w:color w:val="auto"/>
        </w:rPr>
      </w:pPr>
    </w:p>
    <w:p>
      <w:pPr>
        <w:ind w:left="408" w:hanging="192"/>
        <w:spacing w:after="0"/>
        <w:tabs>
          <w:tab w:leader="none" w:pos="408" w:val="left"/>
        </w:tabs>
        <w:numPr>
          <w:ilvl w:val="1"/>
          <w:numId w:val="6"/>
        </w:numPr>
        <w:rPr>
          <w:rFonts w:ascii="Arial" w:cs="Arial" w:eastAsia="Arial" w:hAnsi="Arial"/>
          <w:sz w:val="13"/>
          <w:szCs w:val="13"/>
          <w:color w:val="auto"/>
        </w:rPr>
      </w:pPr>
      <w:r>
        <w:rPr>
          <w:rFonts w:ascii="Arial" w:cs="Arial" w:eastAsia="Arial" w:hAnsi="Arial"/>
          <w:sz w:val="13"/>
          <w:szCs w:val="13"/>
          <w:color w:val="auto"/>
        </w:rPr>
        <w:t>Metal costs are forecast to continue to climb and plateau, causing year-over-year increases again</w:t>
      </w:r>
    </w:p>
    <w:p>
      <w:pPr>
        <w:spacing w:after="0" w:line="30" w:lineRule="exact"/>
        <w:rPr>
          <w:rFonts w:ascii="Arial" w:cs="Arial" w:eastAsia="Arial" w:hAnsi="Arial"/>
          <w:sz w:val="13"/>
          <w:szCs w:val="13"/>
          <w:color w:val="auto"/>
        </w:rPr>
      </w:pPr>
    </w:p>
    <w:p>
      <w:pPr>
        <w:ind w:left="408" w:hanging="192"/>
        <w:spacing w:after="0"/>
        <w:tabs>
          <w:tab w:leader="none" w:pos="408" w:val="left"/>
        </w:tabs>
        <w:numPr>
          <w:ilvl w:val="1"/>
          <w:numId w:val="6"/>
        </w:numPr>
        <w:rPr>
          <w:rFonts w:ascii="Arial" w:cs="Arial" w:eastAsia="Arial" w:hAnsi="Arial"/>
          <w:sz w:val="13"/>
          <w:szCs w:val="13"/>
          <w:color w:val="auto"/>
        </w:rPr>
      </w:pPr>
      <w:r>
        <w:rPr>
          <w:rFonts w:ascii="Arial" w:cs="Arial" w:eastAsia="Arial" w:hAnsi="Arial"/>
          <w:sz w:val="13"/>
          <w:szCs w:val="13"/>
          <w:color w:val="auto"/>
        </w:rPr>
        <w:t>Some improvement in US home building rates, will benefit NN’s Power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308"/>
          </w:cols>
          <w:pgMar w:left="292" w:top="836" w:right="299" w:bottom="1440" w:gutter="0" w:footer="0" w:header="0"/>
        </w:sectPr>
      </w:pPr>
    </w:p>
    <w:bookmarkStart w:id="6" w:name="page7"/>
    <w:bookmarkEnd w:id="6"/>
    <w:p>
      <w:pPr>
        <w:ind w:left="8"/>
        <w:spacing w:after="0"/>
        <w:rPr>
          <w:sz w:val="20"/>
          <w:szCs w:val="20"/>
          <w:color w:val="auto"/>
        </w:rPr>
      </w:pPr>
      <w:r>
        <w:rPr>
          <w:rFonts w:ascii="Arial" w:cs="Arial" w:eastAsia="Arial" w:hAnsi="Arial"/>
          <w:sz w:val="13"/>
          <w:szCs w:val="13"/>
          <w:b w:val="1"/>
          <w:bCs w:val="1"/>
          <w:u w:val="single" w:color="auto"/>
          <w:color w:val="auto"/>
        </w:rPr>
        <w:t>Conference Call</w:t>
      </w:r>
    </w:p>
    <w:p>
      <w:pPr>
        <w:spacing w:after="0" w:line="58" w:lineRule="exact"/>
        <w:rPr>
          <w:sz w:val="20"/>
          <w:szCs w:val="20"/>
          <w:color w:val="auto"/>
        </w:rPr>
      </w:pPr>
    </w:p>
    <w:p>
      <w:pPr>
        <w:jc w:val="both"/>
        <w:ind w:left="8" w:hanging="8"/>
        <w:spacing w:after="0" w:line="279" w:lineRule="auto"/>
        <w:tabs>
          <w:tab w:leader="none" w:pos="261" w:val="left"/>
        </w:tabs>
        <w:numPr>
          <w:ilvl w:val="0"/>
          <w:numId w:val="7"/>
        </w:numPr>
        <w:rPr>
          <w:rFonts w:ascii="Arial" w:cs="Arial" w:eastAsia="Arial" w:hAnsi="Arial"/>
          <w:sz w:val="13"/>
          <w:szCs w:val="13"/>
          <w:color w:val="auto"/>
        </w:rPr>
      </w:pPr>
      <w:r>
        <w:rPr>
          <w:rFonts w:ascii="Arial" w:cs="Arial" w:eastAsia="Arial" w:hAnsi="Arial"/>
          <w:sz w:val="13"/>
          <w:szCs w:val="13"/>
          <w:color w:val="auto"/>
        </w:rPr>
        <w:t>will discuss its results during its quarterly investor conference call on October 30, 2025, at 9 a.m. ET. The call and supplemental presentation may be accessed via NN's website, www.nninc.com. The conference call can also be accessed by dialing 1-877-255-4315 or 1-412-317-6579. For those who are unavailable to listen to the live broadcast, a replay will be available shortly after the call.</w:t>
      </w:r>
    </w:p>
    <w:p>
      <w:pPr>
        <w:spacing w:after="0" w:line="91" w:lineRule="exact"/>
        <w:rPr>
          <w:sz w:val="20"/>
          <w:szCs w:val="20"/>
          <w:color w:val="auto"/>
        </w:rPr>
      </w:pPr>
    </w:p>
    <w:p>
      <w:pPr>
        <w:jc w:val="both"/>
        <w:ind w:left="8" w:hanging="8"/>
        <w:spacing w:after="0" w:line="286" w:lineRule="auto"/>
        <w:tabs>
          <w:tab w:leader="none" w:pos="237" w:val="left"/>
        </w:tabs>
        <w:numPr>
          <w:ilvl w:val="0"/>
          <w:numId w:val="8"/>
        </w:numPr>
        <w:rPr>
          <w:rFonts w:ascii="Arial" w:cs="Arial" w:eastAsia="Arial" w:hAnsi="Arial"/>
          <w:sz w:val="13"/>
          <w:szCs w:val="13"/>
          <w:color w:val="auto"/>
        </w:rPr>
      </w:pPr>
      <w:r>
        <w:rPr>
          <w:rFonts w:ascii="Arial" w:cs="Arial" w:eastAsia="Arial" w:hAnsi="Arial"/>
          <w:sz w:val="13"/>
          <w:szCs w:val="13"/>
          <w:color w:val="auto"/>
        </w:rPr>
        <w:t>discloses in this press release the non-GAAP financial measures of adjusted income (loss) from operations, adjusted EBITDA, adjusted EBITDA margin, adjusted net income (loss), adjusted net income (loss) per diluted common share, and free cash flow. Each of these non-GAAP financial measures provides supplementary information about the impacts of acquisition, divestiture and integration related expenses, foreign-exchange impacts on inter-company loans, reorganizational and impairment charges.</w:t>
      </w:r>
    </w:p>
    <w:p>
      <w:pPr>
        <w:spacing w:after="0" w:line="78" w:lineRule="exact"/>
        <w:rPr>
          <w:sz w:val="20"/>
          <w:szCs w:val="20"/>
          <w:color w:val="auto"/>
        </w:rPr>
      </w:pPr>
    </w:p>
    <w:p>
      <w:pPr>
        <w:ind w:left="8" w:right="220"/>
        <w:spacing w:after="0" w:line="286" w:lineRule="auto"/>
        <w:rPr>
          <w:sz w:val="20"/>
          <w:szCs w:val="20"/>
          <w:color w:val="auto"/>
        </w:rPr>
      </w:pPr>
      <w:r>
        <w:rPr>
          <w:rFonts w:ascii="Arial" w:cs="Arial" w:eastAsia="Arial" w:hAnsi="Arial"/>
          <w:sz w:val="13"/>
          <w:szCs w:val="13"/>
          <w:color w:val="auto"/>
        </w:rPr>
        <w:t>The financial tables found later in this press release include a reconciliation of adjusted income (loss) from operations, adjusted operating margin, adjusted EBITDA, adjusted EBITDA margin, adjusted net income (loss), adjusted net income (loss) per diluted share, free cash flow to the U.S. GAAP financial measures of income (loss) from operations, net income (loss), net income (loss) per diluted common share, and cash provided (used) by operating activities.</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08"/>
          </w:cols>
          <w:pgMar w:left="292" w:top="683" w:right="29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auto"/>
        </w:rPr>
        <w:t>About NN, Inc</w:t>
      </w:r>
      <w:r>
        <w:rPr>
          <w:rFonts w:ascii="Arial" w:cs="Arial" w:eastAsia="Arial" w:hAnsi="Arial"/>
          <w:sz w:val="13"/>
          <w:szCs w:val="13"/>
          <w:b w:val="1"/>
          <w:bCs w:val="1"/>
          <w:color w:val="auto"/>
        </w:rPr>
        <w:t>.</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facilities in North America, South America, Europe and China. For more information about the company and its products, please visit www.nninc.com.</w:t>
      </w:r>
    </w:p>
    <w:p>
      <w:pPr>
        <w:spacing w:after="0" w:line="91" w:lineRule="exact"/>
        <w:rPr>
          <w:sz w:val="20"/>
          <w:szCs w:val="20"/>
          <w:color w:val="auto"/>
        </w:rPr>
      </w:pPr>
    </w:p>
    <w:p>
      <w:pPr>
        <w:jc w:val="both"/>
        <w:spacing w:after="0" w:line="295" w:lineRule="auto"/>
        <w:rPr>
          <w:sz w:val="20"/>
          <w:szCs w:val="20"/>
          <w:color w:val="auto"/>
        </w:rPr>
      </w:pPr>
      <w:r>
        <w:rPr>
          <w:rFonts w:ascii="Arial" w:cs="Arial" w:eastAsia="Arial" w:hAnsi="Arial"/>
          <w:sz w:val="8"/>
          <w:szCs w:val="8"/>
          <w:i w:val="1"/>
          <w:iCs w:val="1"/>
          <w:color w:val="auto"/>
        </w:rPr>
        <w:t>This press release contains express and implied forward-looking statements within the meaning of the Private Securities Litigation Reform Act of 1995, including statements regarding our financial outlook for the full year of fiscal 2025, the impact of, and our ability to execute, our corporate strategies and business initiatives and the potential impact tariffs, high interest rates, high metal costs and additional economic uncertainties may have on our financial statements and results of operations. Forward-looking statements generally will be accompanied by words such as “anticipate,” “believe,” “could,” “estimate,” “expect,” “forecast,” “growth,” “guidance,” “intend,” “may,” “will,” “possible,” “potential,” “predict,” “project”, “trajectory” or other similar words, phrases or expressions. Forward-looking statements involve a number of risks and uncertainties that are outside of management’s control and that may cause actual results to be materially different from such statements. Such factors include, among others, general economic conditions and economic conditions in the industrial sector; the potential impacts of tariffs on the U.S. economy, the economy of other countries in which we conduct operations and our industry, as well as the potential implications and ramifications of tariffs on our business and the local and global supply chains supporting the same, and our ability to mitigate any adverse impacts of such;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our ability to secure, maintain or enforce patents or other appropriate protections for our intellectual property; uncertainty of government policies and actions after recent U.S. elections in respect to global trade, tariffs and international trade agreements;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U.S. Securities and Exchange Commission. Any forward-looking statement speaks only as of the date of this press release and are based on information available to NN at the time those statements are made and/or management’s good faith belief as of that time with respect to future events.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348" w:lineRule="exact"/>
        <w:rPr>
          <w:sz w:val="20"/>
          <w:szCs w:val="20"/>
          <w:color w:val="auto"/>
        </w:rPr>
      </w:pPr>
    </w:p>
    <w:p>
      <w:pPr>
        <w:jc w:val="both"/>
        <w:spacing w:after="0" w:line="264" w:lineRule="auto"/>
        <w:rPr>
          <w:sz w:val="20"/>
          <w:szCs w:val="20"/>
          <w:color w:val="auto"/>
        </w:rPr>
      </w:pPr>
      <w:r>
        <w:rPr>
          <w:rFonts w:ascii="Arial" w:cs="Arial" w:eastAsia="Arial" w:hAnsi="Arial"/>
          <w:sz w:val="10"/>
          <w:szCs w:val="10"/>
          <w:i w:val="1"/>
          <w:iCs w:val="1"/>
          <w:color w:val="auto"/>
        </w:rPr>
        <w:t>With respect to any non-GAAP financial measures included in the following document, the accompanying information required by SEC Regulation G can be found in the back of this document or in the “Investors” section of the Company’s web site, www.nninc.com, under the heading “News &amp; Events” and subheading “Presentations.”</w:t>
      </w: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&amp; Media Contacts: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Joe Caminiti or Stephen Poe</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NNBR@alpha-ir.com</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312-445-2870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Financial Tables Follow</w:t>
      </w:r>
    </w:p>
    <w:p>
      <w:pPr>
        <w:spacing w:after="0" w:line="166" w:lineRule="exact"/>
        <w:rPr>
          <w:sz w:val="20"/>
          <w:szCs w:val="20"/>
          <w:color w:val="auto"/>
        </w:rPr>
      </w:pPr>
    </w:p>
    <w:p>
      <w:pPr>
        <w:ind w:left="1122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0"/>
          </w:cols>
          <w:pgMar w:left="300" w:top="683"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Income (Loss)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820" w:type="dxa"/>
            <w:vAlign w:val="bottom"/>
          </w:tcPr>
          <w:p>
            <w:pPr>
              <w:spacing w:after="0"/>
              <w:rPr>
                <w:sz w:val="10"/>
                <w:szCs w:val="10"/>
                <w:color w:val="auto"/>
              </w:rPr>
            </w:pPr>
          </w:p>
        </w:tc>
      </w:tr>
      <w:tr>
        <w:trPr>
          <w:trHeight w:val="125"/>
        </w:trPr>
        <w:tc>
          <w:tcPr>
            <w:tcW w:w="60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20" w:type="dxa"/>
            <w:vAlign w:val="bottom"/>
            <w:tcBorders>
              <w:bottom w:val="single" w:sz="8" w:color="auto"/>
            </w:tcBorders>
          </w:tcPr>
          <w:p>
            <w:pPr>
              <w:spacing w:after="0"/>
              <w:rPr>
                <w:sz w:val="10"/>
                <w:szCs w:val="10"/>
                <w:color w:val="auto"/>
              </w:rPr>
            </w:pPr>
          </w:p>
        </w:tc>
      </w:tr>
      <w:tr>
        <w:trPr>
          <w:trHeight w:val="127"/>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 except per share data)</w:t>
            </w: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7"/>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103,882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113,587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317,492</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357,777</w:t>
            </w: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 (exclusive of depreciation and amortization shown separately below)</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86,410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97,131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267,755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299,474</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11,059</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10,257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34,325</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37,116</w:t>
            </w: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9,064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10,844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26,756</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35,152</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 income, net</w:t>
            </w: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(404)</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(895)</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(2,843)</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(3,285)</w:t>
            </w:r>
          </w:p>
        </w:tc>
      </w:tr>
      <w:tr>
        <w:trPr>
          <w:trHeight w:val="142"/>
        </w:trPr>
        <w:tc>
          <w:tcPr>
            <w:tcW w:w="6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(2,247)</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(10,680)</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5,666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5,404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16,517</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16,643</w:t>
            </w: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3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3,007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(5,315)</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(2,858)</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(4,623)</w:t>
            </w:r>
          </w:p>
        </w:tc>
      </w:tr>
      <w:tr>
        <w:trPr>
          <w:trHeight w:val="142"/>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Loss before provision for income taxes and share of net income from joint venture</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(7,843)</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(25,167)</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(22,700)</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(2,898)</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(1,194)</w:t>
            </w:r>
          </w:p>
        </w:tc>
      </w:tr>
      <w:tr>
        <w:trPr>
          <w:trHeight w:val="153"/>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Share of net income from joint venture</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1,979</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2,185</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6,599</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6,597</w:t>
            </w:r>
          </w:p>
        </w:tc>
      </w:tr>
      <w:tr>
        <w:trPr>
          <w:trHeight w:val="162"/>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(6,679)</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(2,557)</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(21,466)</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(17,297)</w:t>
            </w:r>
          </w:p>
        </w:tc>
      </w:tr>
      <w:tr>
        <w:trPr>
          <w:trHeight w:val="131"/>
        </w:trPr>
        <w:tc>
          <w:tcPr>
            <w:tcW w:w="602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53"/>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Foreign currency transaction gain (loss)</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3,970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8,385</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(1,763)</w:t>
            </w:r>
          </w:p>
        </w:tc>
      </w:tr>
      <w:tr>
        <w:trPr>
          <w:trHeight w:val="153"/>
        </w:trPr>
        <w:tc>
          <w:tcPr>
            <w:tcW w:w="60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Reclassification adjustments from the interest rate swap included in net loss, net of tax</w:t>
            </w:r>
          </w:p>
        </w:tc>
        <w:tc>
          <w:tcPr>
            <w:tcW w:w="3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(1,007)</w:t>
            </w:r>
          </w:p>
        </w:tc>
      </w:tr>
      <w:tr>
        <w:trPr>
          <w:trHeight w:val="142"/>
        </w:trPr>
        <w:tc>
          <w:tcPr>
            <w:tcW w:w="602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806</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3,861</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8,385</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(2,770)</w:t>
            </w:r>
          </w:p>
        </w:tc>
      </w:tr>
      <w:tr>
        <w:trPr>
          <w:trHeight w:val="140"/>
        </w:trPr>
        <w:tc>
          <w:tcPr>
            <w:tcW w:w="6020" w:type="dxa"/>
            <w:vAlign w:val="bottom"/>
            <w:tcBorders>
              <w:bottom w:val="single" w:sz="8" w:color="CCEEFF"/>
            </w:tcBorders>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Comprehensive income (loss)</w:t>
            </w:r>
          </w:p>
        </w:tc>
        <w:tc>
          <w:tcPr>
            <w:tcW w:w="300" w:type="dxa"/>
            <w:vAlign w:val="bottom"/>
            <w:tcBorders>
              <w:bottom w:val="single" w:sz="8" w:color="auto"/>
            </w:tcBorders>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(5,873)</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2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1,304</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(13,081)</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30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(20,067)</w:t>
            </w:r>
          </w:p>
        </w:tc>
      </w:tr>
      <w:tr>
        <w:trPr>
          <w:trHeight w:val="153"/>
        </w:trPr>
        <w:tc>
          <w:tcPr>
            <w:tcW w:w="6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 net loss per share</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8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(0.13)</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(0.72)</w:t>
            </w:r>
          </w:p>
        </w:tc>
        <w:tc>
          <w:tcPr>
            <w:tcW w:w="8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(0.59)</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Shares used to calculate basic and diluted net loss per share</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49,605</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48,997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49,373</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48,522</w:t>
            </w:r>
          </w:p>
        </w:tc>
      </w:tr>
      <w:tr>
        <w:trPr>
          <w:trHeight w:val="402"/>
        </w:trPr>
        <w:tc>
          <w:tcPr>
            <w:tcW w:w="6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w:t>
            </w:r>
          </w:p>
        </w:tc>
      </w:tr>
    </w:tbl>
    <w:p>
      <w:pPr>
        <w:sectPr>
          <w:pgSz w:w="11900" w:h="16838" w:orient="portrait"/>
          <w:cols w:equalWidth="0" w:num="1">
            <w:col w:w="11300"/>
          </w:cols>
          <w:pgMar w:left="300" w:top="674" w:right="299" w:bottom="1440" w:gutter="0" w:footer="0" w:header="0"/>
        </w:sectPr>
      </w:pPr>
    </w:p>
    <w:bookmarkStart w:id="9" w:name="page10"/>
    <w:bookmarkEnd w:id="9"/>
    <w:p>
      <w:pPr>
        <w:ind w:left="54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4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 except per share data)</w:t>
            </w:r>
          </w:p>
        </w:tc>
        <w:tc>
          <w:tcPr>
            <w:tcW w:w="220" w:type="dxa"/>
            <w:vAlign w:val="bottom"/>
          </w:tcPr>
          <w:p>
            <w:pPr>
              <w:spacing w:after="0"/>
              <w:rPr>
                <w:sz w:val="10"/>
                <w:szCs w:val="1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220" w:type="dxa"/>
            <w:vAlign w:val="bottom"/>
          </w:tcPr>
          <w:p>
            <w:pPr>
              <w:spacing w:after="0"/>
              <w:rPr>
                <w:sz w:val="10"/>
                <w:szCs w:val="10"/>
                <w:color w:val="auto"/>
              </w:rPr>
            </w:pPr>
          </w:p>
        </w:tc>
        <w:tc>
          <w:tcPr>
            <w:tcW w:w="106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29"/>
        </w:trPr>
        <w:tc>
          <w:tcPr>
            <w:tcW w:w="8660" w:type="dxa"/>
            <w:vAlign w:val="bottom"/>
            <w:tcBorders>
              <w:bottom w:val="single" w:sz="8" w:color="BFE4FF"/>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BFE4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137"/>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12,215</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18,128</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 net</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63,037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61,549</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Inventories</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63,486</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61,877</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tax receivable</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13,152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12,634</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Prepaid assets</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3,938</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2,855</w:t>
            </w:r>
          </w:p>
        </w:tc>
        <w:tc>
          <w:tcPr>
            <w:tcW w:w="0" w:type="dxa"/>
            <w:vAlign w:val="bottom"/>
          </w:tcPr>
          <w:p>
            <w:pPr>
              <w:spacing w:after="0"/>
              <w:rPr>
                <w:sz w:val="1"/>
                <w:szCs w:val="1"/>
                <w:color w:val="auto"/>
              </w:rPr>
            </w:pPr>
          </w:p>
        </w:tc>
      </w:tr>
      <w:tr>
        <w:trPr>
          <w:trHeight w:val="153"/>
        </w:trPr>
        <w:tc>
          <w:tcPr>
            <w:tcW w:w="8660" w:type="dxa"/>
            <w:vAlign w:val="bottom"/>
            <w:tcBorders>
              <w:bottom w:val="single" w:sz="8" w:color="BFE4FF"/>
            </w:tcBorders>
          </w:tcPr>
          <w:p>
            <w:pPr>
              <w:ind w:left="140"/>
              <w:spacing w:after="0"/>
              <w:rPr>
                <w:sz w:val="20"/>
                <w:szCs w:val="20"/>
                <w:color w:val="auto"/>
              </w:rPr>
            </w:pPr>
            <w:r>
              <w:rPr>
                <w:rFonts w:ascii="Times New Roman" w:cs="Times New Roman" w:eastAsia="Times New Roman" w:hAnsi="Times New Roman"/>
                <w:sz w:val="12"/>
                <w:szCs w:val="12"/>
                <w:color w:val="auto"/>
              </w:rPr>
              <w:t>Other current assets</w:t>
            </w: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14,111</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10,519</w:t>
            </w:r>
          </w:p>
        </w:tc>
        <w:tc>
          <w:tcPr>
            <w:tcW w:w="0" w:type="dxa"/>
            <w:vAlign w:val="bottom"/>
          </w:tcPr>
          <w:p>
            <w:pPr>
              <w:spacing w:after="0"/>
              <w:rPr>
                <w:sz w:val="1"/>
                <w:szCs w:val="1"/>
                <w:color w:val="auto"/>
              </w:rPr>
            </w:pPr>
          </w:p>
        </w:tc>
      </w:tr>
      <w:tr>
        <w:trPr>
          <w:trHeight w:val="142"/>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current assets</w:t>
            </w: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169,939</w:t>
            </w:r>
          </w:p>
        </w:tc>
        <w:tc>
          <w:tcPr>
            <w:tcW w:w="80" w:type="dxa"/>
            <w:vAlign w:val="bottom"/>
            <w:shd w:val="clear" w:color="auto" w:fill="BFE4FF"/>
          </w:tcPr>
          <w:p>
            <w:pPr>
              <w:spacing w:after="0"/>
              <w:rPr>
                <w:sz w:val="12"/>
                <w:szCs w:val="12"/>
                <w:color w:val="auto"/>
              </w:rPr>
            </w:pP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167,562</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161,887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162,034</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36,197</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39,317</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34,194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44,410</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Investment in joint venture</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39,485</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34,971</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assets</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1,329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1,329</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7,931</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7,270</w:t>
            </w:r>
          </w:p>
        </w:tc>
        <w:tc>
          <w:tcPr>
            <w:tcW w:w="0" w:type="dxa"/>
            <w:vAlign w:val="bottom"/>
          </w:tcPr>
          <w:p>
            <w:pPr>
              <w:spacing w:after="0"/>
              <w:rPr>
                <w:sz w:val="1"/>
                <w:szCs w:val="1"/>
                <w:color w:val="auto"/>
              </w:rPr>
            </w:pPr>
          </w:p>
        </w:tc>
      </w:tr>
      <w:tr>
        <w:trPr>
          <w:trHeight w:val="158"/>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assets</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450,962</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456,893</w:t>
            </w:r>
          </w:p>
        </w:tc>
        <w:tc>
          <w:tcPr>
            <w:tcW w:w="0" w:type="dxa"/>
            <w:vAlign w:val="bottom"/>
          </w:tcPr>
          <w:p>
            <w:pPr>
              <w:spacing w:after="0"/>
              <w:rPr>
                <w:sz w:val="1"/>
                <w:szCs w:val="1"/>
                <w:color w:val="auto"/>
              </w:rPr>
            </w:pPr>
          </w:p>
        </w:tc>
      </w:tr>
      <w:tr>
        <w:trPr>
          <w:trHeight w:val="135"/>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Preferred Stock, and Stockholders’ Equity</w:t>
            </w: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Accounts payable</w:t>
            </w: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46,728</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38,879</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Accrued salaries, wages and benefits</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14,797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19,915</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Income tax payable</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449</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659</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Current maturities of long-term debt</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5,487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5,039</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Current portion of operating lease liabilities</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6,158</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6,038</w:t>
            </w:r>
          </w:p>
        </w:tc>
        <w:tc>
          <w:tcPr>
            <w:tcW w:w="0" w:type="dxa"/>
            <w:vAlign w:val="bottom"/>
          </w:tcPr>
          <w:p>
            <w:pPr>
              <w:spacing w:after="0"/>
              <w:rPr>
                <w:sz w:val="1"/>
                <w:szCs w:val="1"/>
                <w:color w:val="auto"/>
              </w:rPr>
            </w:pPr>
          </w:p>
        </w:tc>
      </w:tr>
      <w:tr>
        <w:trPr>
          <w:trHeight w:val="153"/>
        </w:trPr>
        <w:tc>
          <w:tcPr>
            <w:tcW w:w="8660" w:type="dxa"/>
            <w:vAlign w:val="bottom"/>
            <w:tcBorders>
              <w:bottom w:val="single" w:sz="8" w:color="BFE4FF"/>
            </w:tcBorders>
          </w:tcPr>
          <w:p>
            <w:pPr>
              <w:ind w:left="1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17,292</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13,382</w:t>
            </w:r>
          </w:p>
        </w:tc>
        <w:tc>
          <w:tcPr>
            <w:tcW w:w="0" w:type="dxa"/>
            <w:vAlign w:val="bottom"/>
          </w:tcPr>
          <w:p>
            <w:pPr>
              <w:spacing w:after="0"/>
              <w:rPr>
                <w:sz w:val="1"/>
                <w:szCs w:val="1"/>
                <w:color w:val="auto"/>
              </w:rPr>
            </w:pPr>
          </w:p>
        </w:tc>
      </w:tr>
      <w:tr>
        <w:trPr>
          <w:trHeight w:val="142"/>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current liabilities</w:t>
            </w: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90,911</w:t>
            </w:r>
          </w:p>
        </w:tc>
        <w:tc>
          <w:tcPr>
            <w:tcW w:w="80" w:type="dxa"/>
            <w:vAlign w:val="bottom"/>
            <w:shd w:val="clear" w:color="auto" w:fill="BFE4FF"/>
          </w:tcPr>
          <w:p>
            <w:pPr>
              <w:spacing w:after="0"/>
              <w:rPr>
                <w:sz w:val="12"/>
                <w:szCs w:val="12"/>
                <w:color w:val="auto"/>
              </w:rPr>
            </w:pP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83,912</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4,407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4,969</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Long-term debt, net of current maturities</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149,376</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143,591</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 net of current portion</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38,380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42,291</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10,969</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14,111</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liabilities</w:t>
            </w: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294,043</w:t>
            </w:r>
          </w:p>
        </w:tc>
        <w:tc>
          <w:tcPr>
            <w:tcW w:w="80" w:type="dxa"/>
            <w:vAlign w:val="bottom"/>
            <w:tcBorders>
              <w:bottom w:val="single" w:sz="8" w:color="BFE4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288,874</w:t>
            </w:r>
          </w:p>
        </w:tc>
        <w:tc>
          <w:tcPr>
            <w:tcW w:w="0" w:type="dxa"/>
            <w:vAlign w:val="bottom"/>
          </w:tcPr>
          <w:p>
            <w:pPr>
              <w:spacing w:after="0"/>
              <w:rPr>
                <w:sz w:val="1"/>
                <w:szCs w:val="1"/>
                <w:color w:val="auto"/>
              </w:rPr>
            </w:pPr>
          </w:p>
        </w:tc>
      </w:tr>
      <w:tr>
        <w:trPr>
          <w:trHeight w:val="133"/>
        </w:trPr>
        <w:tc>
          <w:tcPr>
            <w:tcW w:w="8660" w:type="dxa"/>
            <w:vAlign w:val="bottom"/>
            <w:shd w:val="clear" w:color="auto" w:fill="BFE4FF"/>
          </w:tcPr>
          <w:p>
            <w:pPr>
              <w:spacing w:after="0" w:line="133" w:lineRule="exact"/>
              <w:rPr>
                <w:sz w:val="20"/>
                <w:szCs w:val="20"/>
                <w:color w:val="auto"/>
              </w:rPr>
            </w:pPr>
            <w:r>
              <w:rPr>
                <w:rFonts w:ascii="Times New Roman" w:cs="Times New Roman" w:eastAsia="Times New Roman" w:hAnsi="Times New Roman"/>
                <w:sz w:val="12"/>
                <w:szCs w:val="12"/>
                <w:color w:val="auto"/>
              </w:rPr>
              <w:t>Commitments and contingencies</w:t>
            </w: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Series D perpetual preferred stock</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107,350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93,497</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spacing w:after="0"/>
              <w:rPr>
                <w:sz w:val="13"/>
                <w:szCs w:val="13"/>
                <w:color w:val="auto"/>
              </w:rPr>
            </w:pP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Common stock</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502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499</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443,936</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455,811</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Accumulated deficit</w:t>
            </w: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(355,087)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(333,621)</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(39,782)</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(48,167)</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stockholders’ equity</w:t>
            </w: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49,569</w:t>
            </w:r>
          </w:p>
        </w:tc>
        <w:tc>
          <w:tcPr>
            <w:tcW w:w="80" w:type="dxa"/>
            <w:vAlign w:val="bottom"/>
            <w:tcBorders>
              <w:bottom w:val="single" w:sz="8" w:color="BFE4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74,522</w:t>
            </w:r>
          </w:p>
        </w:tc>
        <w:tc>
          <w:tcPr>
            <w:tcW w:w="0" w:type="dxa"/>
            <w:vAlign w:val="bottom"/>
          </w:tcPr>
          <w:p>
            <w:pPr>
              <w:spacing w:after="0"/>
              <w:rPr>
                <w:sz w:val="1"/>
                <w:szCs w:val="1"/>
                <w:color w:val="auto"/>
              </w:rPr>
            </w:pPr>
          </w:p>
        </w:tc>
      </w:tr>
      <w:tr>
        <w:trPr>
          <w:trHeight w:val="158"/>
        </w:trPr>
        <w:tc>
          <w:tcPr>
            <w:tcW w:w="8660" w:type="dxa"/>
            <w:vAlign w:val="bottom"/>
            <w:tcBorders>
              <w:bottom w:val="single" w:sz="8" w:color="BFE4FF"/>
            </w:tcBorders>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liabilities, preferred stock, and stockholders’ equity</w:t>
            </w:r>
          </w:p>
        </w:tc>
        <w:tc>
          <w:tcPr>
            <w:tcW w:w="22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450,962</w:t>
            </w:r>
          </w:p>
        </w:tc>
        <w:tc>
          <w:tcPr>
            <w:tcW w:w="80" w:type="dxa"/>
            <w:vAlign w:val="bottom"/>
            <w:tcBorders>
              <w:bottom w:val="single" w:sz="8" w:color="BFE4FF"/>
            </w:tcBorders>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456,893</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300"/>
          </w:cols>
          <w:pgMar w:left="300" w:top="674"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3"/>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900" w:type="dxa"/>
            <w:vAlign w:val="bottom"/>
          </w:tcPr>
          <w:p>
            <w:pPr>
              <w:spacing w:after="0"/>
              <w:rPr>
                <w:sz w:val="10"/>
                <w:szCs w:val="10"/>
                <w:color w:val="auto"/>
              </w:rPr>
            </w:pPr>
          </w:p>
        </w:tc>
      </w:tr>
      <w:tr>
        <w:trPr>
          <w:trHeight w:val="125"/>
        </w:trPr>
        <w:tc>
          <w:tcPr>
            <w:tcW w:w="84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00" w:type="dxa"/>
            <w:vAlign w:val="bottom"/>
            <w:tcBorders>
              <w:bottom w:val="single" w:sz="8" w:color="auto"/>
            </w:tcBorders>
          </w:tcPr>
          <w:p>
            <w:pPr>
              <w:spacing w:after="0"/>
              <w:rPr>
                <w:sz w:val="10"/>
                <w:szCs w:val="10"/>
                <w:color w:val="auto"/>
              </w:rPr>
            </w:pPr>
          </w:p>
        </w:tc>
      </w:tr>
      <w:tr>
        <w:trPr>
          <w:trHeight w:val="127"/>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8"/>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(21,466)</w:t>
            </w:r>
          </w:p>
        </w:tc>
        <w:tc>
          <w:tcPr>
            <w:tcW w:w="120" w:type="dxa"/>
            <w:vAlign w:val="bottom"/>
          </w:tcPr>
          <w:p>
            <w:pPr>
              <w:spacing w:after="0"/>
              <w:rPr>
                <w:sz w:val="13"/>
                <w:szCs w:val="13"/>
                <w:color w:val="auto"/>
              </w:rPr>
            </w:pP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(17,297)</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operating activities: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26,756</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35,152</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Amortization of debt issuance costs and discount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1,255</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1,718</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Paid-in-kind interest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2,148</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2,064</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3,007</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derivative loss (gain), net of cash settlements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(2,109)</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Share of net income from joint venture, net of cash dividends received</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(3,551)</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(6,597)</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Gain on sale of business</w:t>
            </w:r>
          </w:p>
        </w:tc>
        <w:tc>
          <w:tcPr>
            <w:tcW w:w="32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(7,154)</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2,377</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2,347</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income taxes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Accounts receivable</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(3,957)</w:t>
            </w:r>
          </w:p>
        </w:tc>
      </w:tr>
      <w:tr>
        <w:trPr>
          <w:trHeight w:val="153"/>
        </w:trPr>
        <w:tc>
          <w:tcPr>
            <w:tcW w:w="84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Inventories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(1,916)</w:t>
            </w: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Other operating assets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(3,171)</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(2,873)</w:t>
            </w:r>
          </w:p>
        </w:tc>
      </w:tr>
      <w:tr>
        <w:trPr>
          <w:trHeight w:val="153"/>
        </w:trPr>
        <w:tc>
          <w:tcPr>
            <w:tcW w:w="84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Income taxes receivable and payable, net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(690)</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(1,078)</w:t>
            </w: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Accounts payable</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7,629</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1,794</w:t>
            </w:r>
          </w:p>
        </w:tc>
      </w:tr>
      <w:tr>
        <w:trPr>
          <w:trHeight w:val="153"/>
        </w:trPr>
        <w:tc>
          <w:tcPr>
            <w:tcW w:w="84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2"/>
                <w:szCs w:val="12"/>
                <w:color w:val="auto"/>
              </w:rPr>
              <w:t>Other operating liabilities</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(5,256)</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2,739</w:t>
            </w:r>
          </w:p>
        </w:tc>
      </w:tr>
      <w:tr>
        <w:trPr>
          <w:trHeight w:val="142"/>
        </w:trPr>
        <w:tc>
          <w:tcPr>
            <w:tcW w:w="8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7,124</w:t>
            </w:r>
          </w:p>
        </w:tc>
        <w:tc>
          <w:tcPr>
            <w:tcW w:w="12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4,389</w:t>
            </w:r>
          </w:p>
        </w:tc>
      </w:tr>
      <w:tr>
        <w:trPr>
          <w:trHeight w:val="133"/>
        </w:trPr>
        <w:tc>
          <w:tcPr>
            <w:tcW w:w="84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Acquisition of property, plant and equipment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(11,058)</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(15,352)</w:t>
            </w:r>
          </w:p>
        </w:tc>
      </w:tr>
      <w:tr>
        <w:trPr>
          <w:trHeight w:val="153"/>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Proceeds from sale of property, plant, and equipment</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1,837</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w:t>
            </w:r>
          </w:p>
        </w:tc>
      </w:tr>
      <w:tr>
        <w:trPr>
          <w:trHeight w:val="142"/>
        </w:trPr>
        <w:tc>
          <w:tcPr>
            <w:tcW w:w="8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(9,221)</w:t>
            </w:r>
          </w:p>
        </w:tc>
        <w:tc>
          <w:tcPr>
            <w:tcW w:w="12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1,914</w:t>
            </w:r>
          </w:p>
        </w:tc>
      </w:tr>
      <w:tr>
        <w:trPr>
          <w:trHeight w:val="133"/>
        </w:trPr>
        <w:tc>
          <w:tcPr>
            <w:tcW w:w="84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asset backed credit facilities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38,000</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Repayments of asset backed credit facilities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(42,400)</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(38,000)</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term loans and other long-term debt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119,234</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Repayments of term loans and other long-term debt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(116,583)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(37,320)</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paid for debt issuance costs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(3,553)</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sale-leaseback of equipment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8,324</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sale-leaseback of land and buildings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16,863</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Repayments of financing obligations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(3,351)</w:t>
            </w:r>
          </w:p>
        </w:tc>
        <w:tc>
          <w:tcPr>
            <w:tcW w:w="12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(2,262)</w:t>
            </w:r>
          </w:p>
        </w:tc>
      </w:tr>
      <w:tr>
        <w:trPr>
          <w:trHeight w:val="142"/>
        </w:trPr>
        <w:tc>
          <w:tcPr>
            <w:tcW w:w="84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Net cash used in financing activities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(5,277)</w:t>
            </w: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(15,633)</w:t>
            </w:r>
          </w:p>
        </w:tc>
      </w:tr>
      <w:tr>
        <w:trPr>
          <w:trHeight w:val="142"/>
        </w:trPr>
        <w:tc>
          <w:tcPr>
            <w:tcW w:w="8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Effect of exchange rate changes on cash flows</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1,461</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Net change in cash and cash equivalents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(9,454)</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at beginning of year</w:t>
            </w: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18,128</w:t>
            </w:r>
          </w:p>
        </w:tc>
        <w:tc>
          <w:tcPr>
            <w:tcW w:w="12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21,903</w:t>
            </w:r>
          </w:p>
        </w:tc>
      </w:tr>
      <w:tr>
        <w:trPr>
          <w:trHeight w:val="142"/>
        </w:trPr>
        <w:tc>
          <w:tcPr>
            <w:tcW w:w="84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Cash and cash equivalents at end of quarter</w:t>
            </w: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12,215</w:t>
            </w:r>
          </w:p>
        </w:tc>
        <w:tc>
          <w:tcPr>
            <w:tcW w:w="120" w:type="dxa"/>
            <w:vAlign w:val="bottom"/>
          </w:tcPr>
          <w:p>
            <w:pPr>
              <w:spacing w:after="0"/>
              <w:rPr>
                <w:sz w:val="12"/>
                <w:szCs w:val="12"/>
                <w:color w:val="auto"/>
              </w:rPr>
            </w:pP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12,449</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00"/>
          </w:cols>
          <w:pgMar w:left="300" w:top="674" w:right="299" w:bottom="1440" w:gutter="0" w:footer="0" w:header="0"/>
        </w:sectPr>
      </w:pPr>
    </w:p>
    <w:bookmarkStart w:id="11" w:name="page12"/>
    <w:bookmarkEnd w:id="11"/>
    <w:tbl>
      <w:tblPr>
        <w:tblLayout w:type="fixed"/>
        <w:tblInd w:w="700" w:type="dxa"/>
        <w:tblCellMar>
          <w:top w:w="0" w:type="dxa"/>
          <w:left w:w="0" w:type="dxa"/>
          <w:bottom w:w="0" w:type="dxa"/>
          <w:right w:w="0" w:type="dxa"/>
        </w:tblCellMar>
      </w:tblPr>
      <w:tr>
        <w:trPr>
          <w:trHeight w:val="159"/>
        </w:trPr>
        <w:tc>
          <w:tcPr>
            <w:tcW w:w="6280" w:type="dxa"/>
            <w:vAlign w:val="bottom"/>
            <w:gridSpan w:val="4"/>
          </w:tcPr>
          <w:p>
            <w:pPr>
              <w:ind w:left="1680"/>
              <w:spacing w:after="0"/>
              <w:rPr>
                <w:sz w:val="20"/>
                <w:szCs w:val="20"/>
                <w:color w:val="auto"/>
              </w:rPr>
            </w:pPr>
            <w:r>
              <w:rPr>
                <w:rFonts w:ascii="Times New Roman" w:cs="Times New Roman" w:eastAsia="Times New Roman" w:hAnsi="Times New Roman"/>
                <w:sz w:val="12"/>
                <w:szCs w:val="12"/>
                <w:b w:val="1"/>
                <w:bCs w:val="1"/>
                <w:color w:val="auto"/>
              </w:rPr>
              <w:t>Reconciliation of GAAP Gross Profit to Non-GAAP Gross Profit and Gross Margin</w:t>
            </w: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426"/>
        </w:trPr>
        <w:tc>
          <w:tcPr>
            <w:tcW w:w="4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820" w:type="dxa"/>
            <w:vAlign w:val="bottom"/>
          </w:tcPr>
          <w:p>
            <w:pPr>
              <w:spacing w:after="0"/>
              <w:rPr>
                <w:sz w:val="24"/>
                <w:szCs w:val="24"/>
                <w:color w:val="auto"/>
              </w:rPr>
            </w:pPr>
          </w:p>
        </w:tc>
      </w:tr>
      <w:tr>
        <w:trPr>
          <w:trHeight w:val="159"/>
        </w:trPr>
        <w:tc>
          <w:tcPr>
            <w:tcW w:w="48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820" w:type="dxa"/>
            <w:vAlign w:val="bottom"/>
            <w:tcBorders>
              <w:bottom w:val="single" w:sz="8" w:color="auto"/>
            </w:tcBorders>
          </w:tcPr>
          <w:p>
            <w:pPr>
              <w:spacing w:after="0"/>
              <w:rPr>
                <w:sz w:val="13"/>
                <w:szCs w:val="13"/>
                <w:color w:val="auto"/>
              </w:rPr>
            </w:pPr>
          </w:p>
        </w:tc>
      </w:tr>
      <w:tr>
        <w:trPr>
          <w:trHeight w:val="142"/>
        </w:trPr>
        <w:tc>
          <w:tcPr>
            <w:tcW w:w="484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w w:val="99"/>
              </w:rPr>
              <w:t>2024</w:t>
            </w:r>
          </w:p>
        </w:tc>
      </w:tr>
      <w:tr>
        <w:trPr>
          <w:trHeight w:val="142"/>
        </w:trPr>
        <w:tc>
          <w:tcPr>
            <w:tcW w:w="484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Net sales</w:t>
            </w: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103,882</w:t>
            </w:r>
          </w:p>
        </w:tc>
        <w:tc>
          <w:tcPr>
            <w:tcW w:w="100" w:type="dxa"/>
            <w:vAlign w:val="bottom"/>
            <w:shd w:val="clear" w:color="auto" w:fill="BFE4FF"/>
          </w:tcPr>
          <w:p>
            <w:pPr>
              <w:spacing w:after="0"/>
              <w:rPr>
                <w:sz w:val="12"/>
                <w:szCs w:val="12"/>
                <w:color w:val="auto"/>
              </w:rPr>
            </w:pPr>
          </w:p>
        </w:tc>
        <w:tc>
          <w:tcPr>
            <w:tcW w:w="520" w:type="dxa"/>
            <w:vAlign w:val="bottom"/>
            <w:shd w:val="clear" w:color="auto" w:fill="BFE4FF"/>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BFE4FF"/>
          </w:tcPr>
          <w:p>
            <w:pPr>
              <w:jc w:val="right"/>
              <w:ind w:right="100"/>
              <w:spacing w:after="0"/>
              <w:rPr>
                <w:sz w:val="20"/>
                <w:szCs w:val="20"/>
                <w:color w:val="auto"/>
              </w:rPr>
            </w:pPr>
            <w:r>
              <w:rPr>
                <w:rFonts w:ascii="Times New Roman" w:cs="Times New Roman" w:eastAsia="Times New Roman" w:hAnsi="Times New Roman"/>
                <w:sz w:val="12"/>
                <w:szCs w:val="12"/>
                <w:color w:val="auto"/>
              </w:rPr>
              <w:t>113,587</w:t>
            </w:r>
          </w:p>
        </w:tc>
      </w:tr>
      <w:tr>
        <w:trPr>
          <w:trHeight w:val="153"/>
        </w:trPr>
        <w:tc>
          <w:tcPr>
            <w:tcW w:w="484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2"/>
                <w:szCs w:val="12"/>
                <w:color w:val="auto"/>
              </w:rPr>
              <w:t>Cost of sales (exclusive of depreciation and amortization)</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86,410</w:t>
            </w:r>
          </w:p>
        </w:tc>
        <w:tc>
          <w:tcPr>
            <w:tcW w:w="100" w:type="dxa"/>
            <w:vAlign w:val="bottom"/>
            <w:tcBorders>
              <w:bottom w:val="single" w:sz="8" w:color="BFE4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97,131</w:t>
            </w:r>
          </w:p>
        </w:tc>
      </w:tr>
      <w:tr>
        <w:trPr>
          <w:trHeight w:val="142"/>
        </w:trPr>
        <w:tc>
          <w:tcPr>
            <w:tcW w:w="484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GAAP gross profit</w:t>
            </w:r>
          </w:p>
        </w:tc>
        <w:tc>
          <w:tcPr>
            <w:tcW w:w="320" w:type="dxa"/>
            <w:vAlign w:val="bottom"/>
            <w:shd w:val="clear" w:color="auto" w:fill="BFE4FF"/>
          </w:tcPr>
          <w:p>
            <w:pPr>
              <w:spacing w:after="0"/>
              <w:rPr>
                <w:sz w:val="12"/>
                <w:szCs w:val="12"/>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17,472</w:t>
            </w:r>
          </w:p>
        </w:tc>
        <w:tc>
          <w:tcPr>
            <w:tcW w:w="100" w:type="dxa"/>
            <w:vAlign w:val="bottom"/>
            <w:shd w:val="clear" w:color="auto" w:fill="BFE4FF"/>
          </w:tcPr>
          <w:p>
            <w:pPr>
              <w:spacing w:after="0"/>
              <w:rPr>
                <w:sz w:val="12"/>
                <w:szCs w:val="12"/>
                <w:color w:val="auto"/>
              </w:rPr>
            </w:pPr>
          </w:p>
        </w:tc>
        <w:tc>
          <w:tcPr>
            <w:tcW w:w="520" w:type="dxa"/>
            <w:vAlign w:val="bottom"/>
            <w:shd w:val="clear" w:color="auto" w:fill="BFE4FF"/>
          </w:tcPr>
          <w:p>
            <w:pPr>
              <w:spacing w:after="0"/>
              <w:rPr>
                <w:sz w:val="12"/>
                <w:szCs w:val="12"/>
                <w:color w:val="auto"/>
              </w:rPr>
            </w:pPr>
          </w:p>
        </w:tc>
        <w:tc>
          <w:tcPr>
            <w:tcW w:w="820" w:type="dxa"/>
            <w:vAlign w:val="bottom"/>
            <w:shd w:val="clear" w:color="auto" w:fill="BFE4FF"/>
          </w:tcPr>
          <w:p>
            <w:pPr>
              <w:jc w:val="right"/>
              <w:ind w:right="100"/>
              <w:spacing w:after="0"/>
              <w:rPr>
                <w:sz w:val="20"/>
                <w:szCs w:val="20"/>
                <w:color w:val="auto"/>
              </w:rPr>
            </w:pPr>
            <w:r>
              <w:rPr>
                <w:rFonts w:ascii="Times New Roman" w:cs="Times New Roman" w:eastAsia="Times New Roman" w:hAnsi="Times New Roman"/>
                <w:sz w:val="12"/>
                <w:szCs w:val="12"/>
                <w:color w:val="auto"/>
              </w:rPr>
              <w:t>16,456</w:t>
            </w: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Personnel costs (1)</w:t>
            </w: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1,294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465</w:t>
            </w:r>
          </w:p>
        </w:tc>
      </w:tr>
      <w:tr>
        <w:trPr>
          <w:trHeight w:val="153"/>
        </w:trPr>
        <w:tc>
          <w:tcPr>
            <w:tcW w:w="484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Facility costs (2)</w:t>
            </w:r>
          </w:p>
        </w:tc>
        <w:tc>
          <w:tcPr>
            <w:tcW w:w="320" w:type="dxa"/>
            <w:vAlign w:val="bottom"/>
            <w:shd w:val="clear" w:color="auto" w:fill="BFE4FF"/>
          </w:tcPr>
          <w:p>
            <w:pPr>
              <w:spacing w:after="0"/>
              <w:rPr>
                <w:sz w:val="13"/>
                <w:szCs w:val="13"/>
                <w:color w:val="auto"/>
              </w:rPr>
            </w:pPr>
          </w:p>
        </w:tc>
        <w:tc>
          <w:tcPr>
            <w:tcW w:w="1120" w:type="dxa"/>
            <w:vAlign w:val="bottom"/>
            <w:gridSpan w:val="2"/>
            <w:shd w:val="clear" w:color="auto" w:fill="BFE4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BFE4FF"/>
          </w:tcPr>
          <w:p>
            <w:pPr>
              <w:spacing w:after="0"/>
              <w:rPr>
                <w:sz w:val="13"/>
                <w:szCs w:val="13"/>
                <w:color w:val="auto"/>
              </w:rPr>
            </w:pPr>
          </w:p>
        </w:tc>
        <w:tc>
          <w:tcPr>
            <w:tcW w:w="820" w:type="dxa"/>
            <w:vAlign w:val="bottom"/>
            <w:shd w:val="clear" w:color="auto" w:fill="BFE4FF"/>
          </w:tcPr>
          <w:p>
            <w:pPr>
              <w:jc w:val="right"/>
              <w:ind w:right="100"/>
              <w:spacing w:after="0"/>
              <w:rPr>
                <w:sz w:val="20"/>
                <w:szCs w:val="20"/>
                <w:color w:val="auto"/>
              </w:rPr>
            </w:pPr>
            <w:r>
              <w:rPr>
                <w:rFonts w:ascii="Times New Roman" w:cs="Times New Roman" w:eastAsia="Times New Roman" w:hAnsi="Times New Roman"/>
                <w:sz w:val="12"/>
                <w:szCs w:val="12"/>
                <w:color w:val="auto"/>
              </w:rPr>
              <w:t>866</w:t>
            </w:r>
          </w:p>
        </w:tc>
      </w:tr>
      <w:tr>
        <w:trPr>
          <w:trHeight w:val="153"/>
        </w:trPr>
        <w:tc>
          <w:tcPr>
            <w:tcW w:w="484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772</w:t>
            </w:r>
          </w:p>
        </w:tc>
        <w:tc>
          <w:tcPr>
            <w:tcW w:w="100" w:type="dxa"/>
            <w:vAlign w:val="bottom"/>
            <w:tcBorders>
              <w:bottom w:val="single" w:sz="8" w:color="BFE4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778</w:t>
            </w:r>
          </w:p>
        </w:tc>
      </w:tr>
      <w:tr>
        <w:trPr>
          <w:trHeight w:val="162"/>
        </w:trPr>
        <w:tc>
          <w:tcPr>
            <w:tcW w:w="4840" w:type="dxa"/>
            <w:vAlign w:val="bottom"/>
            <w:tcBorders>
              <w:bottom w:val="single" w:sz="8" w:color="BFE4FF"/>
            </w:tcBorders>
            <w:shd w:val="clear" w:color="auto" w:fill="BFE4FF"/>
          </w:tcPr>
          <w:p>
            <w:pPr>
              <w:spacing w:after="0"/>
              <w:rPr>
                <w:sz w:val="20"/>
                <w:szCs w:val="20"/>
                <w:color w:val="auto"/>
              </w:rPr>
            </w:pPr>
            <w:r>
              <w:rPr>
                <w:rFonts w:ascii="Times New Roman" w:cs="Times New Roman" w:eastAsia="Times New Roman" w:hAnsi="Times New Roman"/>
                <w:sz w:val="12"/>
                <w:szCs w:val="12"/>
                <w:color w:val="auto"/>
              </w:rPr>
              <w:t>Adjusted gross profit (a)</w:t>
            </w:r>
          </w:p>
        </w:tc>
        <w:tc>
          <w:tcPr>
            <w:tcW w:w="320" w:type="dxa"/>
            <w:vAlign w:val="bottom"/>
            <w:tcBorders>
              <w:bottom w:val="single" w:sz="8" w:color="auto"/>
            </w:tcBorders>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19,538</w:t>
            </w:r>
          </w:p>
        </w:tc>
        <w:tc>
          <w:tcPr>
            <w:tcW w:w="100" w:type="dxa"/>
            <w:vAlign w:val="bottom"/>
            <w:tcBorders>
              <w:bottom w:val="single" w:sz="8" w:color="BFE4FF"/>
            </w:tcBorders>
            <w:shd w:val="clear" w:color="auto" w:fill="BFE4FF"/>
          </w:tcPr>
          <w:p>
            <w:pPr>
              <w:spacing w:after="0"/>
              <w:rPr>
                <w:sz w:val="14"/>
                <w:szCs w:val="14"/>
                <w:color w:val="auto"/>
              </w:rPr>
            </w:pPr>
          </w:p>
        </w:tc>
        <w:tc>
          <w:tcPr>
            <w:tcW w:w="520" w:type="dxa"/>
            <w:vAlign w:val="bottom"/>
            <w:tcBorders>
              <w:bottom w:val="single" w:sz="8" w:color="auto"/>
            </w:tcBorders>
            <w:shd w:val="clear" w:color="auto" w:fill="BFE4FF"/>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BFE4FF"/>
          </w:tcPr>
          <w:p>
            <w:pPr>
              <w:jc w:val="right"/>
              <w:ind w:right="100"/>
              <w:spacing w:after="0"/>
              <w:rPr>
                <w:sz w:val="20"/>
                <w:szCs w:val="20"/>
                <w:color w:val="auto"/>
              </w:rPr>
            </w:pPr>
            <w:r>
              <w:rPr>
                <w:rFonts w:ascii="Times New Roman" w:cs="Times New Roman" w:eastAsia="Times New Roman" w:hAnsi="Times New Roman"/>
                <w:sz w:val="12"/>
                <w:szCs w:val="12"/>
                <w:color w:val="auto"/>
              </w:rPr>
              <w:t>18,565</w:t>
            </w:r>
          </w:p>
        </w:tc>
      </w:tr>
      <w:tr>
        <w:trPr>
          <w:trHeight w:val="151"/>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Adjusted gross margin (3)</w:t>
            </w: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18.8 %</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16.3 %</w:t>
            </w: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60" w:hanging="151"/>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Personnel costs include recruitment, retention, relocation, and severance costs</w:t>
      </w:r>
    </w:p>
    <w:p>
      <w:pPr>
        <w:spacing w:after="0" w:line="35" w:lineRule="exact"/>
        <w:rPr>
          <w:rFonts w:ascii="Times New Roman" w:cs="Times New Roman" w:eastAsia="Times New Roman" w:hAnsi="Times New Roman"/>
          <w:sz w:val="11"/>
          <w:szCs w:val="11"/>
          <w:color w:val="auto"/>
        </w:rPr>
      </w:pPr>
    </w:p>
    <w:p>
      <w:pPr>
        <w:ind w:left="860" w:hanging="151"/>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Facility costs include costs of opening / closing facilities and relocation / exit of manufacturing operations</w:t>
      </w:r>
    </w:p>
    <w:p>
      <w:pPr>
        <w:spacing w:after="0" w:line="116" w:lineRule="exact"/>
        <w:rPr>
          <w:rFonts w:ascii="Times New Roman" w:cs="Times New Roman" w:eastAsia="Times New Roman" w:hAnsi="Times New Roman"/>
          <w:sz w:val="11"/>
          <w:szCs w:val="11"/>
          <w:color w:val="auto"/>
        </w:rPr>
      </w:pPr>
    </w:p>
    <w:p>
      <w:pPr>
        <w:ind w:left="860" w:hanging="151"/>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adjusted gross margin = Non-GAAP adjusted gross profit / GAAP net sales</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160"/>
          </w:cols>
          <w:pgMar w:left="1440" w:top="674" w:right="29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GAAP Income (Loss) from Operations to Non-GAAP Adjusted Income (Loss) from Operations</w:t>
      </w:r>
    </w:p>
    <w:p>
      <w:pPr>
        <w:sectPr>
          <w:pgSz w:w="11900" w:h="16838" w:orient="portrait"/>
          <w:cols w:equalWidth="0" w:num="1">
            <w:col w:w="11300"/>
          </w:cols>
          <w:pgMar w:left="300" w:top="674" w:right="29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NN, Inc.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334899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loss from operations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4899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Personnel costs (1)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Facility costs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4899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Amortization of intangibles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Non-GAAP adjusted income from operations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3348990" cy="91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48990" cy="9144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Non-GAAP adjusted operating margin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334899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net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7"/>
        </w:trPr>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(2,247)</w:t>
            </w:r>
          </w:p>
        </w:tc>
        <w:tc>
          <w:tcPr>
            <w:tcW w:w="100" w:type="dxa"/>
            <w:vAlign w:val="bottom"/>
          </w:tcPr>
          <w:p>
            <w:pPr>
              <w:spacing w:after="0"/>
              <w:rPr>
                <w:sz w:val="14"/>
                <w:szCs w:val="14"/>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(3,750)</w:t>
            </w:r>
          </w:p>
        </w:tc>
      </w:tr>
      <w:tr>
        <w:trPr>
          <w:trHeight w:val="155"/>
        </w:trPr>
        <w:tc>
          <w:tcPr>
            <w:tcW w:w="24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w:t>
            </w:r>
          </w:p>
        </w:tc>
      </w:tr>
      <w:tr>
        <w:trPr>
          <w:trHeight w:val="178"/>
        </w:trPr>
        <w:tc>
          <w:tcPr>
            <w:tcW w:w="240" w:type="dxa"/>
            <w:vAlign w:val="bottom"/>
          </w:tcPr>
          <w:p>
            <w:pPr>
              <w:spacing w:after="0"/>
              <w:rPr>
                <w:sz w:val="15"/>
                <w:szCs w:val="15"/>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2,075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734</w:t>
            </w:r>
          </w:p>
        </w:tc>
      </w:tr>
      <w:tr>
        <w:trPr>
          <w:trHeight w:val="155"/>
        </w:trPr>
        <w:tc>
          <w:tcPr>
            <w:tcW w:w="24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661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874</w:t>
            </w:r>
          </w:p>
        </w:tc>
      </w:tr>
      <w:tr>
        <w:trPr>
          <w:trHeight w:val="180"/>
        </w:trPr>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3,405</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3,405</w:t>
            </w:r>
          </w:p>
        </w:tc>
      </w:tr>
      <w:tr>
        <w:trPr>
          <w:trHeight w:val="142"/>
        </w:trPr>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4,049</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1,285</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1.1 %</w:t>
            </w:r>
          </w:p>
        </w:tc>
      </w:tr>
      <w:tr>
        <w:trPr>
          <w:trHeight w:val="198"/>
        </w:trPr>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103,882</w:t>
            </w:r>
          </w:p>
        </w:tc>
        <w:tc>
          <w:tcPr>
            <w:tcW w:w="100" w:type="dxa"/>
            <w:vAlign w:val="bottom"/>
          </w:tcPr>
          <w:p>
            <w:pPr>
              <w:spacing w:after="0"/>
              <w:rPr>
                <w:sz w:val="17"/>
                <w:szCs w:val="17"/>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113,587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r>
      <w:tr>
        <w:trPr>
          <w:trHeight w:val="171"/>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Mobile Solutions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 loss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(2,854)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(1,441)</w:t>
            </w: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Personnel costs (1)</w:t>
            </w:r>
          </w:p>
        </w:tc>
        <w:tc>
          <w:tcPr>
            <w:tcW w:w="120" w:type="dxa"/>
            <w:vAlign w:val="bottom"/>
          </w:tcPr>
          <w:p>
            <w:pPr>
              <w:spacing w:after="0"/>
              <w:rPr>
                <w:sz w:val="15"/>
                <w:szCs w:val="15"/>
                <w:color w:val="auto"/>
              </w:rPr>
            </w:pP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1,681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598</w:t>
            </w:r>
          </w:p>
        </w:tc>
      </w:tr>
      <w:tr>
        <w:trPr>
          <w:trHeight w:val="15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Facility costs (2)</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661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858</w:t>
            </w:r>
          </w:p>
        </w:tc>
      </w:tr>
      <w:tr>
        <w:trPr>
          <w:trHeight w:val="180"/>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838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838</w:t>
            </w:r>
          </w:p>
        </w:tc>
      </w:tr>
      <w:tr>
        <w:trPr>
          <w:trHeight w:val="158"/>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Non-GAAP adjusted income from operations (b)</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326</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853</w:t>
            </w:r>
          </w:p>
        </w:tc>
      </w:tr>
      <w:tr>
        <w:trPr>
          <w:trHeight w:val="126"/>
        </w:trPr>
        <w:tc>
          <w:tcPr>
            <w:tcW w:w="3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5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 of net income from joint venture</w:t>
            </w: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1,979</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2,185</w:t>
            </w:r>
          </w:p>
        </w:tc>
      </w:tr>
      <w:tr>
        <w:trPr>
          <w:trHeight w:val="185"/>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Non-GAAP adjusted income from operations with JV (b)</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2,305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3,038</w:t>
            </w:r>
          </w:p>
        </w:tc>
      </w:tr>
      <w:tr>
        <w:trPr>
          <w:trHeight w:val="126"/>
        </w:trPr>
        <w:tc>
          <w:tcPr>
            <w:tcW w:w="3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Non-GAAP adjusted operating margin (3)</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4.3 %</w:t>
            </w:r>
          </w:p>
        </w:tc>
      </w:tr>
      <w:tr>
        <w:trPr>
          <w:trHeight w:val="15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59,117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70,678</w:t>
            </w:r>
          </w:p>
        </w:tc>
      </w:tr>
    </w:tbl>
    <w:p>
      <w:pPr>
        <w:spacing w:after="0" w:line="200" w:lineRule="exact"/>
        <w:rPr>
          <w:sz w:val="20"/>
          <w:szCs w:val="20"/>
          <w:color w:val="auto"/>
        </w:rPr>
      </w:pPr>
    </w:p>
    <w:p>
      <w:pPr>
        <w:sectPr>
          <w:pgSz w:w="11900" w:h="16838" w:orient="portrait"/>
          <w:cols w:equalWidth="0" w:num="3">
            <w:col w:w="2380" w:space="720"/>
            <w:col w:w="2160" w:space="640"/>
            <w:col w:w="5400"/>
          </w:cols>
          <w:pgMar w:left="300" w:top="674" w:right="29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Power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48990"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income from operations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Personnel costs (1)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Facility costs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3348990" cy="97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8990" cy="971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Amortization of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334899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Non-GAAP adjusted income from operations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3348990"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Non-GAAP adjusted operating margin (3)</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net sales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9"/>
        </w:trPr>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5,432</w:t>
            </w:r>
          </w:p>
        </w:tc>
        <w:tc>
          <w:tcPr>
            <w:tcW w:w="100" w:type="dxa"/>
            <w:vAlign w:val="bottom"/>
          </w:tcPr>
          <w:p>
            <w:pPr>
              <w:spacing w:after="0"/>
              <w:rPr>
                <w:sz w:val="14"/>
                <w:szCs w:val="14"/>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2,505</w:t>
            </w:r>
          </w:p>
        </w:tc>
      </w:tr>
      <w:tr>
        <w:trPr>
          <w:trHeight w:val="178"/>
        </w:trPr>
        <w:tc>
          <w:tcPr>
            <w:tcW w:w="240" w:type="dxa"/>
            <w:vAlign w:val="bottom"/>
          </w:tcPr>
          <w:p>
            <w:pPr>
              <w:spacing w:after="0"/>
              <w:rPr>
                <w:sz w:val="15"/>
                <w:szCs w:val="15"/>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110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113</w:t>
            </w:r>
          </w:p>
        </w:tc>
      </w:tr>
      <w:tr>
        <w:trPr>
          <w:trHeight w:val="155"/>
        </w:trPr>
        <w:tc>
          <w:tcPr>
            <w:tcW w:w="24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w:t>
            </w:r>
          </w:p>
        </w:tc>
      </w:tr>
      <w:tr>
        <w:trPr>
          <w:trHeight w:val="180"/>
        </w:trPr>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2,567</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2,567</w:t>
            </w:r>
          </w:p>
        </w:tc>
      </w:tr>
      <w:tr>
        <w:trPr>
          <w:trHeight w:val="142"/>
        </w:trPr>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8,109</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5,201</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00"/>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12.1 %</w:t>
            </w:r>
          </w:p>
        </w:tc>
      </w:tr>
      <w:tr>
        <w:trPr>
          <w:trHeight w:val="198"/>
        </w:trPr>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44,948</w:t>
            </w:r>
          </w:p>
        </w:tc>
        <w:tc>
          <w:tcPr>
            <w:tcW w:w="100" w:type="dxa"/>
            <w:vAlign w:val="bottom"/>
          </w:tcPr>
          <w:p>
            <w:pPr>
              <w:spacing w:after="0"/>
              <w:rPr>
                <w:sz w:val="17"/>
                <w:szCs w:val="17"/>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42,935</w:t>
            </w:r>
          </w:p>
        </w:tc>
      </w:tr>
    </w:tbl>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3260" w:type="dxa"/>
            <w:vAlign w:val="bottom"/>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Three Months Ended September 30,</w:t>
            </w:r>
          </w:p>
        </w:tc>
      </w:tr>
      <w:tr>
        <w:trPr>
          <w:trHeight w:val="178"/>
        </w:trPr>
        <w:tc>
          <w:tcPr>
            <w:tcW w:w="326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Elimination</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BFE4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0"/>
        </w:trPr>
        <w:tc>
          <w:tcPr>
            <w:tcW w:w="32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10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(26)</w:t>
            </w:r>
          </w:p>
        </w:tc>
      </w:tr>
    </w:tbl>
    <w:p>
      <w:pPr>
        <w:spacing w:after="0" w:line="1180" w:lineRule="exact"/>
        <w:rPr>
          <w:sz w:val="20"/>
          <w:szCs w:val="20"/>
          <w:color w:val="auto"/>
        </w:rPr>
      </w:pPr>
    </w:p>
    <w:p>
      <w:pPr>
        <w:sectPr>
          <w:pgSz w:w="11900" w:h="16838" w:orient="portrait"/>
          <w:cols w:equalWidth="0" w:num="3">
            <w:col w:w="2380" w:space="720"/>
            <w:col w:w="2160" w:space="640"/>
            <w:col w:w="5400"/>
          </w:cols>
          <w:pgMar w:left="300" w:top="674"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80" w:hanging="224"/>
        <w:spacing w:after="0"/>
        <w:tabs>
          <w:tab w:leader="none" w:pos="10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Personnel costs include recruitment, retention, relocation, and severance costs</w:t>
      </w:r>
    </w:p>
    <w:p>
      <w:pPr>
        <w:spacing w:after="0" w:line="44" w:lineRule="exact"/>
        <w:rPr>
          <w:rFonts w:ascii="Times New Roman" w:cs="Times New Roman" w:eastAsia="Times New Roman" w:hAnsi="Times New Roman"/>
          <w:sz w:val="11"/>
          <w:szCs w:val="11"/>
          <w:color w:val="auto"/>
        </w:rPr>
      </w:pPr>
    </w:p>
    <w:p>
      <w:pPr>
        <w:ind w:left="1080" w:hanging="224"/>
        <w:spacing w:after="0"/>
        <w:tabs>
          <w:tab w:leader="none" w:pos="10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Facility costs include costs of opening / closing facilities and relocation / exit of manufacturing operations</w:t>
      </w:r>
    </w:p>
    <w:p>
      <w:pPr>
        <w:spacing w:after="0" w:line="35" w:lineRule="exact"/>
        <w:rPr>
          <w:rFonts w:ascii="Times New Roman" w:cs="Times New Roman" w:eastAsia="Times New Roman" w:hAnsi="Times New Roman"/>
          <w:sz w:val="11"/>
          <w:szCs w:val="11"/>
          <w:color w:val="auto"/>
        </w:rPr>
      </w:pPr>
    </w:p>
    <w:p>
      <w:pPr>
        <w:ind w:left="1080" w:hanging="224"/>
        <w:spacing w:after="0"/>
        <w:tabs>
          <w:tab w:leader="none" w:pos="10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adjusted operating margin = Non-GAAP adjusted income (loss) from operations / GAAP net sales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300"/>
          </w:cols>
          <w:pgMar w:left="300" w:top="674" w:right="299" w:bottom="1440" w:gutter="0" w:footer="0" w:header="0"/>
          <w:type w:val="continuous"/>
        </w:sectPr>
      </w:pPr>
    </w:p>
    <w:bookmarkStart w:id="13" w:name="page14"/>
    <w:bookmarkEnd w:id="13"/>
    <w:tbl>
      <w:tblPr>
        <w:tblLayout w:type="fixed"/>
        <w:tblInd w:w="420" w:type="dxa"/>
        <w:tblCellMar>
          <w:top w:w="0" w:type="dxa"/>
          <w:left w:w="0" w:type="dxa"/>
          <w:bottom w:w="0" w:type="dxa"/>
          <w:right w:w="0" w:type="dxa"/>
        </w:tblCellMar>
      </w:tblPr>
      <w:tr>
        <w:trPr>
          <w:trHeight w:val="159"/>
        </w:trPr>
        <w:tc>
          <w:tcPr>
            <w:tcW w:w="6820" w:type="dxa"/>
            <w:vAlign w:val="bottom"/>
            <w:gridSpan w:val="4"/>
          </w:tcPr>
          <w:p>
            <w:pPr>
              <w:ind w:left="2120"/>
              <w:spacing w:after="0"/>
              <w:rPr>
                <w:sz w:val="20"/>
                <w:szCs w:val="20"/>
                <w:color w:val="auto"/>
              </w:rPr>
            </w:pPr>
            <w:r>
              <w:rPr>
                <w:rFonts w:ascii="Times New Roman" w:cs="Times New Roman" w:eastAsia="Times New Roman" w:hAnsi="Times New Roman"/>
                <w:sz w:val="12"/>
                <w:szCs w:val="12"/>
                <w:b w:val="1"/>
                <w:bCs w:val="1"/>
                <w:color w:val="auto"/>
              </w:rPr>
              <w:t>Reconciliation of GAAP Net Income (Loss) to Non-GAAP Adjusted EBITDA</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43"/>
        </w:trPr>
        <w:tc>
          <w:tcPr>
            <w:tcW w:w="5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r>
      <w:tr>
        <w:trPr>
          <w:trHeight w:val="142"/>
        </w:trPr>
        <w:tc>
          <w:tcPr>
            <w:tcW w:w="54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loss</w:t>
            </w:r>
          </w:p>
        </w:tc>
        <w:tc>
          <w:tcPr>
            <w:tcW w:w="280" w:type="dxa"/>
            <w:vAlign w:val="bottom"/>
            <w:shd w:val="clear" w:color="auto" w:fill="BFE4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60"/>
              <w:spacing w:after="0"/>
              <w:rPr>
                <w:sz w:val="20"/>
                <w:szCs w:val="20"/>
                <w:color w:val="auto"/>
              </w:rPr>
            </w:pPr>
            <w:r>
              <w:rPr>
                <w:rFonts w:ascii="Times New Roman" w:cs="Times New Roman" w:eastAsia="Times New Roman" w:hAnsi="Times New Roman"/>
                <w:sz w:val="12"/>
                <w:szCs w:val="12"/>
                <w:color w:val="auto"/>
              </w:rPr>
              <w:t>(6,679)</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40"/>
              <w:spacing w:after="0"/>
              <w:rPr>
                <w:sz w:val="20"/>
                <w:szCs w:val="20"/>
                <w:color w:val="auto"/>
              </w:rPr>
            </w:pPr>
            <w:r>
              <w:rPr>
                <w:rFonts w:ascii="Times New Roman" w:cs="Times New Roman" w:eastAsia="Times New Roman" w:hAnsi="Times New Roman"/>
                <w:sz w:val="12"/>
                <w:szCs w:val="12"/>
                <w:color w:val="auto"/>
              </w:rPr>
              <w:t>(2,557)</w:t>
            </w:r>
          </w:p>
        </w:tc>
      </w:tr>
      <w:tr>
        <w:trPr>
          <w:trHeight w:val="171"/>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28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815</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903</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expense</w:t>
            </w:r>
          </w:p>
        </w:tc>
        <w:tc>
          <w:tcPr>
            <w:tcW w:w="280" w:type="dxa"/>
            <w:vAlign w:val="bottom"/>
          </w:tcPr>
          <w:p>
            <w:pPr>
              <w:spacing w:after="0"/>
              <w:rPr>
                <w:sz w:val="13"/>
                <w:szCs w:val="13"/>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5,666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5,404</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Change in fair value of preferred stock derivatives and warrants</w:t>
            </w:r>
          </w:p>
        </w:tc>
        <w:tc>
          <w:tcPr>
            <w:tcW w:w="280" w:type="dxa"/>
            <w:vAlign w:val="bottom"/>
            <w:shd w:val="clear" w:color="auto" w:fill="BFE4FF"/>
          </w:tcPr>
          <w:p>
            <w:pPr>
              <w:spacing w:after="0"/>
              <w:rPr>
                <w:sz w:val="15"/>
                <w:szCs w:val="15"/>
                <w:color w:val="auto"/>
              </w:rPr>
            </w:pPr>
          </w:p>
        </w:tc>
        <w:tc>
          <w:tcPr>
            <w:tcW w:w="1060" w:type="dxa"/>
            <w:vAlign w:val="bottom"/>
            <w:shd w:val="clear" w:color="auto" w:fill="BFE4FF"/>
          </w:tcPr>
          <w:p>
            <w:pPr>
              <w:jc w:val="right"/>
              <w:ind w:right="60"/>
              <w:spacing w:after="0"/>
              <w:rPr>
                <w:sz w:val="20"/>
                <w:szCs w:val="20"/>
                <w:color w:val="auto"/>
              </w:rPr>
            </w:pPr>
            <w:r>
              <w:rPr>
                <w:rFonts w:ascii="Times New Roman" w:cs="Times New Roman" w:eastAsia="Times New Roman" w:hAnsi="Times New Roman"/>
                <w:sz w:val="12"/>
                <w:szCs w:val="12"/>
                <w:color w:val="auto"/>
              </w:rPr>
              <w:t>(72)</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1,858</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Gain on sale of business</w:t>
            </w:r>
          </w:p>
        </w:tc>
        <w:tc>
          <w:tcPr>
            <w:tcW w:w="2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(7,154)</w:t>
            </w: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8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9,064</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10,844</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Professional fees</w:t>
            </w:r>
          </w:p>
        </w:tc>
        <w:tc>
          <w:tcPr>
            <w:tcW w:w="280" w:type="dxa"/>
            <w:vAlign w:val="bottom"/>
          </w:tcPr>
          <w:p>
            <w:pPr>
              <w:spacing w:after="0"/>
              <w:rPr>
                <w:sz w:val="13"/>
                <w:szCs w:val="13"/>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Personnel costs (1)</w:t>
            </w:r>
          </w:p>
        </w:tc>
        <w:tc>
          <w:tcPr>
            <w:tcW w:w="280" w:type="dxa"/>
            <w:vAlign w:val="bottom"/>
            <w:shd w:val="clear" w:color="auto" w:fill="BFE4FF"/>
          </w:tcPr>
          <w:p>
            <w:pPr>
              <w:spacing w:after="0"/>
              <w:rPr>
                <w:sz w:val="15"/>
                <w:szCs w:val="15"/>
                <w:color w:val="auto"/>
              </w:rPr>
            </w:pPr>
          </w:p>
        </w:tc>
        <w:tc>
          <w:tcPr>
            <w:tcW w:w="106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2,075</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734</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Facility costs (2)</w:t>
            </w:r>
          </w:p>
        </w:tc>
        <w:tc>
          <w:tcPr>
            <w:tcW w:w="280" w:type="dxa"/>
            <w:vAlign w:val="bottom"/>
          </w:tcPr>
          <w:p>
            <w:pPr>
              <w:spacing w:after="0"/>
              <w:rPr>
                <w:sz w:val="13"/>
                <w:szCs w:val="13"/>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661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874</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Non-cash stock compensation</w:t>
            </w:r>
          </w:p>
        </w:tc>
        <w:tc>
          <w:tcPr>
            <w:tcW w:w="280" w:type="dxa"/>
            <w:vAlign w:val="bottom"/>
            <w:shd w:val="clear" w:color="auto" w:fill="BFE4FF"/>
          </w:tcPr>
          <w:p>
            <w:pPr>
              <w:spacing w:after="0"/>
              <w:rPr>
                <w:sz w:val="15"/>
                <w:szCs w:val="15"/>
                <w:color w:val="auto"/>
              </w:rPr>
            </w:pPr>
          </w:p>
        </w:tc>
        <w:tc>
          <w:tcPr>
            <w:tcW w:w="106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736</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812</w:t>
            </w:r>
          </w:p>
        </w:tc>
      </w:tr>
      <w:tr>
        <w:trPr>
          <w:trHeight w:val="180"/>
        </w:trPr>
        <w:tc>
          <w:tcPr>
            <w:tcW w:w="54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Non-cash foreign exchange loss on inter-company loans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(56)</w:t>
            </w:r>
          </w:p>
        </w:tc>
        <w:tc>
          <w:tcPr>
            <w:tcW w:w="80" w:type="dxa"/>
            <w:vAlign w:val="bottom"/>
            <w:tcBorders>
              <w:bottom w:val="single" w:sz="8" w:color="BFE4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(164)</w:t>
            </w:r>
          </w:p>
        </w:tc>
      </w:tr>
      <w:tr>
        <w:trPr>
          <w:trHeight w:val="158"/>
        </w:trPr>
        <w:tc>
          <w:tcPr>
            <w:tcW w:w="540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Non-GAAP adjusted EBITDA (c)</w:t>
            </w:r>
          </w:p>
        </w:tc>
        <w:tc>
          <w:tcPr>
            <w:tcW w:w="280" w:type="dxa"/>
            <w:vAlign w:val="bottom"/>
            <w:tcBorders>
              <w:bottom w:val="single" w:sz="8" w:color="auto"/>
            </w:tcBorders>
            <w:shd w:val="clear" w:color="auto" w:fill="BFE4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12,365</w:t>
            </w:r>
          </w:p>
        </w:tc>
        <w:tc>
          <w:tcPr>
            <w:tcW w:w="80" w:type="dxa"/>
            <w:vAlign w:val="bottom"/>
            <w:tcBorders>
              <w:bottom w:val="single" w:sz="8" w:color="BFE4FF"/>
            </w:tcBorders>
            <w:shd w:val="clear" w:color="auto" w:fill="BFE4FF"/>
          </w:tcPr>
          <w:p>
            <w:pPr>
              <w:spacing w:after="0"/>
              <w:rPr>
                <w:sz w:val="13"/>
                <w:szCs w:val="13"/>
                <w:color w:val="auto"/>
              </w:rPr>
            </w:pPr>
          </w:p>
        </w:tc>
        <w:tc>
          <w:tcPr>
            <w:tcW w:w="320" w:type="dxa"/>
            <w:vAlign w:val="bottom"/>
            <w:tcBorders>
              <w:bottom w:val="single" w:sz="8" w:color="auto"/>
            </w:tcBorders>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11,576</w:t>
            </w:r>
          </w:p>
        </w:tc>
      </w:tr>
      <w:tr>
        <w:trPr>
          <w:trHeight w:val="153"/>
        </w:trPr>
        <w:tc>
          <w:tcPr>
            <w:tcW w:w="5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Non-GAAP adjusted EBITDA margin (3)</w:t>
            </w:r>
          </w:p>
        </w:tc>
        <w:tc>
          <w:tcPr>
            <w:tcW w:w="28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11.9 %</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10.2 %</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103,882</w:t>
            </w:r>
          </w:p>
        </w:tc>
        <w:tc>
          <w:tcPr>
            <w:tcW w:w="8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113,587</w:t>
            </w:r>
          </w:p>
        </w:tc>
      </w:tr>
    </w:tbl>
    <w:p>
      <w:pPr>
        <w:spacing w:after="0" w:line="252" w:lineRule="exact"/>
        <w:rPr>
          <w:sz w:val="20"/>
          <w:szCs w:val="20"/>
          <w:color w:val="auto"/>
        </w:rPr>
      </w:pPr>
    </w:p>
    <w:p>
      <w:pPr>
        <w:ind w:left="860" w:hanging="151"/>
        <w:spacing w:after="0"/>
        <w:tabs>
          <w:tab w:leader="none" w:pos="8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Personnel costs include recruitment, retention, relocation, and severance costs</w:t>
      </w:r>
    </w:p>
    <w:p>
      <w:pPr>
        <w:spacing w:after="0" w:line="35" w:lineRule="exact"/>
        <w:rPr>
          <w:rFonts w:ascii="Times New Roman" w:cs="Times New Roman" w:eastAsia="Times New Roman" w:hAnsi="Times New Roman"/>
          <w:sz w:val="11"/>
          <w:szCs w:val="11"/>
          <w:color w:val="auto"/>
        </w:rPr>
      </w:pPr>
    </w:p>
    <w:p>
      <w:pPr>
        <w:ind w:left="860" w:hanging="151"/>
        <w:spacing w:after="0"/>
        <w:tabs>
          <w:tab w:leader="none" w:pos="8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Facility costs include costs of opening / closing facilities and relocation / exit of manufacturing operations</w:t>
      </w:r>
    </w:p>
    <w:p>
      <w:pPr>
        <w:spacing w:after="0" w:line="116" w:lineRule="exact"/>
        <w:rPr>
          <w:rFonts w:ascii="Times New Roman" w:cs="Times New Roman" w:eastAsia="Times New Roman" w:hAnsi="Times New Roman"/>
          <w:sz w:val="11"/>
          <w:szCs w:val="11"/>
          <w:color w:val="auto"/>
        </w:rPr>
      </w:pPr>
    </w:p>
    <w:p>
      <w:pPr>
        <w:ind w:left="860" w:hanging="151"/>
        <w:spacing w:after="0"/>
        <w:tabs>
          <w:tab w:leader="none" w:pos="8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adjusted EBITDA margin = Non-GAAP adjusted EBITDA / GAAP net sales</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0160"/>
          </w:cols>
          <w:pgMar w:left="1440" w:top="674"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b w:val="1"/>
          <w:bCs w:val="1"/>
          <w:color w:val="auto"/>
        </w:rPr>
        <w:t>Reconciliation of GAAP Net Income (Loss) to Non-GAAP Adjusted Net Income and GAAP Net Income (Loss) per Diluted Common Share to Non-GAAP Adjusted Net Income (Loss) per Diluted Common Share</w:t>
      </w:r>
    </w:p>
    <w:p>
      <w:pPr>
        <w:spacing w:after="0" w:line="339"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65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r>
      <w:tr>
        <w:trPr>
          <w:trHeight w:val="142"/>
        </w:trPr>
        <w:tc>
          <w:tcPr>
            <w:tcW w:w="65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4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0"/>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loss</w:t>
            </w:r>
          </w:p>
        </w:tc>
        <w:tc>
          <w:tcPr>
            <w:tcW w:w="280" w:type="dxa"/>
            <w:vAlign w:val="bottom"/>
            <w:shd w:val="clear" w:color="auto" w:fill="BFE4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(6,679)</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(2,557)</w:t>
            </w:r>
          </w:p>
        </w:tc>
      </w:tr>
      <w:tr>
        <w:trPr>
          <w:trHeight w:val="180"/>
        </w:trPr>
        <w:tc>
          <w:tcPr>
            <w:tcW w:w="6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professional fees</w:t>
            </w:r>
          </w:p>
        </w:tc>
        <w:tc>
          <w:tcPr>
            <w:tcW w:w="280" w:type="dxa"/>
            <w:vAlign w:val="bottom"/>
            <w:shd w:val="clear" w:color="auto" w:fill="BFE4FF"/>
          </w:tcPr>
          <w:p>
            <w:pPr>
              <w:spacing w:after="0"/>
              <w:rPr>
                <w:sz w:val="13"/>
                <w:szCs w:val="13"/>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22</w:t>
            </w: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personnel costs</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734</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facility costs</w:t>
            </w:r>
          </w:p>
        </w:tc>
        <w:tc>
          <w:tcPr>
            <w:tcW w:w="280" w:type="dxa"/>
            <w:vAlign w:val="bottom"/>
            <w:shd w:val="clear" w:color="auto" w:fill="BFE4FF"/>
          </w:tcPr>
          <w:p>
            <w:pPr>
              <w:spacing w:after="0"/>
              <w:rPr>
                <w:sz w:val="13"/>
                <w:szCs w:val="13"/>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661</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874</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foreign exchange (gain) loss on inter-company loans</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change in fair value of preferred stock derivatives and warrants</w:t>
            </w:r>
          </w:p>
        </w:tc>
        <w:tc>
          <w:tcPr>
            <w:tcW w:w="280" w:type="dxa"/>
            <w:vAlign w:val="bottom"/>
            <w:shd w:val="clear" w:color="auto" w:fill="BFE4FF"/>
          </w:tcPr>
          <w:p>
            <w:pPr>
              <w:spacing w:after="0"/>
              <w:rPr>
                <w:sz w:val="13"/>
                <w:szCs w:val="13"/>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1,858</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change in gain on sale of business</w:t>
            </w:r>
          </w:p>
        </w:tc>
        <w:tc>
          <w:tcPr>
            <w:tcW w:w="280" w:type="dxa"/>
            <w:vAlign w:val="bottom"/>
          </w:tcPr>
          <w:p>
            <w:pPr>
              <w:spacing w:after="0"/>
              <w:rPr>
                <w:sz w:val="13"/>
                <w:szCs w:val="1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(7,154)</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amortization of intangibles and deferred financing costs</w:t>
            </w:r>
          </w:p>
        </w:tc>
        <w:tc>
          <w:tcPr>
            <w:tcW w:w="280" w:type="dxa"/>
            <w:vAlign w:val="bottom"/>
            <w:shd w:val="clear" w:color="auto" w:fill="BFE4FF"/>
          </w:tcPr>
          <w:p>
            <w:pPr>
              <w:spacing w:after="0"/>
              <w:rPr>
                <w:sz w:val="13"/>
                <w:szCs w:val="13"/>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3,637</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4,018</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Tax effect of adjustments reflected above (d)</w:t>
            </w:r>
          </w:p>
        </w:tc>
        <w:tc>
          <w:tcPr>
            <w:tcW w:w="280" w:type="dxa"/>
            <w:vAlign w:val="bottom"/>
          </w:tcPr>
          <w:p>
            <w:pPr>
              <w:spacing w:after="0"/>
              <w:rPr>
                <w:sz w:val="13"/>
                <w:szCs w:val="1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w:t>
            </w:r>
          </w:p>
        </w:tc>
      </w:tr>
      <w:tr>
        <w:trPr>
          <w:trHeight w:val="158"/>
        </w:trPr>
        <w:tc>
          <w:tcPr>
            <w:tcW w:w="652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Non-GAAP adjusted net income (loss) (e)</w:t>
            </w:r>
          </w:p>
        </w:tc>
        <w:tc>
          <w:tcPr>
            <w:tcW w:w="280" w:type="dxa"/>
            <w:vAlign w:val="bottom"/>
            <w:tcBorders>
              <w:top w:val="single" w:sz="8" w:color="auto"/>
              <w:bottom w:val="single" w:sz="8" w:color="auto"/>
            </w:tcBorders>
            <w:shd w:val="clear" w:color="auto" w:fill="BFE4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140" w:type="dxa"/>
            <w:vAlign w:val="bottom"/>
            <w:tcBorders>
              <w:top w:val="single" w:sz="8" w:color="BFE4FF"/>
              <w:bottom w:val="single" w:sz="8" w:color="auto"/>
            </w:tcBorders>
            <w:shd w:val="clear" w:color="auto" w:fill="BFE4FF"/>
          </w:tcPr>
          <w:p>
            <w:pPr>
              <w:spacing w:after="0"/>
              <w:rPr>
                <w:sz w:val="13"/>
                <w:szCs w:val="13"/>
                <w:color w:val="auto"/>
              </w:rPr>
            </w:pPr>
          </w:p>
        </w:tc>
        <w:tc>
          <w:tcPr>
            <w:tcW w:w="320" w:type="dxa"/>
            <w:vAlign w:val="bottom"/>
            <w:tcBorders>
              <w:top w:val="single" w:sz="8" w:color="auto"/>
              <w:bottom w:val="single" w:sz="8" w:color="auto"/>
            </w:tcBorders>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(2,482)</w:t>
            </w:r>
          </w:p>
        </w:tc>
      </w:tr>
      <w:tr>
        <w:trPr>
          <w:trHeight w:val="315"/>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r>
      <w:tr>
        <w:trPr>
          <w:trHeight w:val="142"/>
        </w:trPr>
        <w:tc>
          <w:tcPr>
            <w:tcW w:w="65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(per diluted common share)</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4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0"/>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loss per diluted common share</w:t>
            </w:r>
          </w:p>
        </w:tc>
        <w:tc>
          <w:tcPr>
            <w:tcW w:w="280" w:type="dxa"/>
            <w:vAlign w:val="bottom"/>
            <w:shd w:val="clear" w:color="auto" w:fill="BFE4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(0.24)</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(0.13)</w:t>
            </w:r>
          </w:p>
        </w:tc>
      </w:tr>
      <w:tr>
        <w:trPr>
          <w:trHeight w:val="180"/>
        </w:trPr>
        <w:tc>
          <w:tcPr>
            <w:tcW w:w="6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professional fees</w:t>
            </w:r>
          </w:p>
        </w:tc>
        <w:tc>
          <w:tcPr>
            <w:tcW w:w="280" w:type="dxa"/>
            <w:vAlign w:val="bottom"/>
            <w:shd w:val="clear" w:color="auto" w:fill="BFE4FF"/>
          </w:tcPr>
          <w:p>
            <w:pPr>
              <w:spacing w:after="0"/>
              <w:rPr>
                <w:sz w:val="13"/>
                <w:szCs w:val="13"/>
                <w:color w:val="auto"/>
              </w:rPr>
            </w:pPr>
          </w:p>
        </w:tc>
        <w:tc>
          <w:tcPr>
            <w:tcW w:w="122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personnel costs</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80"/>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facility costs</w:t>
            </w:r>
          </w:p>
        </w:tc>
        <w:tc>
          <w:tcPr>
            <w:tcW w:w="28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14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0.02</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foreign exchange (gain) loss on inter-company loans</w:t>
            </w:r>
          </w:p>
        </w:tc>
        <w:tc>
          <w:tcPr>
            <w:tcW w:w="280" w:type="dxa"/>
            <w:vAlign w:val="bottom"/>
          </w:tcPr>
          <w:p>
            <w:pPr>
              <w:spacing w:after="0"/>
              <w:rPr>
                <w:sz w:val="13"/>
                <w:szCs w:val="1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change in fair value of preferred stock derivatives and warrants</w:t>
            </w:r>
          </w:p>
        </w:tc>
        <w:tc>
          <w:tcPr>
            <w:tcW w:w="280" w:type="dxa"/>
            <w:vAlign w:val="bottom"/>
            <w:shd w:val="clear" w:color="auto" w:fill="BFE4FF"/>
          </w:tcPr>
          <w:p>
            <w:pPr>
              <w:spacing w:after="0"/>
              <w:rPr>
                <w:sz w:val="13"/>
                <w:szCs w:val="13"/>
                <w:color w:val="auto"/>
              </w:rPr>
            </w:pPr>
          </w:p>
        </w:tc>
        <w:tc>
          <w:tcPr>
            <w:tcW w:w="122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0.04</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change in gain on sale of business</w:t>
            </w:r>
          </w:p>
        </w:tc>
        <w:tc>
          <w:tcPr>
            <w:tcW w:w="280" w:type="dxa"/>
            <w:vAlign w:val="bottom"/>
          </w:tcPr>
          <w:p>
            <w:pPr>
              <w:spacing w:after="0"/>
              <w:rPr>
                <w:sz w:val="13"/>
                <w:szCs w:val="1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(0.15)</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amortization of intangibles and deferred financing costs</w:t>
            </w:r>
          </w:p>
        </w:tc>
        <w:tc>
          <w:tcPr>
            <w:tcW w:w="280" w:type="dxa"/>
            <w:vAlign w:val="bottom"/>
            <w:shd w:val="clear" w:color="auto" w:fill="BFE4FF"/>
          </w:tcPr>
          <w:p>
            <w:pPr>
              <w:spacing w:after="0"/>
              <w:rPr>
                <w:sz w:val="13"/>
                <w:szCs w:val="13"/>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0.08</w:t>
            </w:r>
          </w:p>
        </w:tc>
      </w:tr>
      <w:tr>
        <w:trPr>
          <w:trHeight w:val="153"/>
        </w:trPr>
        <w:tc>
          <w:tcPr>
            <w:tcW w:w="65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Preferred stock cumulative dividends and deemed dividends</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0.10</w:t>
            </w:r>
          </w:p>
        </w:tc>
        <w:tc>
          <w:tcPr>
            <w:tcW w:w="140" w:type="dxa"/>
            <w:vAlign w:val="bottom"/>
            <w:tcBorders>
              <w:bottom w:val="single" w:sz="8" w:color="BFE4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0.08</w:t>
            </w:r>
          </w:p>
        </w:tc>
      </w:tr>
      <w:tr>
        <w:trPr>
          <w:trHeight w:val="162"/>
        </w:trPr>
        <w:tc>
          <w:tcPr>
            <w:tcW w:w="652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Non-GAAP adjusted net income (loss) per diluted common share (e)</w:t>
            </w:r>
          </w:p>
        </w:tc>
        <w:tc>
          <w:tcPr>
            <w:tcW w:w="280" w:type="dxa"/>
            <w:vAlign w:val="bottom"/>
            <w:tcBorders>
              <w:bottom w:val="single" w:sz="8" w:color="auto"/>
            </w:tcBorders>
            <w:shd w:val="clear" w:color="auto" w:fill="BFE4FF"/>
          </w:tcPr>
          <w:p>
            <w:pPr>
              <w:spacing w:after="0"/>
              <w:rPr>
                <w:sz w:val="14"/>
                <w:szCs w:val="14"/>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140" w:type="dxa"/>
            <w:vAlign w:val="bottom"/>
            <w:tcBorders>
              <w:bottom w:val="single" w:sz="8" w:color="BFE4FF"/>
            </w:tcBorders>
            <w:shd w:val="clear" w:color="auto" w:fill="BFE4FF"/>
          </w:tcPr>
          <w:p>
            <w:pPr>
              <w:spacing w:after="0"/>
              <w:rPr>
                <w:sz w:val="14"/>
                <w:szCs w:val="14"/>
                <w:color w:val="auto"/>
              </w:rPr>
            </w:pPr>
          </w:p>
        </w:tc>
        <w:tc>
          <w:tcPr>
            <w:tcW w:w="320" w:type="dxa"/>
            <w:vAlign w:val="bottom"/>
            <w:tcBorders>
              <w:bottom w:val="single" w:sz="8" w:color="auto"/>
            </w:tcBorders>
            <w:shd w:val="clear" w:color="auto" w:fill="BFE4FF"/>
          </w:tcPr>
          <w:p>
            <w:pPr>
              <w:spacing w:after="0"/>
              <w:rPr>
                <w:sz w:val="14"/>
                <w:szCs w:val="14"/>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$(0.05)</w:t>
            </w:r>
          </w:p>
        </w:tc>
      </w:tr>
      <w:tr>
        <w:trPr>
          <w:trHeight w:val="151"/>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Shares used to calculate net earnings (loss) per share</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49,605</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020"/>
          </w:cols>
          <w:pgMar w:left="580" w:top="674" w:right="299" w:bottom="1440" w:gutter="0" w:footer="0" w:header="0"/>
        </w:sectPr>
      </w:pPr>
    </w:p>
    <w:bookmarkStart w:id="15" w:name="page16"/>
    <w:bookmarkEnd w:id="15"/>
    <w:tbl>
      <w:tblPr>
        <w:tblLayout w:type="fixed"/>
        <w:tblInd w:w="700" w:type="dxa"/>
        <w:tblCellMar>
          <w:top w:w="0" w:type="dxa"/>
          <w:left w:w="0" w:type="dxa"/>
          <w:bottom w:w="0" w:type="dxa"/>
          <w:right w:w="0" w:type="dxa"/>
        </w:tblCellMar>
      </w:tblPr>
      <w:tr>
        <w:trPr>
          <w:trHeight w:val="159"/>
        </w:trPr>
        <w:tc>
          <w:tcPr>
            <w:tcW w:w="2320" w:type="dxa"/>
            <w:vAlign w:val="bottom"/>
          </w:tcPr>
          <w:p>
            <w:pPr>
              <w:spacing w:after="0"/>
              <w:rPr>
                <w:sz w:val="13"/>
                <w:szCs w:val="13"/>
                <w:color w:val="auto"/>
              </w:rPr>
            </w:pPr>
          </w:p>
        </w:tc>
        <w:tc>
          <w:tcPr>
            <w:tcW w:w="308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w w:val="99"/>
              </w:rPr>
              <w:t>Reconciliation of Operating Cash Flow to Free Cash Flow</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4"/>
        </w:trPr>
        <w:tc>
          <w:tcPr>
            <w:tcW w:w="23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780" w:type="dxa"/>
            <w:vAlign w:val="bottom"/>
          </w:tcPr>
          <w:p>
            <w:pPr>
              <w:spacing w:after="0"/>
              <w:rPr>
                <w:sz w:val="12"/>
                <w:szCs w:val="12"/>
                <w:color w:val="auto"/>
              </w:rPr>
            </w:pPr>
          </w:p>
        </w:tc>
      </w:tr>
      <w:tr>
        <w:trPr>
          <w:trHeight w:val="159"/>
        </w:trPr>
        <w:tc>
          <w:tcPr>
            <w:tcW w:w="23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780" w:type="dxa"/>
            <w:vAlign w:val="bottom"/>
            <w:tcBorders>
              <w:bottom w:val="single" w:sz="8" w:color="auto"/>
            </w:tcBorders>
          </w:tcPr>
          <w:p>
            <w:pPr>
              <w:spacing w:after="0"/>
              <w:rPr>
                <w:sz w:val="13"/>
                <w:szCs w:val="13"/>
                <w:color w:val="auto"/>
              </w:rPr>
            </w:pPr>
          </w:p>
        </w:tc>
      </w:tr>
      <w:tr>
        <w:trPr>
          <w:trHeight w:val="145"/>
        </w:trPr>
        <w:tc>
          <w:tcPr>
            <w:tcW w:w="232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2680" w:type="dxa"/>
            <w:vAlign w:val="bottom"/>
            <w:tcBorders>
              <w:bottom w:val="single" w:sz="8" w:color="BFE4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w w:val="99"/>
              </w:rPr>
              <w:t>2024</w:t>
            </w:r>
          </w:p>
        </w:tc>
      </w:tr>
      <w:tr>
        <w:trPr>
          <w:trHeight w:val="142"/>
        </w:trPr>
        <w:tc>
          <w:tcPr>
            <w:tcW w:w="232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2680" w:type="dxa"/>
            <w:vAlign w:val="bottom"/>
            <w:shd w:val="clear" w:color="auto" w:fill="BFE4FF"/>
          </w:tcPr>
          <w:p>
            <w:pPr>
              <w:spacing w:after="0"/>
              <w:rPr>
                <w:sz w:val="12"/>
                <w:szCs w:val="12"/>
                <w:color w:val="auto"/>
              </w:rPr>
            </w:pPr>
          </w:p>
        </w:tc>
        <w:tc>
          <w:tcPr>
            <w:tcW w:w="400" w:type="dxa"/>
            <w:vAlign w:val="bottom"/>
            <w:shd w:val="clear" w:color="auto" w:fill="BFE4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11,125</w:t>
            </w:r>
          </w:p>
        </w:tc>
        <w:tc>
          <w:tcPr>
            <w:tcW w:w="100" w:type="dxa"/>
            <w:vAlign w:val="bottom"/>
            <w:shd w:val="clear" w:color="auto" w:fill="BFE4FF"/>
          </w:tcPr>
          <w:p>
            <w:pPr>
              <w:spacing w:after="0"/>
              <w:rPr>
                <w:sz w:val="12"/>
                <w:szCs w:val="12"/>
                <w:color w:val="auto"/>
              </w:rPr>
            </w:pPr>
          </w:p>
        </w:tc>
        <w:tc>
          <w:tcPr>
            <w:tcW w:w="480" w:type="dxa"/>
            <w:vAlign w:val="bottom"/>
            <w:shd w:val="clear" w:color="auto" w:fill="BFE4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4,958</w:t>
            </w:r>
          </w:p>
        </w:tc>
      </w:tr>
      <w:tr>
        <w:trPr>
          <w:trHeight w:val="153"/>
        </w:trPr>
        <w:tc>
          <w:tcPr>
            <w:tcW w:w="2320" w:type="dxa"/>
            <w:vAlign w:val="bottom"/>
          </w:tcPr>
          <w:p>
            <w:pPr>
              <w:spacing w:after="0"/>
              <w:rPr>
                <w:sz w:val="20"/>
                <w:szCs w:val="20"/>
                <w:color w:val="auto"/>
              </w:rPr>
            </w:pPr>
            <w:r>
              <w:rPr>
                <w:rFonts w:ascii="Times New Roman" w:cs="Times New Roman" w:eastAsia="Times New Roman" w:hAnsi="Times New Roman"/>
                <w:sz w:val="12"/>
                <w:szCs w:val="12"/>
                <w:color w:val="auto"/>
              </w:rPr>
              <w:t>Acquisition of property, plant, and equipment</w:t>
            </w:r>
          </w:p>
        </w:tc>
        <w:tc>
          <w:tcPr>
            <w:tcW w:w="2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(6,300)</w:t>
            </w:r>
          </w:p>
        </w:tc>
      </w:tr>
      <w:tr>
        <w:trPr>
          <w:trHeight w:val="153"/>
        </w:trPr>
        <w:tc>
          <w:tcPr>
            <w:tcW w:w="5400" w:type="dxa"/>
            <w:vAlign w:val="bottom"/>
            <w:gridSpan w:val="3"/>
            <w:shd w:val="clear" w:color="auto" w:fill="BFE4FF"/>
          </w:tcPr>
          <w:p>
            <w:pPr>
              <w:spacing w:after="0"/>
              <w:rPr>
                <w:sz w:val="20"/>
                <w:szCs w:val="20"/>
                <w:color w:val="auto"/>
              </w:rPr>
            </w:pPr>
            <w:r>
              <w:rPr>
                <w:rFonts w:ascii="Times New Roman" w:cs="Times New Roman" w:eastAsia="Times New Roman" w:hAnsi="Times New Roman"/>
                <w:sz w:val="12"/>
                <w:szCs w:val="12"/>
                <w:color w:val="auto"/>
              </w:rPr>
              <w:t>Proceeds from sale of property, plant, and equipment</w:t>
            </w: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1,387</w:t>
            </w:r>
          </w:p>
        </w:tc>
        <w:tc>
          <w:tcPr>
            <w:tcW w:w="100" w:type="dxa"/>
            <w:vAlign w:val="bottom"/>
            <w:shd w:val="clear" w:color="auto" w:fill="BFE4FF"/>
          </w:tcPr>
          <w:p>
            <w:pPr>
              <w:spacing w:after="0"/>
              <w:rPr>
                <w:sz w:val="13"/>
                <w:szCs w:val="13"/>
                <w:color w:val="auto"/>
              </w:rPr>
            </w:pPr>
          </w:p>
        </w:tc>
        <w:tc>
          <w:tcPr>
            <w:tcW w:w="480" w:type="dxa"/>
            <w:vAlign w:val="bottom"/>
            <w:shd w:val="clear" w:color="auto" w:fill="BFE4FF"/>
          </w:tcPr>
          <w:p>
            <w:pPr>
              <w:spacing w:after="0"/>
              <w:rPr>
                <w:sz w:val="13"/>
                <w:szCs w:val="13"/>
                <w:color w:val="auto"/>
              </w:rPr>
            </w:pPr>
          </w:p>
        </w:tc>
        <w:tc>
          <w:tcPr>
            <w:tcW w:w="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53"/>
        </w:trPr>
        <w:tc>
          <w:tcPr>
            <w:tcW w:w="232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sale-leaseback of equipment</w:t>
            </w:r>
          </w:p>
        </w:tc>
        <w:tc>
          <w:tcPr>
            <w:tcW w:w="2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232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w w:val="99"/>
              </w:rPr>
              <w:t>Transaction costs incurred from sale of business</w:t>
            </w:r>
          </w:p>
        </w:tc>
        <w:tc>
          <w:tcPr>
            <w:tcW w:w="2680" w:type="dxa"/>
            <w:vAlign w:val="bottom"/>
            <w:shd w:val="clear" w:color="auto" w:fill="BFE4FF"/>
          </w:tcPr>
          <w:p>
            <w:pPr>
              <w:spacing w:after="0"/>
              <w:rPr>
                <w:sz w:val="13"/>
                <w:szCs w:val="13"/>
                <w:color w:val="auto"/>
              </w:rPr>
            </w:pPr>
          </w:p>
        </w:tc>
        <w:tc>
          <w:tcPr>
            <w:tcW w:w="400" w:type="dxa"/>
            <w:vAlign w:val="bottom"/>
            <w:shd w:val="clear" w:color="auto" w:fill="BFE4FF"/>
          </w:tcPr>
          <w:p>
            <w:pPr>
              <w:spacing w:after="0"/>
              <w:rPr>
                <w:sz w:val="13"/>
                <w:szCs w:val="13"/>
                <w:color w:val="auto"/>
              </w:rPr>
            </w:pPr>
          </w:p>
        </w:tc>
        <w:tc>
          <w:tcPr>
            <w:tcW w:w="96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BFE4FF"/>
          </w:tcPr>
          <w:p>
            <w:pPr>
              <w:spacing w:after="0"/>
              <w:rPr>
                <w:sz w:val="13"/>
                <w:szCs w:val="13"/>
                <w:color w:val="auto"/>
              </w:rPr>
            </w:pPr>
          </w:p>
        </w:tc>
        <w:tc>
          <w:tcPr>
            <w:tcW w:w="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1,566</w:t>
            </w:r>
          </w:p>
        </w:tc>
      </w:tr>
      <w:tr>
        <w:trPr>
          <w:trHeight w:val="142"/>
        </w:trPr>
        <w:tc>
          <w:tcPr>
            <w:tcW w:w="2320" w:type="dxa"/>
            <w:vAlign w:val="bottom"/>
          </w:tcPr>
          <w:p>
            <w:pPr>
              <w:spacing w:after="0"/>
              <w:rPr>
                <w:sz w:val="20"/>
                <w:szCs w:val="20"/>
                <w:color w:val="auto"/>
              </w:rPr>
            </w:pPr>
            <w:r>
              <w:rPr>
                <w:rFonts w:ascii="Times New Roman" w:cs="Times New Roman" w:eastAsia="Times New Roman" w:hAnsi="Times New Roman"/>
                <w:sz w:val="12"/>
                <w:szCs w:val="12"/>
                <w:color w:val="auto"/>
              </w:rPr>
              <w:t>Free cash flow</w:t>
            </w:r>
          </w:p>
        </w:tc>
        <w:tc>
          <w:tcPr>
            <w:tcW w:w="26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9,127</w:t>
            </w:r>
          </w:p>
        </w:tc>
        <w:tc>
          <w:tcPr>
            <w:tcW w:w="1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253</w:t>
            </w:r>
          </w:p>
        </w:tc>
      </w:tr>
      <w:tr>
        <w:trPr>
          <w:trHeight w:val="20"/>
        </w:trPr>
        <w:tc>
          <w:tcPr>
            <w:tcW w:w="2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0160"/>
          </w:cols>
          <w:pgMar w:left="1440" w:top="872" w:right="299" w:bottom="1440" w:gutter="0" w:footer="0" w:header="0"/>
        </w:sectPr>
      </w:pPr>
    </w:p>
    <w:bookmarkStart w:id="16" w:name="page17"/>
    <w:bookmarkEnd w:id="16"/>
    <w:p>
      <w:pPr>
        <w:ind w:left="8"/>
        <w:spacing w:after="0" w:line="260" w:lineRule="auto"/>
        <w:rPr>
          <w:sz w:val="20"/>
          <w:szCs w:val="20"/>
          <w:color w:val="auto"/>
        </w:rPr>
      </w:pPr>
      <w:r>
        <w:rPr>
          <w:rFonts w:ascii="Arial" w:cs="Arial" w:eastAsia="Arial" w:hAnsi="Arial"/>
          <w:sz w:val="11"/>
          <w:szCs w:val="11"/>
          <w:i w:val="1"/>
          <w:iCs w:val="1"/>
          <w:color w:val="auto"/>
        </w:rPr>
        <w:t>The Company discloses in this presentation the non-GAAP financial measures of adjusted income (loss) from operations, adjusted EBITDA, adjusted net income (loss), adjusted net income (loss) per diluted common share, and free cash flow. Each of these non-GAAP financial measures provides supplementary information about the impacts of acquisition, divestiture and integration related expenses, foreign-exchange impacts on inter-company loans, reorganizational and impairment charges. The costs we incur in completing acquisitions, including the amortization of intangibles and deferred financing costs, and divestitures are excluded from these measures because their size and inconsistent frequency are unrelated to our commercial performance during the period, and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(loss) from operations, adjusted EBITDA, adjusted net income (loss), adjusted net income (loss) per diluted common share, and free cash flow provides useful information in assessing our underlying business trends and facilitates comparison of our long-term performance over given periods.</w:t>
      </w:r>
    </w:p>
    <w:p>
      <w:pPr>
        <w:spacing w:after="0" w:line="112" w:lineRule="exact"/>
        <w:rPr>
          <w:sz w:val="20"/>
          <w:szCs w:val="20"/>
          <w:color w:val="auto"/>
        </w:rPr>
      </w:pPr>
    </w:p>
    <w:p>
      <w:pPr>
        <w:ind w:left="8" w:right="200"/>
        <w:spacing w:after="0" w:line="270" w:lineRule="auto"/>
        <w:rPr>
          <w:sz w:val="20"/>
          <w:szCs w:val="20"/>
          <w:color w:val="auto"/>
        </w:rPr>
      </w:pPr>
      <w:r>
        <w:rPr>
          <w:rFonts w:ascii="Arial" w:cs="Arial" w:eastAsia="Arial" w:hAnsi="Arial"/>
          <w:sz w:val="11"/>
          <w:szCs w:val="11"/>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95" w:lineRule="exact"/>
        <w:rPr>
          <w:sz w:val="20"/>
          <w:szCs w:val="20"/>
          <w:color w:val="auto"/>
        </w:rPr>
      </w:pPr>
    </w:p>
    <w:p>
      <w:pPr>
        <w:ind w:left="8" w:right="300" w:hanging="8"/>
        <w:spacing w:after="0" w:line="309" w:lineRule="auto"/>
        <w:tabs>
          <w:tab w:leader="none" w:pos="170" w:val="left"/>
        </w:tabs>
        <w:numPr>
          <w:ilvl w:val="0"/>
          <w:numId w:val="12"/>
        </w:numPr>
        <w:rPr>
          <w:rFonts w:ascii="Arial" w:cs="Arial" w:eastAsia="Arial" w:hAnsi="Arial"/>
          <w:sz w:val="10"/>
          <w:szCs w:val="10"/>
          <w:i w:val="1"/>
          <w:iCs w:val="1"/>
          <w:color w:val="auto"/>
        </w:rPr>
      </w:pPr>
      <w:r>
        <w:rPr>
          <w:rFonts w:ascii="Arial" w:cs="Arial" w:eastAsia="Arial" w:hAnsi="Arial"/>
          <w:sz w:val="10"/>
          <w:szCs w:val="10"/>
          <w:i w:val="1"/>
          <w:iCs w:val="1"/>
          <w:color w:val="auto"/>
        </w:rPr>
        <w:t>Non-GAAP adjusted gross margin represents GAAP gross profit, adjusted to exclude the effects of restructuring and integration expense and non-operational charges related to acquisition and transition expense.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gross margin is not a measure of financial performance under GAAP and should not be considered as a measure of liquidity or as an alternative to GAAP gross margin.</w:t>
      </w:r>
    </w:p>
    <w:p>
      <w:pPr>
        <w:spacing w:after="0" w:line="77" w:lineRule="exact"/>
        <w:rPr>
          <w:rFonts w:ascii="Arial" w:cs="Arial" w:eastAsia="Arial" w:hAnsi="Arial"/>
          <w:sz w:val="10"/>
          <w:szCs w:val="10"/>
          <w:i w:val="1"/>
          <w:iCs w:val="1"/>
          <w:color w:val="auto"/>
        </w:rPr>
      </w:pPr>
    </w:p>
    <w:p>
      <w:pPr>
        <w:ind w:left="8" w:right="20" w:hanging="8"/>
        <w:spacing w:after="0" w:line="300" w:lineRule="auto"/>
        <w:tabs>
          <w:tab w:leader="none" w:pos="170" w:val="left"/>
        </w:tabs>
        <w:numPr>
          <w:ilvl w:val="0"/>
          <w:numId w:val="12"/>
        </w:numPr>
        <w:rPr>
          <w:rFonts w:ascii="Arial" w:cs="Arial" w:eastAsia="Arial" w:hAnsi="Arial"/>
          <w:sz w:val="10"/>
          <w:szCs w:val="10"/>
          <w:i w:val="1"/>
          <w:iCs w:val="1"/>
          <w:color w:val="auto"/>
        </w:rPr>
      </w:pPr>
      <w:r>
        <w:rPr>
          <w:rFonts w:ascii="Arial" w:cs="Arial" w:eastAsia="Arial" w:hAnsi="Arial"/>
          <w:sz w:val="10"/>
          <w:szCs w:val="10"/>
          <w:i w:val="1"/>
          <w:iCs w:val="1"/>
          <w:color w:val="auto"/>
        </w:rPr>
        <w:t>Non-GAAP adjusted income (loss) from operations represents GAAP income (loss)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operations is not a measure of financial performance under GAAP and should not be considered as a measure of liquidity or as an alternative to GAAP income (loss) from operations.</w:t>
      </w:r>
    </w:p>
    <w:p>
      <w:pPr>
        <w:spacing w:after="0" w:line="91" w:lineRule="exact"/>
        <w:rPr>
          <w:rFonts w:ascii="Arial" w:cs="Arial" w:eastAsia="Arial" w:hAnsi="Arial"/>
          <w:sz w:val="10"/>
          <w:szCs w:val="10"/>
          <w:i w:val="1"/>
          <w:iCs w:val="1"/>
          <w:color w:val="auto"/>
        </w:rPr>
      </w:pPr>
    </w:p>
    <w:p>
      <w:pPr>
        <w:ind w:left="8" w:right="120" w:hanging="8"/>
        <w:spacing w:after="0" w:line="261" w:lineRule="auto"/>
        <w:tabs>
          <w:tab w:leader="none" w:pos="164" w:val="left"/>
        </w:tabs>
        <w:numPr>
          <w:ilvl w:val="0"/>
          <w:numId w:val="12"/>
        </w:numPr>
        <w:rPr>
          <w:rFonts w:ascii="Arial" w:cs="Arial" w:eastAsia="Arial" w:hAnsi="Arial"/>
          <w:sz w:val="11"/>
          <w:szCs w:val="11"/>
          <w:i w:val="1"/>
          <w:iCs w:val="1"/>
          <w:color w:val="auto"/>
        </w:rPr>
      </w:pPr>
      <w:r>
        <w:rPr>
          <w:rFonts w:ascii="Arial" w:cs="Arial" w:eastAsia="Arial" w:hAnsi="Arial"/>
          <w:sz w:val="11"/>
          <w:szCs w:val="11"/>
          <w:i w:val="1"/>
          <w:iCs w:val="1"/>
          <w:color w:val="auto"/>
        </w:rPr>
        <w:t>Non-GAAP adjusted EBITDA represents GAAP net income (loss), adjusted to include income taxes, interest expense, write-off of unamortized debt issuance costs, interest rate swap payments and change in fair value that was recognized in earnings,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spacing w:after="0" w:line="101" w:lineRule="exact"/>
        <w:rPr>
          <w:rFonts w:ascii="Arial" w:cs="Arial" w:eastAsia="Arial" w:hAnsi="Arial"/>
          <w:sz w:val="11"/>
          <w:szCs w:val="11"/>
          <w:i w:val="1"/>
          <w:iCs w:val="1"/>
          <w:color w:val="auto"/>
        </w:rPr>
      </w:pPr>
    </w:p>
    <w:p>
      <w:pPr>
        <w:ind w:left="8" w:right="480" w:hanging="8"/>
        <w:spacing w:after="0" w:line="285" w:lineRule="auto"/>
        <w:tabs>
          <w:tab w:leader="none" w:pos="170" w:val="left"/>
        </w:tabs>
        <w:numPr>
          <w:ilvl w:val="0"/>
          <w:numId w:val="12"/>
        </w:numPr>
        <w:rPr>
          <w:rFonts w:ascii="Arial" w:cs="Arial" w:eastAsia="Arial" w:hAnsi="Arial"/>
          <w:sz w:val="11"/>
          <w:szCs w:val="11"/>
          <w:i w:val="1"/>
          <w:iCs w:val="1"/>
          <w:color w:val="auto"/>
        </w:rPr>
      </w:pPr>
      <w:r>
        <w:rPr>
          <w:rFonts w:ascii="Arial" w:cs="Arial" w:eastAsia="Arial" w:hAnsi="Arial"/>
          <w:sz w:val="11"/>
          <w:szCs w:val="11"/>
          <w:i w:val="1"/>
          <w:iCs w:val="1"/>
          <w:color w:val="auto"/>
        </w:rPr>
        <w:t>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spacing w:after="0" w:line="86" w:lineRule="exact"/>
        <w:rPr>
          <w:rFonts w:ascii="Arial" w:cs="Arial" w:eastAsia="Arial" w:hAnsi="Arial"/>
          <w:sz w:val="11"/>
          <w:szCs w:val="11"/>
          <w:i w:val="1"/>
          <w:iCs w:val="1"/>
          <w:color w:val="auto"/>
        </w:rPr>
      </w:pPr>
    </w:p>
    <w:p>
      <w:pPr>
        <w:ind w:left="8" w:right="340" w:hanging="8"/>
        <w:spacing w:after="0" w:line="263" w:lineRule="auto"/>
        <w:tabs>
          <w:tab w:leader="none" w:pos="170" w:val="left"/>
        </w:tabs>
        <w:numPr>
          <w:ilvl w:val="0"/>
          <w:numId w:val="12"/>
        </w:numPr>
        <w:rPr>
          <w:rFonts w:ascii="Arial" w:cs="Arial" w:eastAsia="Arial" w:hAnsi="Arial"/>
          <w:sz w:val="11"/>
          <w:szCs w:val="11"/>
          <w:i w:val="1"/>
          <w:iCs w:val="1"/>
          <w:color w:val="auto"/>
        </w:rPr>
      </w:pPr>
      <w:r>
        <w:rPr>
          <w:rFonts w:ascii="Arial" w:cs="Arial" w:eastAsia="Arial" w:hAnsi="Arial"/>
          <w:sz w:val="11"/>
          <w:szCs w:val="11"/>
          <w:i w:val="1"/>
          <w:iCs w:val="1"/>
          <w:color w:val="auto"/>
        </w:rPr>
        <w:t>Non-GAAP adjusted net income (loss) represents GAAP net income (loss) adjusted to exclude the tax-affected effects of charges related to acquisition and transition costs, foreign exchange gain (loss) on inter-company loans, restructuring and integration charges, amortization of intangibles costs for fair value step-up in values related to acquisitions and amortization of deferred financing costs, non-cash impairment charges, write-off of unamortized debt issuance costs, interest rate swap payments and change in fair value, change in fair value of preferred stock derivatives and warrants, costs related to divested businesses and litigation settlements, income (loss) from discontinued operations, and preferred stock cumulative dividends and deemed dividends. We believe this presentation is commonly used by investors and professional research analysts in the valuation, comparison, rating, and investment recommendations of companies in the industrial industry. We use this information for comparative purposes within the industry.</w:t>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308"/>
          </w:cols>
          <w:pgMar w:left="292" w:top="680" w:right="299" w:bottom="1440"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upperLetter"/>
      <w:start w:val="40"/>
    </w:lvl>
    <w:lvl w:ilvl="1">
      <w:lvlJc w:val="left"/>
      <w:lvlText w:val="•"/>
      <w:numFmt w:val="bullet"/>
      <w:start w:val="1"/>
    </w:lvl>
  </w:abstractNum>
  <w:abstractNum w:abstractNumId="5">
    <w:nsid w:val="5BD062C2"/>
    <w:multiLevelType w:val="hybridMultilevel"/>
    <w:lvl w:ilvl="0">
      <w:lvlJc w:val="left"/>
      <w:lvlText w:val="%1"/>
      <w:numFmt w:val="upperLetter"/>
      <w:start w:val="40"/>
    </w:lvl>
    <w:lvl w:ilvl="1">
      <w:lvlJc w:val="left"/>
      <w:lvlText w:val="•"/>
      <w:numFmt w:val="bullet"/>
      <w:start w:val="1"/>
    </w:lvl>
  </w:abstractNum>
  <w:abstractNum w:abstractNumId="6">
    <w:nsid w:val="12200854"/>
    <w:multiLevelType w:val="hybridMultilevel"/>
    <w:lvl w:ilvl="0">
      <w:lvlJc w:val="left"/>
      <w:lvlText w:val="%1"/>
      <w:numFmt w:val="upperLetter"/>
      <w:start w:val="40"/>
    </w:lvl>
  </w:abstractNum>
  <w:abstractNum w:abstractNumId="7">
    <w:nsid w:val="4DB127F8"/>
    <w:multiLevelType w:val="hybridMultilevel"/>
    <w:lvl w:ilvl="0">
      <w:lvlJc w:val="left"/>
      <w:lvlText w:val="%1"/>
      <w:numFmt w:val="upperLetter"/>
      <w:start w:val="40"/>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2025-10-29T16:15:24Z</dcterms:created>
  <dcterms:modified xsi:type="dcterms:W3CDTF">2025-10-29T16:15:24Z</dcterms:modified>
</cp:coreProperties>
</file>