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As filed with the Securities and Exchange Commission on January 27,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333-201274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1962"/>
              <w:spacing w:after="0"/>
              <w:rPr>
                <w:sz w:val="20"/>
                <w:szCs w:val="20"/>
                <w:color w:val="auto"/>
              </w:rPr>
            </w:pPr>
            <w:r>
              <w:rPr>
                <w:rFonts w:ascii="Arial" w:cs="Arial" w:eastAsia="Arial" w:hAnsi="Arial"/>
                <w:sz w:val="18"/>
                <w:szCs w:val="18"/>
                <w:b w:val="1"/>
                <w:bCs w:val="1"/>
                <w:color w:val="auto"/>
                <w:w w:val="93"/>
              </w:rPr>
              <w:t>Delaware</w:t>
            </w:r>
          </w:p>
        </w:tc>
        <w:tc>
          <w:tcPr>
            <w:tcW w:w="3460" w:type="dxa"/>
            <w:vAlign w:val="bottom"/>
          </w:tcPr>
          <w:p>
            <w:pPr>
              <w:jc w:val="center"/>
              <w:ind w:left="1962"/>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398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1962"/>
              <w:spacing w:after="0"/>
              <w:rPr>
                <w:sz w:val="20"/>
                <w:szCs w:val="20"/>
                <w:color w:val="auto"/>
              </w:rPr>
            </w:pPr>
            <w:r>
              <w:rPr>
                <w:rFonts w:ascii="Arial" w:cs="Arial" w:eastAsia="Arial" w:hAnsi="Arial"/>
                <w:sz w:val="14"/>
                <w:szCs w:val="14"/>
                <w:b w:val="1"/>
                <w:bCs w:val="1"/>
                <w:color w:val="auto"/>
                <w:w w:val="95"/>
              </w:rPr>
              <w:t>Incorporation or Organization)</w:t>
            </w:r>
          </w:p>
        </w:tc>
        <w:tc>
          <w:tcPr>
            <w:tcW w:w="3460" w:type="dxa"/>
            <w:vAlign w:val="bottom"/>
          </w:tcPr>
          <w:p>
            <w:pPr>
              <w:jc w:val="center"/>
              <w:ind w:left="196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743-9151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C. Kelly,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Chief Administrative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743-9151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S. Heiter,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T. Yonchak,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Donelson, Bearman, Caldwell &amp; Berkowitz,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165 Madison Avenue, Suite 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577-8117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w:t>
      </w:r>
    </w:p>
    <w:p>
      <w:pPr>
        <w:spacing w:after="0" w:line="1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12b- 2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to be Registered (1)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(2)(3)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Per Unit (2)</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6"/>
              </w:rPr>
              <w:t>Offering Price (2)(3)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Units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$200,000,000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$200,000,000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1"/>
              </w:rPr>
              <w:t>$23,240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registers such indeterminate amounts of securities as may be issued upon exercise or conversion of, or in exchange for, the securities registered, and pursuant to Rule 416(a) under the Securities Act of 1933, as amended (the “Securities Act”), such indeterminable number of shares of common stock as may be issued from time to time upon exercise, conversion or exchange as a result of stock splits, stock dividends, or similar transactions.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security and the proposed maximum aggregate offering price per class of security will be determined from time to time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debt securities, excluding accrued interest and accrued amortization of discount, if any, to the date of delivery.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which may or may not be separable from one another.</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DE1A1E"/>
        </w:rPr>
        <w:t>The information contained in this prospectus is not complete and may be changed. We may not sell these securities until the registration statement filed with the Securities and Exchange Commission becomes effective. This prospectus is not an offer to sell these securities and we are not soliciting offers to buy these securities in any jurisdiction where such offer or sale is not permitted.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JANUARY 27,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172085</wp:posOffset>
            </wp:positionV>
            <wp:extent cx="626110" cy="626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NN,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From time to time, we may sell up to an aggregate of $200,000,000 of any combination of the securities described in this prospectus. We will specify the terms of any offering of securities by us in a prospectus supplement.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right="3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common stock is quoted and traded on The NASDAQ Global Select Market under the ticker symbol “NNBR.” On January 26, 2015, the last reported sale price of our common stock on The NASDAQ Global Select Market was $23.10. The applicable prospectus supplement will contain information, where applicable, as to any other listing on The NASDAQ Global Select Market or any securities market or exchange of the securities covered by the prospectus supplement.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880"/>
        <w:spacing w:after="0"/>
        <w:tabs>
          <w:tab w:leader="none" w:pos="70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2015.</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878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DISCLOSURE REGARDING FORWARD-LOOKING STATEMENTS</w:t>
              </w:r>
            </w:hyperlink>
          </w:p>
        </w:tc>
        <w:tc>
          <w:tcPr>
            <w:tcW w:w="58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ABOUT NN, INC.</w:t>
              </w:r>
            </w:hyperlink>
          </w:p>
        </w:tc>
        <w:tc>
          <w:tcPr>
            <w:tcW w:w="96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976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DESCRIPTION OF THE SECURITIES</w:t>
              </w:r>
            </w:hyperlink>
          </w:p>
        </w:tc>
        <w:tc>
          <w:tcPr>
            <w:tcW w:w="580" w:type="dxa"/>
            <w:vAlign w:val="bottom"/>
            <w:tcBorders>
              <w:top w:val="single" w:sz="8" w:color="0000EE"/>
            </w:tcBorders>
            <w:gridSpan w:val="4"/>
          </w:tcPr>
          <w:p>
            <w:pPr>
              <w:spacing w:after="0"/>
              <w:rPr>
                <w:sz w:val="17"/>
                <w:szCs w:val="17"/>
                <w:color w:val="auto"/>
              </w:rPr>
            </w:pPr>
          </w:p>
        </w:tc>
        <w:tc>
          <w:tcPr>
            <w:tcW w:w="75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DESCRIPTION OF DEBT SECURITIES</w:t>
              </w:r>
            </w:hyperlink>
          </w:p>
        </w:tc>
        <w:tc>
          <w:tcPr>
            <w:tcW w:w="7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DESCRIPTION OF PREFERRED STOCK</w:t>
              </w:r>
            </w:hyperlink>
          </w:p>
        </w:tc>
        <w:tc>
          <w:tcPr>
            <w:tcW w:w="7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COMMON STOCK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WARRANTS</w:t>
              </w:r>
            </w:hyperlink>
          </w:p>
        </w:tc>
        <w:tc>
          <w:tcPr>
            <w:tcW w:w="80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85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PLAN OF DISTRIBUTION</w:t>
              </w:r>
            </w:hyperlink>
          </w:p>
        </w:tc>
        <w:tc>
          <w:tcPr>
            <w:tcW w:w="89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INFORMATION INCORPORATED BY REFERENCE</w:t>
              </w:r>
            </w:hyperlink>
          </w:p>
        </w:tc>
        <w:tc>
          <w:tcPr>
            <w:tcW w:w="6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EXPERTS</w:t>
              </w:r>
            </w:hyperlink>
          </w:p>
        </w:tc>
        <w:tc>
          <w:tcPr>
            <w:tcW w:w="3040" w:type="dxa"/>
            <w:vAlign w:val="bottom"/>
            <w:tcBorders>
              <w:top w:val="single" w:sz="8" w:color="0000EE"/>
            </w:tcBorders>
            <w:gridSpan w:val="14"/>
          </w:tcPr>
          <w:p>
            <w:pPr>
              <w:spacing w:after="0"/>
              <w:rPr>
                <w:sz w:val="17"/>
                <w:szCs w:val="17"/>
                <w:color w:val="auto"/>
              </w:rPr>
            </w:pPr>
          </w:p>
        </w:tc>
        <w:tc>
          <w:tcPr>
            <w:tcW w:w="72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$200,000,000.</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2013 and our other reports on file with the SEC. Except as required by law, we undertake no obligation to update or revise any forward-looking statements we make in our prospectus, whether as a result of new information, future events or otherwise.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NN, INC.</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We are a manufacturer and supplier of high precision metal bearing components, industrial plastic and rubber products and precision metal components to a variety of markets across the globe. We have 25 manufacturing plants across the United States, Western Europe, Eastern Europe, South America and China.</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were incorporated in Delaware in October, 1980. Our principal executive offices are maintained at 207 Mockingbird Lane, Johnson City, Tennessee 37604 and our telephone number is (423) 743-9151. Our common stock is listed on The NASDAQ Global Select Market under the ticker symbol “NNBR.”</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further discussion of the material elements of our business, please refer to our Annual Report on Form 10-K for the fiscal year ended December 31, 2013 on file with the SEC, and any subsequent reports we file with the SEC, including those incorporated by reference into this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Investing in our securities involves a high degree of risk. Please see the risk factors under the heading “Risk Factors” in any prospectus supplement as well as in our Annual Report on Form 10-K for the fiscal year ended December 31, 2013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our ratio of earnings to fixed charges in each of the periods indicated. The ratios are calculated by dividing earnings by the fixed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Nine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69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months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692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color w:val="auto"/>
              </w:rPr>
              <w:t>Fiscal 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3"/>
        </w:trPr>
        <w:tc>
          <w:tcPr>
            <w:tcW w:w="6920" w:type="dxa"/>
            <w:vAlign w:val="bottom"/>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September</w:t>
            </w:r>
          </w:p>
        </w:tc>
        <w:tc>
          <w:tcPr>
            <w:tcW w:w="5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69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30, 2014</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20" w:type="dxa"/>
            <w:vAlign w:val="bottom"/>
            <w:tcBorders>
              <w:bottom w:val="single" w:sz="8" w:color="CCEEFF"/>
            </w:tcBorders>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2.49x</w:t>
            </w:r>
            <w:r>
              <w:rPr>
                <w:rFonts w:ascii="Arial" w:cs="Arial" w:eastAsia="Arial" w:hAnsi="Arial"/>
                <w:sz w:val="15"/>
                <w:szCs w:val="15"/>
                <w:color w:val="auto"/>
              </w:rPr>
              <w:t>(1)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6.36x</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4.31x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2.01x</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nine months ended September 30, 2014 were significantly impacted by certain costs related to four acquisitions completed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earnings of $37.6 million would have been needed to achieve a coverage of 1:1 for the fiscal year ended December 31,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offer, from time to time, in one or more offerings, up to $200,000,000 of the following securities: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combination of the foregoing securities.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initial offering price of the offered securities that we may issue will not exceed $200,000,000.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2"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or make-whole amount, and interest on, the debt securities will be payable;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6"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75" w:lineRule="exact"/>
        <w:rPr>
          <w:rFonts w:ascii="Arial" w:cs="Arial" w:eastAsia="Arial" w:hAnsi="Arial"/>
          <w:sz w:val="18"/>
          <w:szCs w:val="18"/>
          <w:color w:val="auto"/>
        </w:rPr>
      </w:pPr>
    </w:p>
    <w:p>
      <w:pPr>
        <w:jc w:val="both"/>
        <w:ind w:left="900" w:right="12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w:t>
      </w:r>
    </w:p>
    <w:p>
      <w:pPr>
        <w:ind w:left="900" w:right="860" w:hanging="1"/>
        <w:spacing w:after="0" w:line="261" w:lineRule="auto"/>
        <w:tabs>
          <w:tab w:leader="none" w:pos="1155"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900" w:right="12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identity of the depositary for debt securities in registered form, if such series are to be issuable as a global security;</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described in this prospectus or in the applicable indenture;</w:t>
      </w:r>
    </w:p>
    <w:p>
      <w:pPr>
        <w:spacing w:after="0" w:line="142" w:lineRule="exact"/>
        <w:rPr>
          <w:rFonts w:ascii="Arial" w:cs="Arial" w:eastAsia="Arial" w:hAnsi="Arial"/>
          <w:sz w:val="17"/>
          <w:szCs w:val="17"/>
          <w:color w:val="auto"/>
        </w:rPr>
      </w:pPr>
    </w:p>
    <w:p>
      <w:pPr>
        <w:ind w:left="900" w:right="96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$2,000 and integral multiples of $1,000.</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900" w:right="1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900" w:right="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indentures provide that we may consolidate with or sell, lease or convey all or substantially all of our assets to, or merge with or into, any other entity provided that:</w:t>
      </w:r>
    </w:p>
    <w:p>
      <w:pPr>
        <w:spacing w:after="0" w:line="76" w:lineRule="exact"/>
        <w:rPr>
          <w:sz w:val="20"/>
          <w:szCs w:val="20"/>
          <w:color w:val="auto"/>
        </w:rPr>
      </w:pPr>
    </w:p>
    <w:p>
      <w:pPr>
        <w:ind w:left="900" w:right="1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 cause to be done all things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 delinquent (1)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(1) within 15 days of each of the respective dates by which we are required to file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additional covenants of NN relating to any series of debt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it becomes due and payable at its stated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when due;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920" w:right="60" w:firstLine="1"/>
        <w:spacing w:after="0" w:line="272" w:lineRule="auto"/>
        <w:tabs>
          <w:tab w:leader="none" w:pos="1175" w:val="left"/>
        </w:tabs>
        <w:numPr>
          <w:ilvl w:val="1"/>
          <w:numId w:val="10"/>
        </w:numPr>
        <w:rPr>
          <w:rFonts w:ascii="Arial" w:cs="Arial" w:eastAsia="Arial" w:hAnsi="Arial"/>
          <w:sz w:val="17"/>
          <w:szCs w:val="17"/>
          <w:color w:val="auto"/>
        </w:rPr>
      </w:pPr>
      <w:r>
        <w:rPr>
          <w:rFonts w:ascii="Arial" w:cs="Arial" w:eastAsia="Arial" w:hAnsi="Arial"/>
          <w:sz w:val="17"/>
          <w:szCs w:val="17"/>
          <w:color w:val="auto"/>
        </w:rPr>
        <w:t>under which there may be issued, secured or evidenced any existing or later created indebtedness for money borrowed by us or our subsidiaries, if we are directly responsible or liable as obligor or guarantor,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83"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NN or any significant subsidiary of NN;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73" w:lineRule="exact"/>
        <w:rPr>
          <w:sz w:val="20"/>
          <w:szCs w:val="20"/>
          <w:color w:val="auto"/>
        </w:rPr>
      </w:pPr>
    </w:p>
    <w:p>
      <w:pPr>
        <w:ind w:left="900" w:right="12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900" w:right="3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900" w:right="2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52" w:lineRule="exact"/>
        <w:rPr>
          <w:rFonts w:ascii="Arial" w:cs="Arial" w:eastAsia="Arial" w:hAnsi="Arial"/>
          <w:sz w:val="16"/>
          <w:szCs w:val="16"/>
          <w:color w:val="auto"/>
        </w:rPr>
      </w:pPr>
    </w:p>
    <w:p>
      <w:pPr>
        <w:ind w:left="900" w:right="22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90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jc w:val="both"/>
        <w:ind w:left="900" w:right="16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52"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90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900" w:right="3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97"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900" w:right="5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7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$2,000 and integral multiples of $1,000.</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December 26, 2014, no shares of preferred stock or Series A preferred stock were issued and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certificate of incorporation and bylaws.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our certificate of incorporation, we have authority to issue 45,000,000 shares of common stock, par value $.01 per share. As of December 22, 2014, there were 18,983,549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71" w:lineRule="exact"/>
        <w:rPr>
          <w:sz w:val="20"/>
          <w:szCs w:val="20"/>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29" w:lineRule="exact"/>
        <w:rPr>
          <w:rFonts w:ascii="Arial" w:cs="Arial" w:eastAsia="Arial" w:hAnsi="Arial"/>
          <w:sz w:val="16"/>
          <w:szCs w:val="16"/>
          <w:color w:val="auto"/>
        </w:rPr>
      </w:pPr>
    </w:p>
    <w:p>
      <w:pPr>
        <w:jc w:val="both"/>
        <w:ind w:left="900" w:right="60" w:hanging="325"/>
        <w:spacing w:after="0" w:line="28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as:</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and Other Matters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at least half of the voting power of all the then outstanding voting stock of the company, voting together as a single class</w:t>
      </w:r>
      <w:r>
        <w:rPr>
          <w:rFonts w:ascii="Arial" w:cs="Arial" w:eastAsia="Arial" w:hAnsi="Arial"/>
          <w:sz w:val="17"/>
          <w:szCs w:val="17"/>
          <w:b w:val="1"/>
          <w:bCs w:val="1"/>
          <w:color w:val="auto"/>
        </w:rPr>
        <w:t>.</w:t>
      </w:r>
      <w:r>
        <w:rPr>
          <w:rFonts w:ascii="Arial" w:cs="Arial" w:eastAsia="Arial" w:hAnsi="Arial"/>
          <w:sz w:val="17"/>
          <w:szCs w:val="17"/>
          <w:color w:val="auto"/>
        </w:rPr>
        <w:t xml:space="preserve"> Our bylaws require that shareholders provide the Secretary of our company with notice of the nomination of a person for election as a director (1) with respect to an election to be held at an annual meeting of stockholders or special meeting in lieu of an annual meeting, not less than 90 nor more than 120 days prior to the anniversary date of the immediately preceding annual meeting of stockholders or special meeting in lieu of an annual meeting. Our bylaws provide that special meetings of shareholders of our company may be called only by the Chairman of the board of directors or by a majority of the board of directors. Our bylaws, as well as applicable provisions of the General Corporation Law of the State of Delaware, provide that no action required or permitted to be taken at any annual 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warrants offered and the aggregate number of warrants outstanding as of the most practicable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we will issue the warrants;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issued and the number of warrants issued with each of those securities;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preferred stock, common stock or debt securities, if any, will be separately transferable;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each share of preferred stock, common stock or debt securities that can be purchased upon exercise of such warrants may be purchased;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such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represented by warrant certificates will be issued in registered or bearer form, and, if registered, where they may be transferred and registered;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applicable United States federal income tax consequences;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or call provisions of the debt warrants, if any;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such warrants, including terms and additional rights, preferences, privileges, procedures and limitations relating to the transferability, exchange and exercise of such warrants.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may describe:</w:t>
      </w:r>
    </w:p>
    <w:p>
      <w:pPr>
        <w:spacing w:after="0" w:line="131" w:lineRule="exact"/>
        <w:rPr>
          <w:sz w:val="20"/>
          <w:szCs w:val="20"/>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in Series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your series will be described in the applicable prospectus supplement.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900" w:right="1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31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52"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in any one or more of the following methods from time to time:</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investors, directly to agents, or to investors through agents;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underwriting syndicates led by one or more managing underwriters, or through one or more underwriters acting alone, for resale to the public or investors;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delayed delivery contracts or by remarketing firms;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that may or may not be listed on an exchange;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prices may represent a discount from the prevailing market prices.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underwritten offering may be on a best efforts or a firm commitment basis. If underwriters are used in the sale, the securities acquired by the underwriters will be for their own account.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8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such underwriter or agent;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purchase price and proceeds from such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amounts underwritten;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nature of the underwriter’s obligation to take the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option under which the underwriters may purchase additional securities from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otherwise specified in the related prospectus supplement, each series of securities will be a new issue with no established trading market, other than the common stock, which is listed on The NASDAQ Global Select Market.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 It is possible that one or more underwriters may make a market in a class or series of our securities, but such underwriters will not be obligated to do so and may discontinue any market making at any time without notice. Therefore, no assurance can be given as to the liquidity of, or the trading market for, any other class or series of our securities.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81"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Underwriters, dealers and agents may engage in transactions with us or perform services for us in the ordinary course of business.</w:t>
      </w:r>
    </w:p>
    <w:p>
      <w:pPr>
        <w:spacing w:after="0" w:line="225"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(1) 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not deemed filed under such provisions:</w:t>
      </w:r>
    </w:p>
    <w:p>
      <w:pPr>
        <w:spacing w:after="0" w:line="84"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2014, June 30, 2014 and September 30, 2014.</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11, 2014, May 15, 2014, May 19, 2014, July 22, 2014, August 8, 2014, August 12, 2014, August 15, 2014, September 2, 2014 (as amended on October 27, 2014), September 23, 2014 and November 13, 2014.</w:t>
      </w:r>
    </w:p>
    <w:p>
      <w:pPr>
        <w:spacing w:after="0" w:line="51" w:lineRule="exact"/>
        <w:rPr>
          <w:rFonts w:ascii="Arial" w:cs="Arial" w:eastAsia="Arial" w:hAnsi="Arial"/>
          <w:sz w:val="17"/>
          <w:szCs w:val="17"/>
          <w:color w:val="auto"/>
        </w:rPr>
      </w:pPr>
    </w:p>
    <w:p>
      <w:pPr>
        <w:ind w:left="900" w:right="6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 Our telephone number is (423) 743-9151. Our website is located at </w:t>
      </w:r>
      <w:r>
        <w:rPr>
          <w:rFonts w:ascii="Arial" w:cs="Arial" w:eastAsia="Arial" w:hAnsi="Arial"/>
          <w:sz w:val="16"/>
          <w:szCs w:val="16"/>
          <w:i w:val="1"/>
          <w:iCs w:val="1"/>
          <w:color w:val="auto"/>
        </w:rPr>
        <w:t>www.nninc.com</w:t>
      </w:r>
      <w:r>
        <w:rPr>
          <w:rFonts w:ascii="Arial" w:cs="Arial" w:eastAsia="Arial" w:hAnsi="Arial"/>
          <w:sz w:val="16"/>
          <w:szCs w:val="16"/>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639"/>
        <w:spacing w:after="0"/>
        <w:rPr>
          <w:sz w:val="20"/>
          <w:szCs w:val="20"/>
          <w:color w:val="auto"/>
        </w:rPr>
      </w:pPr>
      <w:r>
        <w:rPr>
          <w:rFonts w:ascii="Arial" w:cs="Arial" w:eastAsia="Arial" w:hAnsi="Arial"/>
          <w:sz w:val="43"/>
          <w:szCs w:val="43"/>
          <w:b w:val="1"/>
          <w:bCs w:val="1"/>
          <w:color w:val="auto"/>
        </w:rPr>
        <w:t>NN, INC.</w:t>
      </w:r>
    </w:p>
    <w:p>
      <w:pPr>
        <w:spacing w:after="0" w:line="200" w:lineRule="exact"/>
        <w:rPr>
          <w:sz w:val="20"/>
          <w:szCs w:val="20"/>
          <w:color w:val="auto"/>
        </w:rPr>
      </w:pPr>
    </w:p>
    <w:p>
      <w:pPr>
        <w:spacing w:after="0" w:line="249" w:lineRule="exact"/>
        <w:rPr>
          <w:sz w:val="20"/>
          <w:szCs w:val="20"/>
          <w:color w:val="auto"/>
        </w:rPr>
      </w:pPr>
    </w:p>
    <w:p>
      <w:pPr>
        <w:ind w:left="4920"/>
        <w:spacing w:after="0"/>
        <w:rPr>
          <w:sz w:val="20"/>
          <w:szCs w:val="20"/>
          <w:color w:val="auto"/>
        </w:rPr>
      </w:pPr>
      <w:r>
        <w:rPr>
          <w:rFonts w:ascii="Arial" w:cs="Arial" w:eastAsia="Arial" w:hAnsi="Arial"/>
          <w:sz w:val="27"/>
          <w:szCs w:val="27"/>
          <w:b w:val="1"/>
          <w:bCs w:val="1"/>
          <w:color w:val="auto"/>
        </w:rPr>
        <w:t>$200,000,000</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Debt Securities</w:t>
      </w:r>
    </w:p>
    <w:p>
      <w:pPr>
        <w:spacing w:after="0" w:line="61"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Preferred Stock</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Common Stock</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259715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expenses in connection with the issuance and distribution of the securities being registered will be borne by NN, Inc. and are set forth in the following table. All amounts except the registration fee are estimated.</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23,240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trustee fees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Miscellaneous</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fees depend on the securities offered and the number of issuances and cannot be estimated at this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Section 102(b)(7) of the General Corporation Law of the State of Delaware (“DGCL”), which is applicable to the company,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8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145 of the DGCL also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company.</w:t>
      </w:r>
    </w:p>
    <w:p>
      <w:pPr>
        <w:spacing w:after="0" w:line="1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certificate of incorporation and bylaws provide that the company will indemnify its directors and executive officers to the fullest extent provided by the DGCL and that any repeal or modification of such provisions will be prospective only and will not adversely affect the rights provided by the certificate of incorporation and bylaws in effect at the time of the alleged occurrence of any action or omission to act that is the cause of any proceeding against any agent of the company. In addition, our bylaws provide that the company is not required to indemnify any director or executive officer in connection with any proceeding initiated by such person unless the indemnification is expressly required to be made by law, the proceeding was authorized by the board of directors of the company, such indemnification is provided by the company, in its sole discretion, pursuant to the DGCL or any other applicable law. Our bylaws further provide that the company may modify the extent of indemnification of its directors and executive officers by individual contract.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00" w:firstLine="4"/>
        <w:spacing w:after="0" w:line="255" w:lineRule="auto"/>
        <w:tabs>
          <w:tab w:leader="none" w:pos="7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460" w:right="260" w:firstLine="4"/>
        <w:spacing w:after="0" w:line="277" w:lineRule="auto"/>
        <w:tabs>
          <w:tab w:leader="none" w:pos="7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w:t>
      </w:r>
      <w:r>
        <w:rPr>
          <w:rFonts w:ascii="Arial" w:cs="Arial" w:eastAsia="Arial" w:hAnsi="Arial"/>
          <w:sz w:val="17"/>
          <w:szCs w:val="17"/>
          <w:i w:val="1"/>
          <w:iCs w:val="1"/>
          <w:color w:val="auto"/>
        </w:rPr>
        <w:t xml:space="preserve"> however </w:t>
      </w:r>
      <w:r>
        <w:rPr>
          <w:rFonts w:ascii="Arial" w:cs="Arial" w:eastAsia="Arial" w:hAnsi="Arial"/>
          <w:sz w:val="17"/>
          <w:szCs w:val="17"/>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right="4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60" w:right="360" w:firstLine="4"/>
        <w:spacing w:after="0" w:line="277" w:lineRule="auto"/>
        <w:tabs>
          <w:tab w:leader="none" w:pos="6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firstLine="4"/>
        <w:spacing w:after="0" w:line="269" w:lineRule="auto"/>
        <w:tabs>
          <w:tab w:leader="none" w:pos="725"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7"/>
          <w:szCs w:val="17"/>
          <w:color w:val="auto"/>
        </w:rPr>
      </w:pPr>
    </w:p>
    <w:p>
      <w:pPr>
        <w:jc w:val="both"/>
        <w:ind w:right="40" w:firstLine="8"/>
        <w:spacing w:after="0" w:line="302"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200" w:firstLine="8"/>
        <w:spacing w:after="0" w:line="291"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w:t>
      </w:r>
    </w:p>
    <w:p>
      <w:pPr>
        <w:jc w:val="both"/>
        <w:ind w:right="100"/>
        <w:spacing w:after="0" w:line="323" w:lineRule="auto"/>
        <w:rPr>
          <w:rFonts w:ascii="Arial" w:cs="Arial" w:eastAsia="Arial" w:hAnsi="Arial"/>
          <w:sz w:val="16"/>
          <w:szCs w:val="16"/>
          <w:color w:val="auto"/>
        </w:rPr>
      </w:pPr>
      <w:r>
        <w:rPr>
          <w:rFonts w:ascii="Arial" w:cs="Arial" w:eastAsia="Arial" w:hAnsi="Arial"/>
          <w:sz w:val="16"/>
          <w:szCs w:val="16"/>
          <w:color w:val="auto"/>
        </w:rPr>
        <w:t>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0" w:lineRule="exact"/>
        <w:rPr>
          <w:rFonts w:ascii="Arial" w:cs="Arial" w:eastAsia="Arial" w:hAnsi="Arial"/>
          <w:sz w:val="16"/>
          <w:szCs w:val="16"/>
          <w:color w:val="auto"/>
        </w:rPr>
      </w:pPr>
    </w:p>
    <w:p>
      <w:pPr>
        <w:ind w:firstLine="8"/>
        <w:spacing w:after="0" w:line="271"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jc w:val="both"/>
        <w:ind w:right="160" w:firstLine="8"/>
        <w:spacing w:after="0" w:line="264"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this 27</w:t>
      </w:r>
      <w:r>
        <w:rPr>
          <w:rFonts w:ascii="Arial" w:cs="Arial" w:eastAsia="Arial" w:hAnsi="Arial"/>
          <w:sz w:val="15"/>
          <w:szCs w:val="15"/>
          <w:color w:val="auto"/>
        </w:rPr>
        <w:t>th</w:t>
      </w:r>
      <w:r>
        <w:rPr>
          <w:rFonts w:ascii="Arial" w:cs="Arial" w:eastAsia="Arial" w:hAnsi="Arial"/>
          <w:sz w:val="18"/>
          <w:szCs w:val="18"/>
          <w:color w:val="auto"/>
        </w:rPr>
        <w:t xml:space="preserve"> day of January, 2015.</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30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4"/>
                <w:szCs w:val="14"/>
                <w:color w:val="auto"/>
              </w:rPr>
              <w:t>Title</w:t>
            </w:r>
          </w:p>
        </w:tc>
        <w:tc>
          <w:tcPr>
            <w:tcW w:w="1860" w:type="dxa"/>
            <w:vAlign w:val="bottom"/>
          </w:tcPr>
          <w:p>
            <w:pPr>
              <w:jc w:val="center"/>
              <w:ind w:left="552"/>
              <w:spacing w:after="0"/>
              <w:rPr>
                <w:sz w:val="20"/>
                <w:szCs w:val="20"/>
                <w:color w:val="auto"/>
              </w:rPr>
            </w:pPr>
            <w:r>
              <w:rPr>
                <w:rFonts w:ascii="Arial" w:cs="Arial" w:eastAsia="Arial" w:hAnsi="Arial"/>
                <w:sz w:val="14"/>
                <w:szCs w:val="14"/>
                <w:color w:val="auto"/>
                <w:w w:val="87"/>
              </w:rPr>
              <w:t>Date</w:t>
            </w:r>
          </w:p>
        </w:tc>
      </w:tr>
      <w:tr>
        <w:trPr>
          <w:trHeight w:val="41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30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Senior Vice President—Corporate Development</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182"/>
        </w:trPr>
        <w:tc>
          <w:tcPr>
            <w:tcW w:w="4280" w:type="dxa"/>
            <w:vAlign w:val="bottom"/>
            <w:gridSpan w:val="2"/>
          </w:tcPr>
          <w:p>
            <w:pPr>
              <w:spacing w:after="0" w:line="182" w:lineRule="exact"/>
              <w:rPr>
                <w:sz w:val="20"/>
                <w:szCs w:val="20"/>
                <w:color w:val="auto"/>
              </w:rPr>
            </w:pPr>
            <w:r>
              <w:rPr>
                <w:rFonts w:ascii="Arial" w:cs="Arial" w:eastAsia="Arial" w:hAnsi="Arial"/>
                <w:sz w:val="18"/>
                <w:szCs w:val="18"/>
                <w:color w:val="auto"/>
              </w:rPr>
              <w:t>James H. Dorton</w:t>
            </w:r>
          </w:p>
        </w:tc>
        <w:tc>
          <w:tcPr>
            <w:tcW w:w="300" w:type="dxa"/>
            <w:vAlign w:val="bottom"/>
          </w:tcPr>
          <w:p>
            <w:pPr>
              <w:spacing w:after="0"/>
              <w:rPr>
                <w:sz w:val="15"/>
                <w:szCs w:val="15"/>
                <w:color w:val="auto"/>
              </w:rPr>
            </w:pPr>
          </w:p>
        </w:tc>
        <w:tc>
          <w:tcPr>
            <w:tcW w:w="4720" w:type="dxa"/>
            <w:vAlign w:val="bottom"/>
          </w:tcPr>
          <w:p>
            <w:pPr>
              <w:jc w:val="center"/>
              <w:spacing w:after="0" w:line="182" w:lineRule="exact"/>
              <w:rPr>
                <w:sz w:val="20"/>
                <w:szCs w:val="20"/>
                <w:color w:val="auto"/>
              </w:rPr>
            </w:pPr>
            <w:r>
              <w:rPr>
                <w:rFonts w:ascii="Arial" w:cs="Arial" w:eastAsia="Arial" w:hAnsi="Arial"/>
                <w:sz w:val="18"/>
                <w:szCs w:val="18"/>
                <w:color w:val="auto"/>
                <w:w w:val="93"/>
              </w:rPr>
              <w:t>and Chief Financial Officer</w:t>
            </w:r>
          </w:p>
        </w:tc>
        <w:tc>
          <w:tcPr>
            <w:tcW w:w="186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860" w:type="dxa"/>
            <w:vAlign w:val="bottom"/>
          </w:tcPr>
          <w:p>
            <w:pPr>
              <w:spacing w:after="0"/>
              <w:rPr>
                <w:sz w:val="20"/>
                <w:szCs w:val="20"/>
                <w:color w:val="auto"/>
              </w:rPr>
            </w:pPr>
          </w:p>
        </w:tc>
      </w:tr>
      <w:tr>
        <w:trPr>
          <w:trHeight w:val="446"/>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3"/>
              </w:rPr>
              <w:t>Vice-President—Chief Accounting Officer and</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30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2"/>
              </w:rPr>
              <w:t>Non-Executive Chairman, 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William Dries</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3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552"/>
              <w:spacing w:after="0"/>
              <w:rPr>
                <w:sz w:val="20"/>
                <w:szCs w:val="20"/>
                <w:color w:val="auto"/>
              </w:rPr>
            </w:pPr>
            <w:r>
              <w:rPr>
                <w:rFonts w:ascii="Arial" w:cs="Arial" w:eastAsia="Arial" w:hAnsi="Arial"/>
                <w:sz w:val="18"/>
                <w:szCs w:val="18"/>
                <w:color w:val="auto"/>
                <w:w w:val="87"/>
              </w:rPr>
              <w:t>January 27,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John C. Kennedy</w:t>
            </w:r>
          </w:p>
        </w:tc>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553"/>
        </w:trPr>
        <w:tc>
          <w:tcPr>
            <w:tcW w:w="4280" w:type="dxa"/>
            <w:vAlign w:val="bottom"/>
            <w:gridSpan w:val="2"/>
          </w:tcPr>
          <w:p>
            <w:pPr>
              <w:spacing w:after="0"/>
              <w:rPr>
                <w:sz w:val="20"/>
                <w:szCs w:val="20"/>
                <w:color w:val="auto"/>
              </w:rPr>
            </w:pPr>
            <w:r>
              <w:rPr>
                <w:rFonts w:ascii="Arial" w:cs="Arial" w:eastAsia="Arial" w:hAnsi="Arial"/>
                <w:sz w:val="18"/>
                <w:szCs w:val="18"/>
                <w:color w:val="auto"/>
              </w:rPr>
              <w:t>*By:  /s/ William C. Kelly, Jr.</w:t>
            </w:r>
          </w:p>
        </w:tc>
        <w:tc>
          <w:tcPr>
            <w:tcW w:w="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38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C. Kelly, Jr.</w:t>
            </w:r>
          </w:p>
        </w:tc>
        <w:tc>
          <w:tcPr>
            <w:tcW w:w="300" w:type="dxa"/>
            <w:vAlign w:val="bottom"/>
            <w:tcBorders>
              <w:top w:val="single" w:sz="8" w:color="auto"/>
            </w:tcBorders>
          </w:tcPr>
          <w:p>
            <w:pPr>
              <w:spacing w:after="0"/>
              <w:rPr>
                <w:sz w:val="16"/>
                <w:szCs w:val="16"/>
                <w:color w:val="auto"/>
              </w:rPr>
            </w:pPr>
          </w:p>
        </w:tc>
        <w:tc>
          <w:tcPr>
            <w:tcW w:w="47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tcPr>
          <w:p>
            <w:pPr>
              <w:ind w:left="1000"/>
              <w:spacing w:after="0"/>
              <w:rPr>
                <w:sz w:val="20"/>
                <w:szCs w:val="20"/>
                <w:color w:val="auto"/>
              </w:rPr>
            </w:pPr>
            <w:r>
              <w:rPr>
                <w:rFonts w:ascii="Arial" w:cs="Arial" w:eastAsia="Arial" w:hAnsi="Arial"/>
                <w:sz w:val="18"/>
                <w:szCs w:val="18"/>
                <w:color w:val="auto"/>
              </w:rPr>
              <w:t>II-4</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7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700" w:type="dxa"/>
            <w:vAlign w:val="bottom"/>
            <w:gridSpan w:val="3"/>
          </w:tcPr>
          <w:p>
            <w:pPr>
              <w:ind w:left="538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5380" w:type="dxa"/>
            <w:vAlign w:val="bottom"/>
          </w:tcPr>
          <w:p>
            <w:pPr>
              <w:ind w:left="76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2"/>
              </w:rPr>
              <w:t>Restated Certificate of Incorporation of NN, Inc. (incorporated by reference to Exhibit 3.1 of NN, Inc.’s Registration Statement No. 333-</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89950 on Form S-3 filed June 6, 2002)</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1"/>
              </w:rPr>
              <w:t>Restated By-Laws of NN, Inc. (incorporated by reference to Exhibit 3.2 of NN, Inc.’s Registration Statement No. 333-89950 on Form S-3</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filed June 6, 2002)</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4"/>
              </w:rPr>
              <w:t>Amendment to the Restated By-Laws of NN, Inc. (incorporated by reference to Exhibit 3.2 of NN, Inc.’s Form 8-K filed December 18,</w:t>
            </w:r>
          </w:p>
        </w:tc>
      </w:tr>
      <w:tr>
        <w:trPr>
          <w:trHeight w:val="230"/>
        </w:trPr>
        <w:tc>
          <w:tcPr>
            <w:tcW w:w="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3"/>
              </w:rPr>
              <w:t>Amendments to the Restated By-Laws of NN, Inc. (incorporated by reference to Exhibit 3.1 of NN, Inc.’s Form 8-K filed September 2,</w:t>
            </w:r>
          </w:p>
        </w:tc>
      </w:tr>
      <w:tr>
        <w:trPr>
          <w:trHeight w:val="230"/>
        </w:trPr>
        <w:tc>
          <w:tcPr>
            <w:tcW w:w="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3"/>
              </w:rPr>
              <w:t>Amendments to the Restated By-Laws of NN, Inc. (incorporated by reference to Exhibit 3.1 of NN, Inc.’s Form 8-K filed November 13,</w:t>
            </w:r>
          </w:p>
        </w:tc>
      </w:tr>
      <w:tr>
        <w:trPr>
          <w:trHeight w:val="230"/>
        </w:trPr>
        <w:tc>
          <w:tcPr>
            <w:tcW w:w="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4"/>
              </w:rPr>
              <w:t>The specimen stock certificate representing the Company’s Common Stock, par value $0.01 per share (incorporated by reference to</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Exhibit 4.1 of the Company’s Registration Statement No. 333-89950 on Form S-3 filed June 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Indenture for Senior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Senior Debt Security (included in Exhibit 4.7 hereto)</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Subordinated Indenture for Subordinated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Subordinated Debt Security (included in Exhibit 4.9 hereto)</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Certificate of Designations for Preferred Stock</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Preferred Stock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Form of Unit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Legal Opinion of Baker, Donelson, Bearman, Caldwell &amp; Berkowitz, PC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Calculation of Ratios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Consent of Baker, Donelson, Bearman, Caldwell &amp; Berkowitz, PC (included in Exhibit 5.1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Power of Attorney (incorporated by reference to the signature page of this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rPr>
              <w:t>Statement of Eligibility of Trustee under the Trust Indenture Act of 1939 on Form T-1 with respect to the Senior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0700" w:type="dxa"/>
            <w:vAlign w:val="bottom"/>
            <w:gridSpan w:val="3"/>
          </w:tcPr>
          <w:p>
            <w:pPr>
              <w:ind w:left="760"/>
              <w:spacing w:after="0"/>
              <w:rPr>
                <w:sz w:val="20"/>
                <w:szCs w:val="20"/>
                <w:color w:val="auto"/>
              </w:rPr>
            </w:pPr>
            <w:r>
              <w:rPr>
                <w:rFonts w:ascii="Arial" w:cs="Arial" w:eastAsia="Arial" w:hAnsi="Arial"/>
                <w:sz w:val="18"/>
                <w:szCs w:val="18"/>
                <w:color w:val="auto"/>
                <w:w w:val="97"/>
              </w:rPr>
              <w:t>Statement of Eligibility of Trustee under the Trust Indenture Act of 1939 on Form T-1 with respect to the 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or deemed to be incorporated by reference in this registration statement,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including a Current Report on Form 8-K.</w:t>
      </w:r>
    </w:p>
    <w:p>
      <w:pPr>
        <w:spacing w:after="0" w:line="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Filed herewith.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FIRST TENNESSEE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74750" cy="643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74750" cy="643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165 MADISON AVENUE</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PHONE: 901.526.2000</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FAX: 901.577.2303</w:t>
      </w:r>
    </w:p>
    <w:p>
      <w:pPr>
        <w:spacing w:after="0" w:line="1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www.bakerdonelson.com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23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We have acted as counsel to NN, Inc., a Delaware corporation (the “Company”), in connection with the Company’s registration statement on Form S-3, including the prospectus contained therein (the “Prospectus”), initially filed with the Securities and Exchange Commission (the “Commission”) under the Securities Act of 1933, as amended (the “Securities Act”) on December 29, 2014 and amended by Amendment No. 1 to the Registration Statement (File No. 33-201274) (as amended, the “Registration Statement”). The Prospectus provides that it will be supplemented in the future by one or more prospectus supplements (each, a “Prospectus Supplement”). The Prospectus, as supplemented by the various Prospectus Supplements, will provide for the issuance and sale from time to time by the Company of up to an aggregate of $200,000,000 if its: (i) shares of common stock, $0.01 par value per share (the “Common Stock”), (ii) shares of the Company’s preferred stock, $0.01 par value per share (the “Preferred Stock”), (iii) one or more series of senior or subordinated debt securities of the Company (the “Debt Securities”), (iv) warrants to purchase shares of Common Stock, shares of Preferred Stock and/or Debt Securities (the “Warrants”), (v) units comprised of shares of Common Stock, shares of Preferred Stock, Warrants and other securities of the Company in any combination (the “Units”), and/or (vi) any combination of the foregoing. The Common Stock, the Preferred Stock, the Debt Securities, the Warrants and the Units that may be offered and sold by the Company are herein referred to as the “Registered Securities”.</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Registered Securities may be offered and sold by the Company from time to time pursuant to Rule 415 under the Securities Act as set forth in the Prospectus, as supplemented by the various Prospectus Supplements that may be filed under the Securities Act. This opinion letter is furnished to you at your request to enable you to fulfill the requirements of Item 16 of Form S-3 and Item 601(b)(5) of Regulation S-K, in connection with the filing of the Registration Statement.</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Debt Securities consist of senior debt securities or subordinated debt securities and will be issued pursuant to one or more indentures in the forms filed as Exhibits 4.6 and 4.8 to the Registration Statement, as each may be amended or supplemented from time to time (each, as amended or supplemented, an “Indenture”), between the Company, as obligor, and a trustee chosen by the Company and qualified to act as such under the Trust Indenture Act of 1939, as amended (the “Trustee”).</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Warrants may be issued pursuant to a warrant agreement (the terms and conditions of which will be set forth in a Prospectus Supplement(s) relating to an issuance of Warrants), between the Company and a financial institution to be identified therein as a warrant agent (the “Warrant Agent”), as such warrant agreement may be supplemented from time to time (collectively, the “Warrant Agreement”).</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Units may be issued pursuant to a unit agreement (the terms and conditions of which will be set forth in a Prospectus Supplement(s) relating to an issuance of Units), between the Company and a bank or other financial institution as unit agent (the “Unit Agent”), as such unit agreement may be amended or supplemented from time to time (collectively, the “Unit Agreement”).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connection with this opinion, we have examined the Registration Statement and the Indenture. We have also examined originals or copies certified to our satisfaction of such records, documents, certificates, memoranda and other instruments as in our judgment are necessary or appropriate to enable us to render the opinion expressed below, and we have undertaken no independent verification with respect thereto. We have assumed the genuineness and authenticity of all documents submitted to us as originals, and the conformity to originals of all documents where due execution and delivery are a prerequisite to the effectiveness thereof. As to certain factual matters, we have relied upon representations of officers of the Company and have not sought to independently verify such matters.</w:t>
      </w:r>
    </w:p>
    <w:p>
      <w:pPr>
        <w:spacing w:after="0" w:line="19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To the extent that the obligations of the Company under Debt Securities may be dependent upon such matters, we assume for purposes of this opinion letter that (i) the Trustee is duly organized, validly existing and in good standing under the laws of its jurisdiction of organization; (ii) the Trustee is duly qualified to engage in the activities contemplated by the Indenture; (iii) the Indenture has been duly authorized, executed and delivered by the Trustee and constitutes the legally valid and binding obligation of the Trustee, enforceable against the Trustee in accordance with its terms; (iv) the Trustee is in compliance, generally and with respect to acting as a trustee under the Indenture, with all applicable laws and regulations; and (v) the Trustee has the requisite organizational and legal power and authority to execute and deliver and to perform its obligations under the Indenture.</w:t>
      </w:r>
    </w:p>
    <w:p>
      <w:pPr>
        <w:spacing w:after="0" w:line="178"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To the extent that the obligations of the Company under Warrants may be dependent upon such matters, we assume for purposes of this opinion letter that (i) the Warrant Agent is duly organized, validly existing and in good standing under the laws of its jurisdiction of organization; (ii) the Warrant Agent is duly qualified to engage in the activities contemplated by the Warrant Agreement; (iii) the Warrant Agreement has been duly authorized, executed and delivered by the Warrant Agent and constitutes the legally valid and binding obligation of the Warrant Agent, enforceable against the Warrant Agent in accordance with its terms; (iv) the Warrant Agent is in compliance, generally and with respect to acting as a trustee under the Warrant Agreement, with all applicable laws and regulations; and (v) the Warrant Agent has the requisite organizational and legal power and authority to execute and deliver and to perform its obligations under the Warrant Agreement.</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To the extent that the obligations of the Company under Units may be dependent upon such matters, we assume for purposes of this opinion letter that (i) the Unit Agent is duly organized, validly existing and in good standing under the laws of its jurisdiction of organization; (ii) the Unit Agent is duly qualified to engage in the activities contemplated by the Unit Agreement; (iii) the Unit Agreement has been duly authorized, executed and delivered by the Unit Agent and constitutes the legally valid and binding obligation of the Unit Agent, enforceable against the Unit Agent in accordance with its terms; (iv) the Unit Agent is in compliance, generally and with respect to acting as a trustee under the Unit Agreement, with all applicable laws and regulations; and (v) the Unit Agent has the requisite organizational and legal power and authority to execute and deliver and to perform its obligations under the Unit 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we are of the opinion that:</w:t>
      </w:r>
    </w:p>
    <w:p>
      <w:pPr>
        <w:spacing w:after="0" w:line="131" w:lineRule="exact"/>
        <w:rPr>
          <w:sz w:val="20"/>
          <w:szCs w:val="20"/>
          <w:color w:val="auto"/>
        </w:rPr>
      </w:pPr>
    </w:p>
    <w:p>
      <w:pPr>
        <w:ind w:left="900" w:right="160" w:hanging="446"/>
        <w:spacing w:after="0" w:line="30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has the authority pursuant to its Restated Certificate of Incorporation of the Company (“Charter”), to issue up to an aggregate of 45,000,000 shares of Common Stock. When (i) the Board of Directors of the Company has adopted a resolution in form and content as required by applicable law authorizing the issuance of shares of Common Stock (with such shares, together with all shares previously issued or reserved for issuance and not duly and lawfully retired, not exceeding an aggregate of 45,000,000 shares), (ii) the Registration</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20" w:right="60"/>
        <w:spacing w:after="0" w:line="279" w:lineRule="auto"/>
        <w:rPr>
          <w:sz w:val="20"/>
          <w:szCs w:val="20"/>
          <w:color w:val="auto"/>
        </w:rPr>
      </w:pPr>
      <w:r>
        <w:rPr>
          <w:rFonts w:ascii="Arial" w:cs="Arial" w:eastAsia="Arial" w:hAnsi="Arial"/>
          <w:sz w:val="17"/>
          <w:szCs w:val="17"/>
          <w:color w:val="auto"/>
        </w:rPr>
        <w:t>Statement and any required post-effective amendments thereto and any and all Prospectus Supplement(s) required by applicable laws have all become effective under the Securities Act, and (iii) such shares are issued and delivered and payment of legal consideration in excess of the par value thereof is received in the manner contemplated by the Registration Statement, the Prospectus and the related Prospectus Supplement(s) and by such resolution, such shares of Common Stock will be validly issued, fully paid and nonassessable.</w:t>
      </w:r>
    </w:p>
    <w:p>
      <w:pPr>
        <w:spacing w:after="0" w:line="77" w:lineRule="exact"/>
        <w:rPr>
          <w:sz w:val="20"/>
          <w:szCs w:val="20"/>
          <w:color w:val="auto"/>
        </w:rPr>
      </w:pPr>
    </w:p>
    <w:p>
      <w:pPr>
        <w:ind w:left="900" w:hanging="446"/>
        <w:spacing w:after="0" w:line="25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the authority pursuant to its Charter to issue up to an aggregate of 5,000,000 shares of Preferred Stock. When (i) a series of Preferred Stock has been duly established in accordance with the terms of the Charter and applicable law, (ii) when the Board of Directors of the Company has adopted a resolution in form and content as required by applicable law authorizing the issuance of shares of Preferred Stock (with such shares, together with all shares previously issued or reserved for issuance and not duly and lawfully retired, not exceeding an aggregate of 5,000,000 shares), (iii) the Registration Statement and any required post-effective amendments thereto and any and all Prospectus Supplement(s) required by applicable laws have all become effective under the Securities Act, and (iv) such shares are issued and delivered and payment of legal consideration in excess of the par value thereof is received in the manner contemplated by the Registration Statement, the Prospectus and the related Prospectus Supplement(s) and by such resolution, shares of such series of Preferred Stock will be validly issued, fully paid and nonassessable.</w:t>
      </w:r>
    </w:p>
    <w:p>
      <w:pPr>
        <w:spacing w:after="0" w:line="102" w:lineRule="exact"/>
        <w:rPr>
          <w:rFonts w:ascii="Arial" w:cs="Arial" w:eastAsia="Arial" w:hAnsi="Arial"/>
          <w:sz w:val="18"/>
          <w:szCs w:val="18"/>
          <w:color w:val="auto"/>
        </w:rPr>
      </w:pPr>
    </w:p>
    <w:p>
      <w:pPr>
        <w:ind w:left="900" w:right="60" w:hanging="446"/>
        <w:spacing w:after="0" w:line="287"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When (i) the Indenture has been duly executed and delivered by the Company and the Trustee, (ii) the Debt Securities have been duly established in accordance with the Indenture (including, without limitation, the adoption by the Board of Directors of the Company, or a duly formed committee thereof, of a resolution duly authorizing the issuance and delivery of the Debt Securities), duly authenticated by the Trustee and duly executed and delivered on behalf of the Company against payment therefor in accordance with the terms and provisions of the Indenture and as contemplated by the Registration Statement, the Prospectus and the related Prospectus Supplement(s), and (iii) the Registration Statement and any required post-effective amendments thereto and any and all Prospectus Supplement(s) required by applicable laws have all become effective under the Securities Act, and assuming that the (x) terms of the Debt Securities as executed and delivered are as described in the Registration Statement, the Prospectus and the related Prospectus Supplement(s), (y) Debt Securities as executed and delivered do not violate any law applicable to the Company or result in a default under or breach of any agreement or instrument binding upon the Company, and (z) Debt Securities as executed and delivered comply with all requirements and restrictions, if any, applicable to the Company, whether imposed by any court or governmental or regulatory body having jurisdiction over the Company, the Debt Securities will constitute legally valid and binding obligations of the Company, enforceable against the Company in accordance with their terms.</w:t>
      </w:r>
    </w:p>
    <w:p>
      <w:pPr>
        <w:spacing w:after="0" w:line="74"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When (i) the Warrant Agreement has been duly executed and delivered by the Company and the Warrant Agent, (ii) the Warrants have been established in accordance with the Warrant Agreement (including, without limitation, the adoption by the Board of Directors of the Company, or a duly formed committee thereof, of a resolution duly authorizing the issuance and delivery of the Warrants), duly authenticated by the Warrant Agent and duly executed and</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right="80"/>
        <w:spacing w:after="0" w:line="270" w:lineRule="auto"/>
        <w:rPr>
          <w:sz w:val="20"/>
          <w:szCs w:val="20"/>
          <w:color w:val="auto"/>
        </w:rPr>
      </w:pPr>
      <w:r>
        <w:rPr>
          <w:rFonts w:ascii="Arial" w:cs="Arial" w:eastAsia="Arial" w:hAnsi="Arial"/>
          <w:sz w:val="17"/>
          <w:szCs w:val="17"/>
          <w:color w:val="auto"/>
        </w:rPr>
        <w:t>delivered on behalf of the Company against payment therefor in accordance with the terms and provisions of the Warrant Agreement and as contemplated by the Registration Statement, the Prospectus and the related Prospectus Supplement(s), and (iii) the Registration Statement and any required post-effective amendments thereto and any and all Prospectus Supplement(s) required by applicable laws have all become effective under the Securities Act, and assuming that the (x) terms of the Warrants executed and delivered are as described in the Registration Statement, the Prospectus and the related Prospectus Supplement(s), (y) Warrants as executed and delivered do not violate any law applicable to the Company or result in a default under or breach of any agreement or instrument binding upon the Company, and (z) Warrants as executed and delivered comply with all requirements and restrictions, if any, applicable to the Company, whether imposed by any court or governmental or regulatory body having jurisdiction over the Company, the Warrants will constitute legally valid and binding obligations of the Company, enforceable against the Company in accordance with their terms.</w:t>
      </w:r>
    </w:p>
    <w:p>
      <w:pPr>
        <w:spacing w:after="0" w:line="87" w:lineRule="exact"/>
        <w:rPr>
          <w:sz w:val="20"/>
          <w:szCs w:val="20"/>
          <w:color w:val="auto"/>
        </w:rPr>
      </w:pPr>
    </w:p>
    <w:p>
      <w:pPr>
        <w:ind w:left="900" w:right="80" w:hanging="446"/>
        <w:spacing w:after="0" w:line="28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When (i) the Unit Agreement has been duly executed and delivered by the Company and the Unit Agent, (ii) the Units have been established in accordance with the Unit Agreement (including, without limitation, the adoption by the Board of Directors of the Company, or a duly formed committee thereof, of a resolution duly authorizing the issuance and delivery of the Units including the other Registered Securities that are components of such Units), duly authenticated by the Unit Agent and duly executed and delivered on behalf of the Company against payment therefor in accordance with the terms and provisions of the Unit Agreement and as contemplated by the Registration Statement, the Prospectus and the related Prospectus Supplement(s), and (iii) the Registration Statement and any required post-effective amendments thereto and any and all Prospectus Supplement(s) required by applicable laws have all become effective under the Securities Act, and assuming that the (x) terms of the Units, including the terms of the Registered Securities which are components of such Units, executed and delivered are as described in the Registration Statement, the Prospectus and the related Prospectus Supplement(s), (y) Units, including the Registered Securities which are components of such Units, as executed and delivered do not violate any law applicable to the Company or result in a default under or breach of any agreement or instrument binding upon the Company, and (z) Units, including the Registered Securities which are components of such Units, as executed and delivered comply with all requirements and restrictions, if any, applicable to the Company, whether imposed by any court or governmental or regulatory body having jurisdiction over the Company, such Units will constitute legally valid and binding obligations of the Company, enforceable against the Company in accordance with their terms.</w:t>
      </w:r>
    </w:p>
    <w:p>
      <w:pPr>
        <w:spacing w:after="0" w:line="17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opinions provided above are subject to the following exceptions, limitations and qualifications: (i) the effect of bankruptcy, insolvency, fraudulent transfer, reorganization, moratorium or other similar laws relating to or affecting the rights and remedies of creditors (including, without limitation, the effect of statutory or other laws regarding preferential transferees); (ii) the effect of general equitable principles (including, without limitation, concepts of materiality, reasonableness, good faith and fair dealing), regardless of whether considered in a proceeding at law or in equity,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and (iv) the unenforceability of any provision requiring the payment of attorneys’ fees, where such payment is contrary to law or public policy.</w:t>
      </w:r>
    </w:p>
    <w:p>
      <w:pPr>
        <w:spacing w:after="0" w:line="16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express no opinion as to (i) the effectiveness (A) of any waiver (whether or not stated as such) under Section 514 of the Indenture, or otherwise, or any consent thereunder relating to, any unknown future rights or the rights of any party thereto existing, or duties owing to it, as a matter of law;</w:t>
      </w:r>
    </w:p>
    <w:p>
      <w:pPr>
        <w:ind w:right="60" w:firstLine="8"/>
        <w:spacing w:after="0" w:line="268" w:lineRule="auto"/>
        <w:tabs>
          <w:tab w:leader="none" w:pos="2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any waiver (whether or not stated as such) contained in the Indenture of rights of any party, or duties owing to it, that is broadly or vaguely stated or does not describe the right or duty purportedly waived with reasonable specificity; (C) of any provisions of the Indenture or Warrant Agreement that may be construed as penalties or forfeitures; or (D) of any covenants (other than covenants relating to the payment of principal, interest, premium, indemnities and expenses) in the Indenture or Warrant Agreement to the extent they are construed to be independent requirements as distinguished from conditions to the declaration or occurrence of a default or any event of default; or (ii) the validity, binding effect or enforceability of any provision of the Indenture or Warrant Agreement related to choice of governing law to the extent that the validity, binding effect or enforceability of any such provision is to be determined by any court other than a court of the State of New York or State of Delaware or a federal district court sitting in the State of New York or State of Delaware, in each case, applying the choice of law principles of the State of New York or the State of Delaware, respectively.</w:t>
      </w:r>
    </w:p>
    <w:p>
      <w:pPr>
        <w:spacing w:after="0" w:line="18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examination of matters of law in connection with the opinions expressed herein has been limited to, and accordingly our opinions expressed herein are limited to, the laws of the State of New York and the laws of the State of Delaware. We express no opinion with respect to the laws of any other jurisdiction.</w:t>
      </w:r>
    </w:p>
    <w:p>
      <w:pPr>
        <w:sectPr>
          <w:pgSz w:w="11900" w:h="16838" w:orient="portrait"/>
          <w:cols w:equalWidth="0" w:num="1">
            <w:col w:w="11400"/>
          </w:cols>
          <w:pgMar w:left="240" w:top="27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w:t>
      </w:r>
    </w:p>
    <w:p>
      <w:pPr>
        <w:spacing w:after="0" w:line="170"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We hereby consent to the reference to our name under the caption “Legal Matters” in the Prospectus constituting a part of the Registration Statement, and any amendments or supplements thereto, and further consent to the filing of this opinion as Exhibit 5.1 to the Registration Statement.</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DONELSON, BEARMAN, CALDWELL &amp;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BERKOWITZ, a professional 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1400"/>
          </w:cols>
          <w:pgMar w:left="240" w:top="274"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14705" cy="61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47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incorporation by reference in this Amendment No. 1 to Registration Statement on Form S-3 of our report dated March 14, 2014 relating to the financial statements, financial statement schedule and the effectiveness of internal control over financial reporting, which appears in NN Inc.’s Annual Report on Form 10-K for the year ended December 31, 2013.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2015</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this Amendment No. 1 to Registration Statement No. 333-201247 on Form S-3 of our report dated March 28, 2014, related to the consolidated financial statements of Autocam Corporation as of and for the years ended December 31, 2013, 2012, and 2011, appearing in the Amendment to the Current Report on Form 8-K of NN, Inc. dated October 27, 2014, and to the reference to us under the heading “Experts” in the Prospectus, which is a part of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w:t>
      </w:r>
      <w:r>
        <w:rPr>
          <w:rFonts w:ascii="Arial" w:cs="Arial" w:eastAsia="Arial" w:hAnsi="Arial"/>
          <w:sz w:val="18"/>
          <w:szCs w:val="18"/>
          <w:i w:val="1"/>
          <w:iCs w:val="1"/>
          <w:color w:val="auto"/>
        </w:rPr>
        <w:t>,</w:t>
      </w:r>
      <w:r>
        <w:rPr>
          <w:rFonts w:ascii="Arial" w:cs="Arial" w:eastAsia="Arial" w:hAnsi="Arial"/>
          <w:sz w:val="18"/>
          <w:szCs w:val="18"/>
          <w:color w:val="auto"/>
        </w:rPr>
        <w:t xml:space="preserve">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2"/>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lvl w:ilvl="1">
      <w:lvlJc w:val="left"/>
      <w:lvlText w:val="(%2)"/>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lvl w:ilvl="1">
      <w:lvlJc w:val="left"/>
      <w:lvlText w:val="(%2)"/>
      <w:numFmt w:val="lowerRoman"/>
      <w:start w:val="1"/>
    </w:lvl>
  </w:abstractNum>
  <w:abstractNum w:abstractNumId="38">
    <w:nsid w:val="2A487CB0"/>
    <w:multiLevelType w:val="hybridMultilevel"/>
    <w:lvl w:ilvl="0">
      <w:lvlJc w:val="left"/>
      <w:lvlText w:val="(%1)"/>
      <w:numFmt w:val="decimal"/>
      <w:start w:val="2"/>
    </w:lvl>
    <w:lvl w:ilvl="1">
      <w:lvlJc w:val="left"/>
      <w:lvlText w:val="(%2)"/>
      <w:numFmt w:val="lowerRoman"/>
      <w:start w:val="1"/>
    </w:lvl>
  </w:abstractNum>
  <w:abstractNum w:abstractNumId="39">
    <w:nsid w:val="1D4ED43B"/>
    <w:multiLevelType w:val="hybridMultilevel"/>
    <w:lvl w:ilvl="0">
      <w:lvlJc w:val="left"/>
      <w:lvlText w:val="%1"/>
      <w:numFmt w:val="decimal"/>
      <w:start w:val="1"/>
    </w:lvl>
    <w:lvl w:ilvl="1">
      <w:lvlJc w:val="left"/>
      <w:lvlText w:val="(%2)"/>
      <w:numFmt w:val="lowerRoman"/>
      <w:start w:val="1"/>
    </w:lvl>
  </w:abstractNum>
  <w:abstractNum w:abstractNumId="40">
    <w:nsid w:val="725A06FB"/>
    <w:multiLevelType w:val="hybridMultilevel"/>
    <w:lvl w:ilvl="0">
      <w:lvlJc w:val="left"/>
      <w:lvlText w:val="(%1)"/>
      <w:numFmt w:val="decimal"/>
      <w:start w:val="6"/>
    </w:lvl>
    <w:lvl w:ilvl="1">
      <w:lvlJc w:val="left"/>
      <w:lvlText w:val="%2"/>
      <w:numFmt w:val="lowerRoman"/>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5"/>
    </w:lvl>
  </w:abstractNum>
  <w:abstractNum w:abstractNumId="46">
    <w:nsid w:val="6DE91B1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2019-12-06T10:09:40Z</dcterms:created>
  <dcterms:modified xsi:type="dcterms:W3CDTF">2019-12-06T10:09:40Z</dcterms:modified>
</cp:coreProperties>
</file>