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169545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Date of Report (Date of earliest event reported): November 8, 2018 (November 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264795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444500</wp:posOffset>
            </wp:positionV>
            <wp:extent cx="754380" cy="7289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54380"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NN, INC.</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20"/>
          </w:cols>
          <w:pgMar w:left="440" w:top="449" w:right="439" w:bottom="1440" w:gutter="0" w:footer="0" w:header="0"/>
        </w:sectPr>
      </w:pPr>
    </w:p>
    <w:p>
      <w:pPr>
        <w:spacing w:after="0" w:line="200" w:lineRule="exact"/>
        <w:rPr>
          <w:sz w:val="24"/>
          <w:szCs w:val="24"/>
          <w:color w:val="auto"/>
        </w:rPr>
      </w:pPr>
    </w:p>
    <w:p>
      <w:pPr>
        <w:spacing w:after="0" w:line="303"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520" w:space="720"/>
            <w:col w:w="2860" w:space="720"/>
            <w:col w:w="2200"/>
          </w:cols>
          <w:pgMar w:left="440" w:top="449"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20"/>
          </w:cols>
          <w:pgMar w:left="440" w:top="449" w:right="439" w:bottom="1440" w:gutter="0" w:footer="0" w:header="0"/>
          <w:type w:val="continuous"/>
        </w:sectPr>
      </w:pPr>
    </w:p>
    <w:p>
      <w:pPr>
        <w:spacing w:after="0" w:line="6"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6210 Ardrey Kell Road</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28277</w:t>
      </w:r>
    </w:p>
    <w:p>
      <w:pPr>
        <w:spacing w:after="0" w:line="61" w:lineRule="exact"/>
        <w:rPr>
          <w:sz w:val="24"/>
          <w:szCs w:val="24"/>
          <w:color w:val="auto"/>
        </w:rPr>
      </w:pPr>
    </w:p>
    <w:p>
      <w:pPr>
        <w:sectPr>
          <w:pgSz w:w="11900" w:h="16838" w:orient="portrait"/>
          <w:cols w:equalWidth="0" w:num="2">
            <w:col w:w="8320" w:space="720"/>
            <w:col w:w="1980"/>
          </w:cols>
          <w:pgMar w:left="440" w:top="449" w:right="439" w:bottom="1440" w:gutter="0" w:footer="0" w:header="0"/>
          <w:type w:val="continuous"/>
        </w:sectPr>
      </w:pPr>
    </w:p>
    <w:p>
      <w:pPr>
        <w:ind w:left="25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8200" w:space="720"/>
            <w:col w:w="2100"/>
          </w:cols>
          <w:pgMar w:left="440" w:top="449"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020"/>
          </w:cols>
          <w:pgMar w:left="440" w:top="449" w:right="439" w:bottom="1440" w:gutter="0" w:footer="0" w:header="0"/>
          <w:type w:val="continuous"/>
        </w:sect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160655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340" w:hanging="336"/>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40" w:hanging="336"/>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40" w:hanging="336"/>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40" w:hanging="336"/>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Pre-commencementcommunications pursuant to Rule 13e-4(c) under the Exchange Act (17 CFR 240.13e-4(c))</w:t>
      </w:r>
    </w:p>
    <w:p>
      <w:pPr>
        <w:spacing w:after="0" w:line="25"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5" w:lineRule="exact"/>
        <w:rPr>
          <w:sz w:val="24"/>
          <w:szCs w:val="24"/>
          <w:color w:val="auto"/>
        </w:rPr>
      </w:pPr>
    </w:p>
    <w:p>
      <w:pPr>
        <w:ind w:left="88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73"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449"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November 7, 2018, NN, Inc. (the “Company”) issued a press release announcing the Company’s financial results for the quarter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The full text of the press release is furnished as Exhibit 99.1 and is incorporated herein by reference.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the rules and regulations of the U.S. Securities and Exchange Commission (the “SEC”), the information furnished pursuant to Item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 of this Current Report on Form 8-K (including Exhibit 99.1) is deemed to have been furnished and shall not be deemed to be “filed” for purposes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Section 18 of the Securities Exchange Act of 1934, as amended, or otherwise subject to the liabilities of that section. Such information shall not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 into any filing of the Company, whether made before or after the date hereof, regardless of any general incorporation language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such filing.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58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5"/>
                <w:szCs w:val="15"/>
                <w:color w:val="auto"/>
              </w:rPr>
            </w:pPr>
          </w:p>
        </w:tc>
        <w:tc>
          <w:tcPr>
            <w:tcW w:w="4240" w:type="dxa"/>
            <w:vAlign w:val="bottom"/>
            <w:tcBorders>
              <w:bottom w:val="single" w:sz="8" w:color="auto"/>
            </w:tcBorders>
          </w:tcPr>
          <w:p>
            <w:pPr>
              <w:spacing w:after="0"/>
              <w:rPr>
                <w:sz w:val="15"/>
                <w:szCs w:val="15"/>
                <w:color w:val="auto"/>
              </w:rPr>
            </w:pPr>
          </w:p>
        </w:tc>
        <w:tc>
          <w:tcPr>
            <w:tcW w:w="5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60" w:type="dxa"/>
            <w:vAlign w:val="bottom"/>
            <w:gridSpan w:val="2"/>
          </w:tcPr>
          <w:p>
            <w:pPr>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3"/>
                <w:szCs w:val="23"/>
                <w:color w:val="auto"/>
              </w:rPr>
            </w:pPr>
          </w:p>
        </w:tc>
        <w:tc>
          <w:tcPr>
            <w:tcW w:w="42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Press Release issued by NN, Inc., dated November 7, 2018</w:t>
              </w:r>
            </w:hyperlink>
          </w:p>
        </w:tc>
        <w:tc>
          <w:tcPr>
            <w:tcW w:w="58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2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248"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  /s/ Matthew S. Heiter</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3625850</wp:posOffset>
            </wp:positionH>
            <wp:positionV relativeFrom="paragraph">
              <wp:posOffset>-130810</wp:posOffset>
            </wp:positionV>
            <wp:extent cx="33788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Title:</w:t>
        <w:tab/>
        <w:t>Senior Vice President, General Counsel</w:t>
      </w:r>
    </w:p>
    <w:p>
      <w:pPr>
        <w:sectPr>
          <w:pgSz w:w="11900" w:h="16838" w:orient="portrait"/>
          <w:cols w:equalWidth="0" w:num="1">
            <w:col w:w="10720"/>
          </w:cols>
          <w:pgMar w:left="440" w:top="270"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3387725" cy="857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87725"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6210 Ardrey Kell Road</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Charlotte, NC 28277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ectPr>
          <w:pgSz w:w="11900" w:h="16838" w:orient="portrait"/>
          <w:cols w:equalWidth="0" w:num="1">
            <w:col w:w="11020"/>
          </w:cols>
          <w:pgMar w:left="440" w:top="121"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Paul Taylor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VP Marketing &amp;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(980) 264-4313</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AT ABERNATHY MACGREGOR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Claire Walsh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371-5999</w:t>
      </w:r>
    </w:p>
    <w:p>
      <w:pPr>
        <w:spacing w:after="0" w:line="200" w:lineRule="exact"/>
        <w:rPr>
          <w:sz w:val="20"/>
          <w:szCs w:val="20"/>
          <w:color w:val="auto"/>
        </w:rPr>
      </w:pPr>
    </w:p>
    <w:p>
      <w:pPr>
        <w:sectPr>
          <w:pgSz w:w="11900" w:h="16838" w:orient="portrait"/>
          <w:cols w:equalWidth="0" w:num="2">
            <w:col w:w="5020" w:space="720"/>
            <w:col w:w="5280"/>
          </w:cols>
          <w:pgMar w:left="440" w:top="121" w:right="4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November 7, 2018</w:t>
      </w:r>
    </w:p>
    <w:p>
      <w:pPr>
        <w:sectPr>
          <w:pgSz w:w="11900" w:h="16838" w:orient="portrait"/>
          <w:cols w:equalWidth="0" w:num="1">
            <w:col w:w="11020"/>
          </w:cols>
          <w:pgMar w:left="440" w:top="121" w:right="4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REPORTS THIRD QUARTER 2018 RESULTS</w:t>
      </w:r>
    </w:p>
    <w:p>
      <w:pPr>
        <w:spacing w:after="0" w:line="225"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Charlotte, NC, November 7, 2018 –</w:t>
      </w:r>
      <w:r>
        <w:rPr>
          <w:rFonts w:ascii="Arial" w:cs="Arial" w:eastAsia="Arial" w:hAnsi="Arial"/>
          <w:sz w:val="18"/>
          <w:szCs w:val="18"/>
          <w:color w:val="auto"/>
        </w:rPr>
        <w:t>NN, Inc., (NASDAQ: NNBR), a diversified industrial company, today reported its financial results for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September 30, 2018.</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GAAP Results</w:t>
      </w:r>
    </w:p>
    <w:p>
      <w:pPr>
        <w:spacing w:after="0" w:line="12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Net sales for the third quarter of 2018 increased $57.5 million, or 38.8%, to $205.7 million, compared to $148.2 million for the third quarter of 2017, driven by sales from acquisitions of $54.4 million and organic sales growth of $5.1 million offset by foreign exchange impacts of $2.0 million.</w:t>
      </w:r>
    </w:p>
    <w:p>
      <w:pPr>
        <w:spacing w:after="0" w:line="12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a GAAP basis, income from operations for the third quarter of 2018 was $5.9 million, compared to $5.6 million for the same period in 2017, due to strong growth in income from organic and acquisition sales growth in Life Sciences partially offset by higher than normal costs incurred in new program launches at each of the Life Sciences, Mobile Solutions and Power Solutions segments. Net loss on a GAAP basis for the third quarter of 2018 was $13.8 million. This compares to net income on a GAAP basis of $126.0 million in the third quarter of 2017. The third quarter of 2018 included</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$0.6 million in acquisition costs on a pre-tax basis and $6.6 million in debt extinguishment costs on a pre-tax basis. The third quarter of 2017 net income included $129.4 million of income from discontinued operations, net of tax which was primarily related to the gain on sale of our former Precision Bearings business.</w:t>
      </w:r>
    </w:p>
    <w:p>
      <w:pPr>
        <w:spacing w:after="0" w:line="1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a GAAP basis, income from operations for third quarter 2018 in the Life Sciences segment was $6.7 million, compared to $3.0 million for the same period in 2017.</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a GAAP basis, income from operations for third quarter 2018 in the Mobile Solutions segment was $4.7 million, compared to $6.8 million for the same period in 2017.</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a GAAP basis, income from operations for third quarter 2018 in the Power Solutions segment was $2.7 million, compared to $4.2 million for the same period in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Results</w:t>
      </w:r>
    </w:p>
    <w:p>
      <w:pPr>
        <w:spacing w:after="0" w:line="12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Adjusted income from operations for the third quarter of 2018 was $26.4 million, compared to $14.7 million for the same period in 2017. Adjusted net income increased to $8.7 million, or $0.30 per diluted share, from $6.4 million, or $0.23 per diluted share, for the same period in 2017.</w:t>
      </w:r>
    </w:p>
    <w:p>
      <w:pPr>
        <w:sectPr>
          <w:pgSz w:w="11900" w:h="16838" w:orient="portrait"/>
          <w:cols w:equalWidth="0" w:num="1">
            <w:col w:w="11020"/>
          </w:cols>
          <w:pgMar w:left="440" w:top="121" w:right="439" w:bottom="1440" w:gutter="0" w:footer="0" w:header="0"/>
          <w:type w:val="continuous"/>
        </w:sectPr>
      </w:pPr>
    </w:p>
    <w:bookmarkStart w:id="4" w:name="page5"/>
    <w:bookmarkEnd w:id="4"/>
    <w:p>
      <w:pPr>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Richard Holder, President and Chief Executive Officer, commented, “Through our improved business balance amongst end markets that behave in a counter cyclical manner, we delivered improved operating margins compared to last year. However, late in the quarter, our topline was adversely affected by macroeconomic factors primarily tied to tariff and trade concerns and uncertainty primarily in China, as well as an unfavorable foreign exchange and product mix in our Mobile Solutions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Sciences</w:t>
      </w:r>
    </w:p>
    <w:p>
      <w:pPr>
        <w:spacing w:after="0" w:line="121" w:lineRule="exact"/>
        <w:rPr>
          <w:sz w:val="20"/>
          <w:szCs w:val="20"/>
          <w:color w:val="auto"/>
        </w:rPr>
      </w:pPr>
    </w:p>
    <w:p>
      <w:pPr>
        <w:ind w:right="1000"/>
        <w:spacing w:after="0" w:line="308" w:lineRule="auto"/>
        <w:rPr>
          <w:sz w:val="20"/>
          <w:szCs w:val="20"/>
          <w:color w:val="auto"/>
        </w:rPr>
      </w:pPr>
      <w:r>
        <w:rPr>
          <w:rFonts w:ascii="Arial" w:cs="Arial" w:eastAsia="Arial" w:hAnsi="Arial"/>
          <w:sz w:val="17"/>
          <w:szCs w:val="17"/>
          <w:color w:val="auto"/>
        </w:rPr>
        <w:t>Net sales for the third quarter of 2018 were $78.4 million, compared to $22.2 million in the third quarter of 2017, an increase of 253.7% or $56.2 million. Adjusted income from operations for the quarter was $16.2 million, compared to $5.3 million in 2017.</w:t>
      </w:r>
    </w:p>
    <w:p>
      <w:pPr>
        <w:spacing w:after="0" w:line="14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Mr. Holder commented, “With the ongoing integration of Paragon Medical, coupled with strong growth in our legacy businesses, we continue to anticipate strong momentum in Life Sciences in line with our expectations.”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Solutions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Net sales for the third quarter of 2018 were $81.8 million, compared to $81.7 million in the third quarter of 2017, an increase of 0.2% or $0.1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with organic sales growth of 3% being offset by foreign exchange effects. Adjusted income from operations for the quarter decreased $1.9 million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$6.6 million, compared to $8.5 million in the third quarter of 2017. The slowing demand in China, coupled with costs incurred in new program launches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impacted sales and adjusted operating income during the quarter.</w:t>
      </w:r>
    </w:p>
    <w:p>
      <w:pPr>
        <w:spacing w:after="0" w:line="21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Mr. Holder commented, “Mobile Solutions continues to drive toward improving its operating performance and production efficiency as we transition the ramp up of our record number of new programs from start-up to full production. While global automotive demand is softening, we anticipate that the continued adoption of CAFE technologies and our new program launches in this market will lessen the severity of the impact on our CAFE business.”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Solutions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Net sales for the third quarter of 2018 were $46.1 million, compared to $44.8 million in the third quarter of 2017, an increase of 2.8% or $1.3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Adjusted income from operations for the quarter was $7.9 million, compared to $7.3 million in 2017.</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Mr. Holder commented, “We are making targeted strategic investments in Power Solutions, primarily in Aerospace and Defense to support this growing business. Recently announced investments into state-of-the-art technologies, as well as the expansion of our manufacturing capabilities in the northeast and California, are consistent with NN’s balanced portfolio approach and overall focus on expanding our presence in the electrical and aerospace end markets.”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The full set of financial guidance for the third quarter of 2018 can be found in our supplemental presentation posted in the Investor Relations section of our website at </w:t>
      </w:r>
      <w:r>
        <w:rPr>
          <w:rFonts w:ascii="Arial" w:cs="Arial" w:eastAsia="Arial" w:hAnsi="Arial"/>
          <w:sz w:val="18"/>
          <w:szCs w:val="18"/>
          <w:u w:val="single" w:color="auto"/>
          <w:color w:val="auto"/>
        </w:rPr>
        <w:t>www.nninc.com</w:t>
      </w:r>
      <w:r>
        <w:rPr>
          <w:rFonts w:ascii="Arial" w:cs="Arial" w:eastAsia="Arial" w:hAnsi="Arial"/>
          <w:sz w:val="18"/>
          <w:szCs w:val="18"/>
          <w:color w:val="auto"/>
        </w:rPr>
        <w:t>.</w:t>
      </w:r>
    </w:p>
    <w:p>
      <w:pPr>
        <w:spacing w:after="0" w:line="170" w:lineRule="exact"/>
        <w:rPr>
          <w:sz w:val="20"/>
          <w:szCs w:val="20"/>
          <w:color w:val="auto"/>
        </w:rPr>
      </w:pPr>
    </w:p>
    <w:p>
      <w:pPr>
        <w:ind w:right="260" w:firstLine="4"/>
        <w:spacing w:after="0" w:line="312" w:lineRule="auto"/>
        <w:tabs>
          <w:tab w:leader="none" w:pos="30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will discuss its results during its quarterly investor conference call on November 8, 2018 at 9:00 a.m. ET. The call and supplemental presentation may be accessed via NN’s website, </w:t>
      </w:r>
      <w:r>
        <w:rPr>
          <w:rFonts w:ascii="Arial" w:cs="Arial" w:eastAsia="Arial" w:hAnsi="Arial"/>
          <w:sz w:val="16"/>
          <w:szCs w:val="16"/>
          <w:u w:val="single" w:color="auto"/>
          <w:color w:val="auto"/>
        </w:rPr>
        <w:t>www.nninc.com</w:t>
      </w:r>
      <w:r>
        <w:rPr>
          <w:rFonts w:ascii="Arial" w:cs="Arial" w:eastAsia="Arial" w:hAnsi="Arial"/>
          <w:sz w:val="16"/>
          <w:szCs w:val="16"/>
          <w:color w:val="auto"/>
        </w:rPr>
        <w:t>. The conference call can also be accessed by dialing 1-877-260-1479 or 1-334-323-0522 Conference ID: 7616914. For those who are unavailable to listen to the live broadcast, a replay will be available shortly after the call for 30 days.</w:t>
      </w:r>
    </w:p>
    <w:p>
      <w:pPr>
        <w:spacing w:after="0" w:line="147" w:lineRule="exact"/>
        <w:rPr>
          <w:sz w:val="20"/>
          <w:szCs w:val="20"/>
          <w:color w:val="auto"/>
        </w:rPr>
      </w:pPr>
    </w:p>
    <w:p>
      <w:pPr>
        <w:ind w:right="280" w:firstLine="4"/>
        <w:spacing w:after="0" w:line="259" w:lineRule="auto"/>
        <w:tabs>
          <w:tab w:leader="none" w:pos="30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discloses in this press release the non-GAAP financial measures of adjusted income from operations, adjusted net income (loss) and adjusted net income per diluted share. Each of adjusted income from operations, adjusted net income (loss) and adjusted net income per diluted share provide supplementary information about the impacts of restructuring and integration expense, acquisition and transition expenses, foreign-exchange, amortization of intangibles and other non-operating impacts on our business.</w:t>
      </w:r>
    </w:p>
    <w:p>
      <w:pPr>
        <w:sectPr>
          <w:pgSz w:w="11900" w:h="16838" w:orient="portrait"/>
          <w:cols w:equalWidth="0" w:num="1">
            <w:col w:w="11000"/>
          </w:cols>
          <w:pgMar w:left="440" w:top="274" w:right="459" w:bottom="1440" w:gutter="0" w:footer="0" w:header="0"/>
        </w:sectPr>
      </w:pPr>
    </w:p>
    <w:bookmarkStart w:id="5" w:name="page6"/>
    <w:bookmarkEnd w:id="5"/>
    <w:p>
      <w:pPr>
        <w:jc w:val="both"/>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financial tables found later in this press release include a reconciliation of adjusted income from operations, adjusted net income (loss) and adjusted net income (loss) per diluted share to the U.S. GAAP financial measures of income from operations, net income (loss) and net income (loss) per diluted share.</w:t>
      </w:r>
    </w:p>
    <w:p>
      <w:pPr>
        <w:spacing w:after="0" w:line="181"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51 facilities in North America, Western Europe, Eastern Europe, South America and China.</w:t>
      </w:r>
    </w:p>
    <w:p>
      <w:pPr>
        <w:spacing w:after="0" w:line="161" w:lineRule="exact"/>
        <w:rPr>
          <w:sz w:val="20"/>
          <w:szCs w:val="20"/>
          <w:color w:val="auto"/>
        </w:rPr>
      </w:pPr>
    </w:p>
    <w:p>
      <w:pPr>
        <w:ind w:right="60"/>
        <w:spacing w:after="0" w:line="242" w:lineRule="auto"/>
        <w:rPr>
          <w:sz w:val="20"/>
          <w:szCs w:val="20"/>
          <w:color w:val="auto"/>
        </w:rPr>
      </w:pPr>
      <w:r>
        <w:rPr>
          <w:rFonts w:ascii="Arial" w:cs="Arial" w:eastAsia="Arial" w:hAnsi="Arial"/>
          <w:sz w:val="13"/>
          <w:szCs w:val="13"/>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 or the possibility that the Company will be unable to execute on the intended redeployment of proceeds from a divestiture, whether due to a lack of favorable investment opportunities or otherwise.</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3"/>
          <w:szCs w:val="13"/>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2017. Except as required by law, we undertake no obligation to update or revise any forward-looking statements we make in our press releases, whether as a result of new information, future events or otherwise.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Financial Tables Follow</w:t>
      </w:r>
    </w:p>
    <w:p>
      <w:pPr>
        <w:sectPr>
          <w:pgSz w:w="11900" w:h="16838" w:orient="portrait"/>
          <w:cols w:equalWidth="0" w:num="1">
            <w:col w:w="11000"/>
          </w:cols>
          <w:pgMar w:left="440" w:top="274" w:right="4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of dollars,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205,683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148,156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571,180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463,658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Cost of sales (exclusive of depreciation and amortization shown separately below)</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156,408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111,272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431,492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340,266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Acquisition related costs excluded from selling, general and administrative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Other operating income,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integration expense (adjustments),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19,562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39,639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Derivative gain on change in interest rate swap fair value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Loss from continuing operations before benefit for income taxes and share of net income from</w:t>
            </w: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joint venture</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(19,659)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(6,406)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(58,753)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(46,304)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Loss from continuing operations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(13,784)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(44,277)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(27,961)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 (Note 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129,441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140,195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(13,784</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125,961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(44,277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112,234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Reclassification adjustment for discontinued operations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(9,243)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gain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(14,509)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(4,193</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(2,832</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(14,509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(17,977)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123,129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(58,786)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124,018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net loss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continuing operations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Income from discontinued operations per share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vMerge w:val="restart"/>
          </w:tcPr>
          <w:p>
            <w:pPr>
              <w:ind w:left="340"/>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loss per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Loss from continuing operations per share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(0.48)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per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Net income (loss) per share</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1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GAAP Income from Operations to Non-GAAP Adjusted Income from Operations</w:t>
      </w:r>
    </w:p>
    <w:p>
      <w:pPr>
        <w:sectPr>
          <w:pgSz w:w="11900" w:h="16838" w:orient="portrait"/>
          <w:cols w:equalWidth="0" w:num="1">
            <w:col w:w="10980"/>
          </w:cols>
          <w:pgMar w:left="440" w:top="270" w:right="479" w:bottom="1440" w:gutter="0" w:footer="0" w:header="0"/>
        </w:sect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$000s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NN, Inc. Consolidated</w:t>
      </w:r>
    </w:p>
    <w:p>
      <w:pPr>
        <w:spacing w:after="0" w:line="9" w:lineRule="exact"/>
        <w:rPr>
          <w:sz w:val="20"/>
          <w:szCs w:val="20"/>
          <w:color w:val="auto"/>
        </w:rPr>
      </w:pPr>
    </w:p>
    <w:p>
      <w:pPr>
        <w:ind w:right="780"/>
        <w:spacing w:after="0" w:line="255" w:lineRule="auto"/>
        <w:rPr>
          <w:sz w:val="20"/>
          <w:szCs w:val="20"/>
          <w:color w:val="auto"/>
        </w:rPr>
      </w:pPr>
      <w:r>
        <w:rPr>
          <w:rFonts w:ascii="Arial" w:cs="Arial" w:eastAsia="Arial" w:hAnsi="Arial"/>
          <w:sz w:val="18"/>
          <w:szCs w:val="18"/>
          <w:color w:val="auto"/>
        </w:rPr>
        <w:t>GAAP income from operations Restructuring and integration expense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Acquisition and transition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expense</w:t>
      </w:r>
    </w:p>
    <w:p>
      <w:pPr>
        <w:spacing w:after="0" w:line="9" w:lineRule="exact"/>
        <w:rPr>
          <w:sz w:val="20"/>
          <w:szCs w:val="20"/>
          <w:color w:val="auto"/>
        </w:rPr>
      </w:pPr>
    </w:p>
    <w:p>
      <w:pPr>
        <w:jc w:val="both"/>
        <w:ind w:right="960"/>
        <w:spacing w:after="0" w:line="302" w:lineRule="auto"/>
        <w:rPr>
          <w:sz w:val="20"/>
          <w:szCs w:val="20"/>
          <w:color w:val="auto"/>
        </w:rPr>
      </w:pPr>
      <w:r>
        <w:rPr>
          <w:rFonts w:ascii="Arial" w:cs="Arial" w:eastAsia="Arial" w:hAnsi="Arial"/>
          <w:sz w:val="17"/>
          <w:szCs w:val="17"/>
          <w:color w:val="auto"/>
        </w:rPr>
        <w:t>Amortization of intangibles Non-GAAP adjusted income from operations (a)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GAAP net sales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$000s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Solutions</w:t>
      </w:r>
    </w:p>
    <w:p>
      <w:pPr>
        <w:spacing w:after="0" w:line="23" w:lineRule="exact"/>
        <w:rPr>
          <w:sz w:val="20"/>
          <w:szCs w:val="20"/>
          <w:color w:val="auto"/>
        </w:rPr>
      </w:pPr>
    </w:p>
    <w:p>
      <w:pPr>
        <w:ind w:right="780"/>
        <w:spacing w:after="0" w:line="255" w:lineRule="auto"/>
        <w:rPr>
          <w:sz w:val="20"/>
          <w:szCs w:val="20"/>
          <w:color w:val="auto"/>
        </w:rPr>
      </w:pPr>
      <w:r>
        <w:rPr>
          <w:rFonts w:ascii="Arial" w:cs="Arial" w:eastAsia="Arial" w:hAnsi="Arial"/>
          <w:sz w:val="18"/>
          <w:szCs w:val="18"/>
          <w:color w:val="auto"/>
        </w:rPr>
        <w:t>GAAP income from operations Restructuring and integration expense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Acquisition and transition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expense</w:t>
      </w:r>
    </w:p>
    <w:p>
      <w:pPr>
        <w:spacing w:after="0" w:line="9" w:lineRule="exact"/>
        <w:rPr>
          <w:sz w:val="20"/>
          <w:szCs w:val="20"/>
          <w:color w:val="auto"/>
        </w:rPr>
      </w:pPr>
    </w:p>
    <w:p>
      <w:pPr>
        <w:jc w:val="both"/>
        <w:ind w:right="960"/>
        <w:spacing w:after="0" w:line="302" w:lineRule="auto"/>
        <w:rPr>
          <w:sz w:val="20"/>
          <w:szCs w:val="20"/>
          <w:color w:val="auto"/>
        </w:rPr>
      </w:pPr>
      <w:r>
        <w:rPr>
          <w:rFonts w:ascii="Arial" w:cs="Arial" w:eastAsia="Arial" w:hAnsi="Arial"/>
          <w:sz w:val="17"/>
          <w:szCs w:val="17"/>
          <w:color w:val="auto"/>
        </w:rPr>
        <w:t>Amortization of intangibles Non-GAAP adjusted income from operations (a)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GAAP net sales</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11322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19"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-2379980</wp:posOffset>
            </wp:positionH>
            <wp:positionV relativeFrom="paragraph">
              <wp:posOffset>6350</wp:posOffset>
            </wp:positionV>
            <wp:extent cx="699770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5" w:lineRule="exact"/>
        <w:rPr>
          <w:sz w:val="20"/>
          <w:szCs w:val="20"/>
          <w:color w:val="auto"/>
        </w:rPr>
      </w:pPr>
    </w:p>
    <w:p>
      <w:pPr>
        <w:spacing w:after="0"/>
        <w:tabs>
          <w:tab w:leader="none" w:pos="260" w:val="left"/>
          <w:tab w:leader="none" w:pos="1080" w:val="left"/>
          <w:tab w:leader="none" w:pos="1360" w:val="left"/>
        </w:tabs>
        <w:rPr>
          <w:sz w:val="20"/>
          <w:szCs w:val="20"/>
          <w:color w:val="auto"/>
        </w:rPr>
      </w:pPr>
      <w:r>
        <w:rPr>
          <w:rFonts w:ascii="Arial" w:cs="Arial" w:eastAsia="Arial" w:hAnsi="Arial"/>
          <w:sz w:val="18"/>
          <w:szCs w:val="18"/>
          <w:color w:val="auto"/>
        </w:rPr>
        <w:t>$</w:t>
        <w:tab/>
        <w:t>5,881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5,551</w:t>
      </w:r>
    </w:p>
    <w:p>
      <w:pPr>
        <w:spacing w:after="0" w:line="223" w:lineRule="exact"/>
        <w:rPr>
          <w:sz w:val="20"/>
          <w:szCs w:val="20"/>
          <w:color w:val="auto"/>
        </w:rPr>
      </w:pPr>
    </w:p>
    <w:p>
      <w:pPr>
        <w:ind w:left="1520" w:hanging="1163"/>
        <w:spacing w:after="0"/>
        <w:tabs>
          <w:tab w:leader="none" w:pos="1520" w:val="left"/>
        </w:tabs>
        <w:numPr>
          <w:ilvl w:val="0"/>
          <w:numId w:val="4"/>
        </w:numPr>
        <w:rPr>
          <w:rFonts w:ascii="Arial" w:cs="Arial" w:eastAsia="Arial" w:hAnsi="Arial"/>
          <w:sz w:val="16"/>
          <w:szCs w:val="16"/>
          <w:color w:val="auto"/>
        </w:rPr>
      </w:pPr>
      <w:r>
        <w:rPr>
          <w:rFonts w:ascii="Arial" w:cs="Arial" w:eastAsia="Arial" w:hAnsi="Arial"/>
          <w:sz w:val="16"/>
          <w:szCs w:val="16"/>
          <w:color w:val="auto"/>
        </w:rPr>
        <w:t>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-2379980</wp:posOffset>
            </wp:positionH>
            <wp:positionV relativeFrom="paragraph">
              <wp:posOffset>29210</wp:posOffset>
            </wp:positionV>
            <wp:extent cx="6997700" cy="283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7700" cy="283210"/>
                    </a:xfrm>
                    <a:prstGeom prst="rect">
                      <a:avLst/>
                    </a:prstGeom>
                    <a:noFill/>
                  </pic:spPr>
                </pic:pic>
              </a:graphicData>
            </a:graphic>
          </wp:anchor>
        </w:drawing>
      </w:r>
    </w:p>
    <w:p>
      <w:pPr>
        <w:spacing w:after="0" w:line="242" w:lineRule="exact"/>
        <w:rPr>
          <w:sz w:val="20"/>
          <w:szCs w:val="20"/>
          <w:color w:val="auto"/>
        </w:rPr>
      </w:pPr>
    </w:p>
    <w:p>
      <w:pPr>
        <w:ind w:left="280"/>
        <w:spacing w:after="0"/>
        <w:tabs>
          <w:tab w:leader="none" w:pos="1360" w:val="left"/>
        </w:tabs>
        <w:rPr>
          <w:sz w:val="20"/>
          <w:szCs w:val="20"/>
          <w:color w:val="auto"/>
        </w:rPr>
      </w:pPr>
      <w:r>
        <w:rPr>
          <w:rFonts w:ascii="Arial" w:cs="Arial" w:eastAsia="Arial" w:hAnsi="Arial"/>
          <w:sz w:val="16"/>
          <w:szCs w:val="16"/>
          <w:color w:val="auto"/>
        </w:rPr>
        <w:t>9,569</w:t>
      </w:r>
      <w:r>
        <w:rPr>
          <w:sz w:val="20"/>
          <w:szCs w:val="20"/>
          <w:color w:val="auto"/>
        </w:rPr>
        <w:tab/>
      </w:r>
      <w:r>
        <w:rPr>
          <w:rFonts w:ascii="Arial" w:cs="Arial" w:eastAsia="Arial" w:hAnsi="Arial"/>
          <w:sz w:val="16"/>
          <w:szCs w:val="16"/>
          <w:color w:val="auto"/>
        </w:rPr>
        <w:t>2,922</w:t>
      </w:r>
    </w:p>
    <w:p>
      <w:pPr>
        <w:spacing w:after="0" w:line="46" w:lineRule="exact"/>
        <w:rPr>
          <w:sz w:val="20"/>
          <w:szCs w:val="20"/>
          <w:color w:val="auto"/>
        </w:rPr>
      </w:pPr>
    </w:p>
    <w:p>
      <w:pPr>
        <w:ind w:left="200"/>
        <w:spacing w:after="0"/>
        <w:tabs>
          <w:tab w:leader="none" w:pos="1360" w:val="left"/>
        </w:tabs>
        <w:rPr>
          <w:sz w:val="20"/>
          <w:szCs w:val="20"/>
          <w:color w:val="auto"/>
        </w:rPr>
      </w:pPr>
      <w:r>
        <w:rPr>
          <w:rFonts w:ascii="Arial" w:cs="Arial" w:eastAsia="Arial" w:hAnsi="Arial"/>
          <w:sz w:val="16"/>
          <w:szCs w:val="16"/>
          <w:color w:val="auto"/>
        </w:rPr>
        <w:t>11,129</w:t>
      </w:r>
      <w:r>
        <w:rPr>
          <w:sz w:val="20"/>
          <w:szCs w:val="20"/>
          <w:color w:val="auto"/>
        </w:rPr>
        <w:tab/>
      </w:r>
      <w:r>
        <w:rPr>
          <w:rFonts w:ascii="Arial" w:cs="Arial" w:eastAsia="Arial" w:hAnsi="Arial"/>
          <w:sz w:val="16"/>
          <w:szCs w:val="16"/>
          <w:color w:val="auto"/>
        </w:rPr>
        <w:t>5,835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-2379980</wp:posOffset>
            </wp:positionH>
            <wp:positionV relativeFrom="paragraph">
              <wp:posOffset>20320</wp:posOffset>
            </wp:positionV>
            <wp:extent cx="6997700" cy="300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7700" cy="300355"/>
                    </a:xfrm>
                    <a:prstGeom prst="rect">
                      <a:avLst/>
                    </a:prstGeom>
                    <a:noFill/>
                  </pic:spPr>
                </pic:pic>
              </a:graphicData>
            </a:graphic>
          </wp:anchor>
        </w:drawing>
      </w:r>
    </w:p>
    <w:p>
      <w:pPr>
        <w:spacing w:after="0" w:line="254" w:lineRule="exact"/>
        <w:rPr>
          <w:sz w:val="20"/>
          <w:szCs w:val="20"/>
          <w:color w:val="auto"/>
        </w:rPr>
      </w:pPr>
    </w:p>
    <w:p>
      <w:pPr>
        <w:ind w:left="200"/>
        <w:spacing w:after="0"/>
        <w:tabs>
          <w:tab w:leader="none" w:pos="1260" w:val="left"/>
        </w:tabs>
        <w:rPr>
          <w:sz w:val="20"/>
          <w:szCs w:val="20"/>
          <w:color w:val="auto"/>
        </w:rPr>
      </w:pPr>
      <w:r>
        <w:rPr>
          <w:rFonts w:ascii="Arial" w:cs="Arial" w:eastAsia="Arial" w:hAnsi="Arial"/>
          <w:sz w:val="17"/>
          <w:szCs w:val="17"/>
          <w:color w:val="auto"/>
        </w:rPr>
        <w:t>26,370</w:t>
      </w:r>
      <w:r>
        <w:rPr>
          <w:sz w:val="20"/>
          <w:szCs w:val="20"/>
          <w:color w:val="auto"/>
        </w:rPr>
        <w:tab/>
      </w:r>
      <w:r>
        <w:rPr>
          <w:rFonts w:ascii="Arial" w:cs="Arial" w:eastAsia="Arial" w:hAnsi="Arial"/>
          <w:sz w:val="17"/>
          <w:szCs w:val="17"/>
          <w:color w:val="auto"/>
        </w:rPr>
        <w:t>14,653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113220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32205" cy="26035"/>
                    </a:xfrm>
                    <a:prstGeom prst="rect">
                      <a:avLst/>
                    </a:prstGeom>
                    <a:noFill/>
                  </pic:spPr>
                </pic:pic>
              </a:graphicData>
            </a:graphic>
          </wp:anchor>
        </w:drawing>
      </w:r>
    </w:p>
    <w:p>
      <w:pPr>
        <w:spacing w:after="0" w:line="163" w:lineRule="exact"/>
        <w:rPr>
          <w:sz w:val="20"/>
          <w:szCs w:val="20"/>
          <w:color w:val="auto"/>
        </w:rPr>
      </w:pPr>
    </w:p>
    <w:p>
      <w:pPr>
        <w:ind w:left="100"/>
        <w:spacing w:after="0"/>
        <w:tabs>
          <w:tab w:leader="none" w:pos="1180" w:val="left"/>
        </w:tabs>
        <w:rPr>
          <w:sz w:val="20"/>
          <w:szCs w:val="20"/>
          <w:color w:val="auto"/>
        </w:rPr>
      </w:pPr>
      <w:r>
        <w:rPr>
          <w:rFonts w:ascii="Arial" w:cs="Arial" w:eastAsia="Arial" w:hAnsi="Arial"/>
          <w:sz w:val="16"/>
          <w:szCs w:val="16"/>
          <w:color w:val="auto"/>
        </w:rPr>
        <w:t>205,683</w:t>
      </w:r>
      <w:r>
        <w:rPr>
          <w:sz w:val="20"/>
          <w:szCs w:val="20"/>
          <w:color w:val="auto"/>
        </w:rPr>
        <w:tab/>
      </w:r>
      <w:r>
        <w:rPr>
          <w:rFonts w:ascii="Arial" w:cs="Arial" w:eastAsia="Arial" w:hAnsi="Arial"/>
          <w:sz w:val="16"/>
          <w:szCs w:val="16"/>
          <w:color w:val="auto"/>
        </w:rPr>
        <w:t>148,156</w:t>
      </w: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11322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46"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-2379980</wp:posOffset>
            </wp:positionH>
            <wp:positionV relativeFrom="paragraph">
              <wp:posOffset>6350</wp:posOffset>
            </wp:positionV>
            <wp:extent cx="699770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5" w:lineRule="exact"/>
        <w:rPr>
          <w:sz w:val="20"/>
          <w:szCs w:val="20"/>
          <w:color w:val="auto"/>
        </w:rPr>
      </w:pPr>
    </w:p>
    <w:p>
      <w:pPr>
        <w:spacing w:after="0"/>
        <w:tabs>
          <w:tab w:leader="none" w:pos="260" w:val="left"/>
          <w:tab w:leader="none" w:pos="1080" w:val="left"/>
          <w:tab w:leader="none" w:pos="1360" w:val="left"/>
        </w:tabs>
        <w:rPr>
          <w:sz w:val="20"/>
          <w:szCs w:val="20"/>
          <w:color w:val="auto"/>
        </w:rPr>
      </w:pPr>
      <w:r>
        <w:rPr>
          <w:rFonts w:ascii="Arial" w:cs="Arial" w:eastAsia="Arial" w:hAnsi="Arial"/>
          <w:sz w:val="18"/>
          <w:szCs w:val="18"/>
          <w:color w:val="auto"/>
        </w:rPr>
        <w:t>$</w:t>
        <w:tab/>
        <w:t>4,657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6,799</w:t>
      </w:r>
    </w:p>
    <w:p>
      <w:pPr>
        <w:spacing w:after="0" w:line="223" w:lineRule="exact"/>
        <w:rPr>
          <w:sz w:val="20"/>
          <w:szCs w:val="20"/>
          <w:color w:val="auto"/>
        </w:rPr>
      </w:pPr>
    </w:p>
    <w:p>
      <w:pPr>
        <w:ind w:left="500"/>
        <w:spacing w:after="0"/>
        <w:tabs>
          <w:tab w:leader="none" w:pos="150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6"/>
          <w:szCs w:val="16"/>
          <w:color w:val="auto"/>
        </w:rPr>
        <w:t>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-2379980</wp:posOffset>
            </wp:positionH>
            <wp:positionV relativeFrom="paragraph">
              <wp:posOffset>29210</wp:posOffset>
            </wp:positionV>
            <wp:extent cx="6997700" cy="283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7700" cy="283210"/>
                    </a:xfrm>
                    <a:prstGeom prst="rect">
                      <a:avLst/>
                    </a:prstGeom>
                    <a:noFill/>
                  </pic:spPr>
                </pic:pic>
              </a:graphicData>
            </a:graphic>
          </wp:anchor>
        </w:drawing>
      </w:r>
    </w:p>
    <w:p>
      <w:pPr>
        <w:spacing w:after="0" w:line="242" w:lineRule="exact"/>
        <w:rPr>
          <w:sz w:val="20"/>
          <w:szCs w:val="20"/>
          <w:color w:val="auto"/>
        </w:rPr>
      </w:pPr>
    </w:p>
    <w:p>
      <w:pPr>
        <w:ind w:left="1520" w:hanging="1103"/>
        <w:spacing w:after="0"/>
        <w:tabs>
          <w:tab w:leader="none" w:pos="1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500</w:t>
      </w:r>
    </w:p>
    <w:p>
      <w:pPr>
        <w:spacing w:after="0" w:line="46" w:lineRule="exact"/>
        <w:rPr>
          <w:rFonts w:ascii="Arial" w:cs="Arial" w:eastAsia="Arial" w:hAnsi="Arial"/>
          <w:sz w:val="16"/>
          <w:szCs w:val="16"/>
          <w:color w:val="auto"/>
        </w:rPr>
      </w:pPr>
    </w:p>
    <w:p>
      <w:pPr>
        <w:ind w:left="1520" w:hanging="1103"/>
        <w:spacing w:after="0"/>
        <w:tabs>
          <w:tab w:leader="none" w:pos="1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868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-2379980</wp:posOffset>
            </wp:positionH>
            <wp:positionV relativeFrom="paragraph">
              <wp:posOffset>20320</wp:posOffset>
            </wp:positionV>
            <wp:extent cx="6997700" cy="300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7700" cy="300355"/>
                    </a:xfrm>
                    <a:prstGeom prst="rect">
                      <a:avLst/>
                    </a:prstGeom>
                    <a:noFill/>
                  </pic:spPr>
                </pic:pic>
              </a:graphicData>
            </a:graphic>
          </wp:anchor>
        </w:drawing>
      </w:r>
    </w:p>
    <w:p>
      <w:pPr>
        <w:spacing w:after="0" w:line="254" w:lineRule="exact"/>
        <w:rPr>
          <w:sz w:val="20"/>
          <w:szCs w:val="20"/>
          <w:color w:val="auto"/>
        </w:rPr>
      </w:pPr>
    </w:p>
    <w:p>
      <w:pPr>
        <w:ind w:left="280"/>
        <w:spacing w:after="0"/>
        <w:tabs>
          <w:tab w:leader="none" w:pos="1360" w:val="left"/>
        </w:tabs>
        <w:rPr>
          <w:sz w:val="20"/>
          <w:szCs w:val="20"/>
          <w:color w:val="auto"/>
        </w:rPr>
      </w:pPr>
      <w:r>
        <w:rPr>
          <w:rFonts w:ascii="Arial" w:cs="Arial" w:eastAsia="Arial" w:hAnsi="Arial"/>
          <w:sz w:val="16"/>
          <w:szCs w:val="16"/>
          <w:color w:val="auto"/>
        </w:rPr>
        <w:t>6,567</w:t>
      </w:r>
      <w:r>
        <w:rPr>
          <w:sz w:val="20"/>
          <w:szCs w:val="20"/>
          <w:color w:val="auto"/>
        </w:rPr>
        <w:tab/>
      </w:r>
      <w:r>
        <w:rPr>
          <w:rFonts w:ascii="Arial" w:cs="Arial" w:eastAsia="Arial" w:hAnsi="Arial"/>
          <w:sz w:val="16"/>
          <w:szCs w:val="16"/>
          <w:color w:val="auto"/>
        </w:rPr>
        <w:t>8,512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13220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32205" cy="26035"/>
                    </a:xfrm>
                    <a:prstGeom prst="rect">
                      <a:avLst/>
                    </a:prstGeom>
                    <a:noFill/>
                  </pic:spPr>
                </pic:pic>
              </a:graphicData>
            </a:graphic>
          </wp:anchor>
        </w:drawing>
      </w:r>
    </w:p>
    <w:p>
      <w:pPr>
        <w:spacing w:after="0" w:line="174" w:lineRule="exact"/>
        <w:rPr>
          <w:sz w:val="20"/>
          <w:szCs w:val="20"/>
          <w:color w:val="auto"/>
        </w:rPr>
      </w:pPr>
    </w:p>
    <w:p>
      <w:pPr>
        <w:ind w:left="200"/>
        <w:spacing w:after="0"/>
        <w:tabs>
          <w:tab w:leader="none" w:pos="1260" w:val="left"/>
        </w:tabs>
        <w:rPr>
          <w:sz w:val="20"/>
          <w:szCs w:val="20"/>
          <w:color w:val="auto"/>
        </w:rPr>
      </w:pPr>
      <w:r>
        <w:rPr>
          <w:rFonts w:ascii="Arial" w:cs="Arial" w:eastAsia="Arial" w:hAnsi="Arial"/>
          <w:sz w:val="17"/>
          <w:szCs w:val="17"/>
          <w:color w:val="auto"/>
        </w:rPr>
        <w:t>81,805</w:t>
      </w:r>
      <w:r>
        <w:rPr>
          <w:sz w:val="20"/>
          <w:szCs w:val="20"/>
          <w:color w:val="auto"/>
        </w:rPr>
        <w:tab/>
      </w:r>
      <w:r>
        <w:rPr>
          <w:rFonts w:ascii="Arial" w:cs="Arial" w:eastAsia="Arial" w:hAnsi="Arial"/>
          <w:sz w:val="17"/>
          <w:szCs w:val="17"/>
          <w:color w:val="auto"/>
        </w:rPr>
        <w:t>81,664</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1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$000s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3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right"/>
              <w:ind w:right="27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3180" w:type="dxa"/>
            <w:vAlign w:val="bottom"/>
            <w:gridSpan w:val="2"/>
          </w:tcPr>
          <w:p>
            <w:pPr>
              <w:spacing w:after="0" w:line="196" w:lineRule="exact"/>
              <w:rPr>
                <w:sz w:val="20"/>
                <w:szCs w:val="20"/>
                <w:color w:val="auto"/>
              </w:rPr>
            </w:pPr>
            <w:r>
              <w:rPr>
                <w:rFonts w:ascii="Arial" w:cs="Arial" w:eastAsia="Arial" w:hAnsi="Arial"/>
                <w:sz w:val="18"/>
                <w:szCs w:val="18"/>
                <w:b w:val="1"/>
                <w:bCs w:val="1"/>
                <w:i w:val="1"/>
                <w:iCs w:val="1"/>
                <w:color w:val="auto"/>
              </w:rPr>
              <w:t>Power Solutions</w:t>
            </w: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24"/>
        </w:trPr>
        <w:tc>
          <w:tcPr>
            <w:tcW w:w="3180" w:type="dxa"/>
            <w:vAlign w:val="bottom"/>
            <w:gridSpan w:val="2"/>
          </w:tcPr>
          <w:p>
            <w:pPr>
              <w:spacing w:after="0"/>
              <w:rPr>
                <w:sz w:val="20"/>
                <w:szCs w:val="20"/>
                <w:color w:val="auto"/>
              </w:rPr>
            </w:pPr>
            <w:r>
              <w:rPr>
                <w:rFonts w:ascii="Arial" w:cs="Arial" w:eastAsia="Arial" w:hAnsi="Arial"/>
                <w:sz w:val="18"/>
                <w:szCs w:val="18"/>
                <w:color w:val="auto"/>
              </w:rPr>
              <w:t>GAAP income from operations</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4,166</w:t>
            </w:r>
          </w:p>
        </w:tc>
        <w:tc>
          <w:tcPr>
            <w:tcW w:w="0" w:type="dxa"/>
            <w:vAlign w:val="bottom"/>
          </w:tcPr>
          <w:p>
            <w:pPr>
              <w:spacing w:after="0"/>
              <w:rPr>
                <w:sz w:val="1"/>
                <w:szCs w:val="1"/>
                <w:color w:val="auto"/>
              </w:rPr>
            </w:pPr>
          </w:p>
        </w:tc>
      </w:tr>
      <w:tr>
        <w:trPr>
          <w:trHeight w:val="431"/>
        </w:trPr>
        <w:tc>
          <w:tcPr>
            <w:tcW w:w="3180" w:type="dxa"/>
            <w:vAlign w:val="bottom"/>
            <w:gridSpan w:val="2"/>
          </w:tcPr>
          <w:p>
            <w:pPr>
              <w:spacing w:after="0"/>
              <w:rPr>
                <w:sz w:val="20"/>
                <w:szCs w:val="20"/>
                <w:color w:val="auto"/>
              </w:rPr>
            </w:pPr>
            <w:r>
              <w:rPr>
                <w:rFonts w:ascii="Arial" w:cs="Arial" w:eastAsia="Arial" w:hAnsi="Arial"/>
                <w:sz w:val="18"/>
                <w:szCs w:val="18"/>
                <w:color w:val="auto"/>
              </w:rPr>
              <w:t>Restructuring and integration expense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1"/>
        </w:trPr>
        <w:tc>
          <w:tcPr>
            <w:tcW w:w="3180" w:type="dxa"/>
            <w:vAlign w:val="bottom"/>
            <w:gridSpan w:val="2"/>
          </w:tcPr>
          <w:p>
            <w:pPr>
              <w:spacing w:after="0"/>
              <w:rPr>
                <w:sz w:val="20"/>
                <w:szCs w:val="20"/>
                <w:color w:val="auto"/>
              </w:rPr>
            </w:pPr>
            <w:r>
              <w:rPr>
                <w:rFonts w:ascii="Arial" w:cs="Arial" w:eastAsia="Arial" w:hAnsi="Arial"/>
                <w:sz w:val="18"/>
                <w:szCs w:val="18"/>
                <w:color w:val="auto"/>
              </w:rPr>
              <w:t>Acquisition and transition expense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2,139</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3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22"/>
        </w:trPr>
        <w:tc>
          <w:tcPr>
            <w:tcW w:w="3180" w:type="dxa"/>
            <w:vAlign w:val="bottom"/>
            <w:gridSpan w:val="2"/>
          </w:tcPr>
          <w:p>
            <w:pPr>
              <w:spacing w:after="0"/>
              <w:rPr>
                <w:sz w:val="20"/>
                <w:szCs w:val="20"/>
                <w:color w:val="auto"/>
              </w:rPr>
            </w:pPr>
            <w:r>
              <w:rPr>
                <w:rFonts w:ascii="Arial" w:cs="Arial" w:eastAsia="Arial" w:hAnsi="Arial"/>
                <w:sz w:val="18"/>
                <w:szCs w:val="18"/>
                <w:color w:val="auto"/>
              </w:rPr>
              <w:t>Non-GAAP adjusted income from</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operations (a)</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180" w:type="dxa"/>
            <w:vAlign w:val="bottom"/>
            <w:gridSpan w:val="2"/>
          </w:tcPr>
          <w:p>
            <w:pPr>
              <w:spacing w:after="0"/>
              <w:rPr>
                <w:sz w:val="20"/>
                <w:szCs w:val="20"/>
                <w:color w:val="auto"/>
              </w:rPr>
            </w:pPr>
            <w:r>
              <w:rPr>
                <w:rFonts w:ascii="Arial" w:cs="Arial" w:eastAsia="Arial" w:hAnsi="Arial"/>
                <w:sz w:val="18"/>
                <w:szCs w:val="18"/>
                <w:color w:val="auto"/>
              </w:rPr>
              <w:t>GAAP net sales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46,082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44,824</w:t>
            </w:r>
          </w:p>
        </w:tc>
        <w:tc>
          <w:tcPr>
            <w:tcW w:w="0" w:type="dxa"/>
            <w:vAlign w:val="bottom"/>
          </w:tcPr>
          <w:p>
            <w:pPr>
              <w:spacing w:after="0"/>
              <w:rPr>
                <w:sz w:val="1"/>
                <w:szCs w:val="1"/>
                <w:color w:val="auto"/>
              </w:rPr>
            </w:pPr>
          </w:p>
        </w:tc>
      </w:tr>
      <w:tr>
        <w:trPr>
          <w:trHeight w:val="342"/>
        </w:trPr>
        <w:tc>
          <w:tcPr>
            <w:tcW w:w="31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$000s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3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27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Life Sciences</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GAAP income from operations</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431"/>
        </w:trPr>
        <w:tc>
          <w:tcPr>
            <w:tcW w:w="3180" w:type="dxa"/>
            <w:vAlign w:val="bottom"/>
            <w:gridSpan w:val="2"/>
          </w:tcPr>
          <w:p>
            <w:pPr>
              <w:spacing w:after="0"/>
              <w:rPr>
                <w:sz w:val="20"/>
                <w:szCs w:val="20"/>
                <w:color w:val="auto"/>
              </w:rPr>
            </w:pPr>
            <w:r>
              <w:rPr>
                <w:rFonts w:ascii="Arial" w:cs="Arial" w:eastAsia="Arial" w:hAnsi="Arial"/>
                <w:sz w:val="18"/>
                <w:szCs w:val="18"/>
                <w:color w:val="auto"/>
              </w:rPr>
              <w:t>Restructuring and integration expense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1"/>
        </w:trPr>
        <w:tc>
          <w:tcPr>
            <w:tcW w:w="3180" w:type="dxa"/>
            <w:vAlign w:val="bottom"/>
            <w:gridSpan w:val="2"/>
          </w:tcPr>
          <w:p>
            <w:pPr>
              <w:spacing w:after="0"/>
              <w:rPr>
                <w:sz w:val="20"/>
                <w:szCs w:val="20"/>
                <w:color w:val="auto"/>
              </w:rPr>
            </w:pPr>
            <w:r>
              <w:rPr>
                <w:rFonts w:ascii="Arial" w:cs="Arial" w:eastAsia="Arial" w:hAnsi="Arial"/>
                <w:sz w:val="18"/>
                <w:szCs w:val="18"/>
                <w:color w:val="auto"/>
              </w:rPr>
              <w:t>Acquisition and transition expense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2,532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22"/>
        </w:trPr>
        <w:tc>
          <w:tcPr>
            <w:tcW w:w="3180" w:type="dxa"/>
            <w:vAlign w:val="bottom"/>
            <w:gridSpan w:val="2"/>
          </w:tcPr>
          <w:p>
            <w:pPr>
              <w:spacing w:after="0"/>
              <w:rPr>
                <w:sz w:val="20"/>
                <w:szCs w:val="20"/>
                <w:color w:val="auto"/>
              </w:rPr>
            </w:pPr>
            <w:r>
              <w:rPr>
                <w:rFonts w:ascii="Arial" w:cs="Arial" w:eastAsia="Arial" w:hAnsi="Arial"/>
                <w:sz w:val="18"/>
                <w:szCs w:val="18"/>
                <w:color w:val="auto"/>
              </w:rPr>
              <w:t>Non-GAAP adjusted income from</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operations (a)</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16,212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180" w:type="dxa"/>
            <w:vAlign w:val="bottom"/>
            <w:gridSpan w:val="2"/>
          </w:tcPr>
          <w:p>
            <w:pPr>
              <w:spacing w:after="0"/>
              <w:rPr>
                <w:sz w:val="20"/>
                <w:szCs w:val="20"/>
                <w:color w:val="auto"/>
              </w:rPr>
            </w:pPr>
            <w:r>
              <w:rPr>
                <w:rFonts w:ascii="Arial" w:cs="Arial" w:eastAsia="Arial" w:hAnsi="Arial"/>
                <w:sz w:val="18"/>
                <w:szCs w:val="18"/>
                <w:color w:val="auto"/>
              </w:rPr>
              <w:t>GAAP net sales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78,363</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22,154</w:t>
            </w:r>
          </w:p>
        </w:tc>
        <w:tc>
          <w:tcPr>
            <w:tcW w:w="0" w:type="dxa"/>
            <w:vAlign w:val="bottom"/>
          </w:tcPr>
          <w:p>
            <w:pPr>
              <w:spacing w:after="0"/>
              <w:rPr>
                <w:sz w:val="1"/>
                <w:szCs w:val="1"/>
                <w:color w:val="auto"/>
              </w:rPr>
            </w:pPr>
          </w:p>
        </w:tc>
      </w:tr>
    </w:tbl>
    <w:p>
      <w:pPr>
        <w:sectPr>
          <w:pgSz w:w="11900" w:h="16838" w:orient="portrait"/>
          <w:cols w:equalWidth="0" w:num="3">
            <w:col w:w="3040" w:space="720"/>
            <w:col w:w="1800" w:space="340"/>
            <w:col w:w="5080"/>
          </w:cols>
          <w:pgMar w:left="440" w:top="270" w:right="47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Net Income (Loss) to Non-GAAP Adjusted Net Income (Loss)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Income (Loss) per Diluted Share to Non-GAAP Adjusted Net Income (Loss) per Diluted Share</w:t>
      </w:r>
    </w:p>
    <w:p>
      <w:pPr>
        <w:spacing w:after="0" w:line="21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9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$000s</w:t>
            </w:r>
          </w:p>
        </w:tc>
        <w:tc>
          <w:tcPr>
            <w:tcW w:w="19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6"/>
        </w:trPr>
        <w:tc>
          <w:tcPr>
            <w:tcW w:w="7280" w:type="dxa"/>
            <w:vAlign w:val="bottom"/>
            <w:gridSpan w:val="2"/>
            <w:vMerge w:val="continue"/>
          </w:tcPr>
          <w:p>
            <w:pPr>
              <w:spacing w:after="0"/>
              <w:rPr>
                <w:sz w:val="17"/>
                <w:szCs w:val="17"/>
                <w:color w:val="auto"/>
              </w:rPr>
            </w:pPr>
          </w:p>
        </w:tc>
        <w:tc>
          <w:tcPr>
            <w:tcW w:w="660" w:type="dxa"/>
            <w:vAlign w:val="bottom"/>
            <w:tcBorders>
              <w:top w:val="single" w:sz="8" w:color="auto"/>
            </w:tcBorders>
          </w:tcPr>
          <w:p>
            <w:pPr>
              <w:ind w:left="200"/>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$(13,784)</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125,961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280" w:type="dxa"/>
            <w:vAlign w:val="bottom"/>
            <w:gridSpan w:val="2"/>
          </w:tcPr>
          <w:p>
            <w:pPr>
              <w:spacing w:after="0"/>
              <w:rPr>
                <w:sz w:val="20"/>
                <w:szCs w:val="20"/>
                <w:color w:val="auto"/>
              </w:rPr>
            </w:pPr>
            <w:r>
              <w:rPr>
                <w:rFonts w:ascii="Arial" w:cs="Arial" w:eastAsia="Arial" w:hAnsi="Arial"/>
                <w:sz w:val="18"/>
                <w:szCs w:val="18"/>
                <w:color w:val="auto"/>
              </w:rPr>
              <w:t>Pre-tax acquisition and transition expense</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9,569</w:t>
            </w: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Pre-tax foreign exchange (gain) loss on inter-company loans</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Pre-tax restructuring and integration expense</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Pre-tax write-off unamortized debt issuance costs</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6,624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Pre-tax gain on change in fair value of interest rate swap</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Pre-tax amortization of intangibles and deferred financing costs</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12,550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Pre-tax interest expense on cash held from divestiture</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Tax effect of adjustment reflected above (b)</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(6,737)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(129,441)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net income (loss) (c)</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8,671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9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Amounts per share, diluted</w:t>
            </w:r>
          </w:p>
        </w:tc>
        <w:tc>
          <w:tcPr>
            <w:tcW w:w="19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6"/>
        </w:trPr>
        <w:tc>
          <w:tcPr>
            <w:tcW w:w="7280" w:type="dxa"/>
            <w:vAlign w:val="bottom"/>
            <w:gridSpan w:val="2"/>
            <w:vMerge w:val="continue"/>
          </w:tcPr>
          <w:p>
            <w:pPr>
              <w:spacing w:after="0"/>
              <w:rPr>
                <w:sz w:val="17"/>
                <w:szCs w:val="17"/>
                <w:color w:val="auto"/>
              </w:rPr>
            </w:pPr>
          </w:p>
        </w:tc>
        <w:tc>
          <w:tcPr>
            <w:tcW w:w="660" w:type="dxa"/>
            <w:vAlign w:val="bottom"/>
            <w:tcBorders>
              <w:top w:val="single" w:sz="8" w:color="auto"/>
            </w:tcBorders>
          </w:tcPr>
          <w:p>
            <w:pPr>
              <w:ind w:left="200"/>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net income (loss) per diluted share</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(0.48)</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280" w:type="dxa"/>
            <w:vAlign w:val="bottom"/>
            <w:gridSpan w:val="2"/>
          </w:tcPr>
          <w:p>
            <w:pPr>
              <w:spacing w:after="0"/>
              <w:rPr>
                <w:sz w:val="20"/>
                <w:szCs w:val="20"/>
                <w:color w:val="auto"/>
              </w:rPr>
            </w:pPr>
            <w:r>
              <w:rPr>
                <w:rFonts w:ascii="Arial" w:cs="Arial" w:eastAsia="Arial" w:hAnsi="Arial"/>
                <w:sz w:val="18"/>
                <w:szCs w:val="18"/>
                <w:color w:val="auto"/>
              </w:rPr>
              <w:t>Pre-tax acquisition and transition expense</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Pre-tax foreign exchange (gain) loss on inter-company loans</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Pre-tax restructuring and integration expense</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Pre-tax write-off unamortized debt issuance costs</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Pre-tax gain on change in fair value of interest rate swap</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Pre-tax amortization of intangibles and deferred financing costs</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Pre-tax interest expense on cash held from divestiture</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Tax effect of adjustment reflected above (b)</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net income (loss) per diluted share (c)</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diluted</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80" w:type="dxa"/>
            <w:vAlign w:val="bottom"/>
            <w:gridSpan w:val="2"/>
            <w:vMerge w:val="continue"/>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w w:val="83"/>
              </w:rPr>
              <w:t>28,688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line="227" w:lineRule="auto"/>
        <w:rPr>
          <w:sz w:val="20"/>
          <w:szCs w:val="20"/>
          <w:color w:val="auto"/>
        </w:rPr>
      </w:pPr>
      <w:r>
        <w:rPr>
          <w:rFonts w:ascii="Arial" w:cs="Arial" w:eastAsia="Arial" w:hAnsi="Arial"/>
          <w:sz w:val="14"/>
          <w:szCs w:val="14"/>
          <w:i w:val="1"/>
          <w:iCs w:val="1"/>
          <w:color w:val="auto"/>
        </w:rPr>
        <w:t>The Company discloses in this presentation the non-GAAP financial measures of adjusted income from operations, adjusted net income (loss), and adjusted net income per diluted share. Each of these non-GAAP financial measures provides supplementary information about the impacts of acquisition, divestiture and integration related expenses, foreign-exchange impacts on inter-company loans, reorganizational and impairment charges. Over the past four years, we have completed seven acquisitions, two of which were transformative for the Company, and sold two of our businesses. The costs we incurred in completing such acquisitions, including the amortization of intangibles and deferred financing costs, and these divestitures have been excluded from these measures because their size and inconsistent frequency are unrelated to our commercial performance during the period, and which we believe are not indicative of our ongoing operating costs. We exclude the impact of currency translation from these measures because foreign exchange rates are not under management’s control and are subject to volatility. Other non-operating charges are excluded as the charges are not indicative of our ongoing operating cost. We believe the presentation of adjusted income from operations, adjusted net income (loss), and adjusted net income per diluted share provide useful information in assessing our underlying business trends and facilitates comparison of our long-term performance over given periods.</w:t>
      </w:r>
    </w:p>
    <w:p>
      <w:pPr>
        <w:spacing w:after="0" w:line="183" w:lineRule="exact"/>
        <w:rPr>
          <w:sz w:val="20"/>
          <w:szCs w:val="20"/>
          <w:color w:val="auto"/>
        </w:rPr>
      </w:pPr>
    </w:p>
    <w:p>
      <w:pPr>
        <w:ind w:right="20"/>
        <w:spacing w:after="0" w:line="234" w:lineRule="auto"/>
        <w:rPr>
          <w:sz w:val="20"/>
          <w:szCs w:val="20"/>
          <w:color w:val="auto"/>
        </w:rPr>
      </w:pPr>
      <w:r>
        <w:rPr>
          <w:rFonts w:ascii="Arial" w:cs="Arial" w:eastAsia="Arial" w:hAnsi="Arial"/>
          <w:sz w:val="14"/>
          <w:szCs w:val="14"/>
          <w:i w:val="1"/>
          <w:iCs w:val="1"/>
          <w:color w:val="auto"/>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income growth derived from income amounts presented in accordance with GAAP. The Company does not consider these non-GAAP financial measures to be a substitute for, or superior to, the information provided by GAAP financial results.</w:t>
      </w:r>
    </w:p>
    <w:p>
      <w:pPr>
        <w:sectPr>
          <w:pgSz w:w="11900" w:h="16838" w:orient="portrait"/>
          <w:cols w:equalWidth="0" w:num="1">
            <w:col w:w="11020"/>
          </w:cols>
          <w:pgMar w:left="440" w:top="270" w:right="439" w:bottom="1440" w:gutter="0" w:footer="0" w:header="0"/>
        </w:sectPr>
      </w:pPr>
    </w:p>
    <w:bookmarkStart w:id="9" w:name="page10"/>
    <w:bookmarkEnd w:id="9"/>
    <w:p>
      <w:pPr>
        <w:jc w:val="both"/>
        <w:ind w:left="-4" w:right="20" w:firstLine="4"/>
        <w:spacing w:after="0" w:line="251" w:lineRule="auto"/>
        <w:tabs>
          <w:tab w:leader="none" w:pos="192" w:val="left"/>
        </w:tabs>
        <w:numPr>
          <w:ilvl w:val="0"/>
          <w:numId w:val="7"/>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Non-GAAP Adjusted income from operations represents GAAP income from operations, adjusted to exclude the effects of restructuring and integration expense; non-operational charges related to acquisition and transition expense, intangible amortization costs for fair value step-up in values related to acquisitions,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from operations is not a measure of financial performance under GAAP and should not be considered as a measure of liquidity or as an alternative to GAAP income from operations.</w:t>
      </w:r>
    </w:p>
    <w:p>
      <w:pPr>
        <w:spacing w:after="0" w:line="177" w:lineRule="exact"/>
        <w:rPr>
          <w:rFonts w:ascii="Arial" w:cs="Arial" w:eastAsia="Arial" w:hAnsi="Arial"/>
          <w:sz w:val="13"/>
          <w:szCs w:val="13"/>
          <w:color w:val="auto"/>
        </w:rPr>
      </w:pPr>
    </w:p>
    <w:p>
      <w:pPr>
        <w:ind w:left="-4" w:right="340" w:firstLine="4"/>
        <w:spacing w:after="0" w:line="264" w:lineRule="auto"/>
        <w:tabs>
          <w:tab w:leader="none" w:pos="2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This line item reflects the aggregate tax effect of all nontax adjustments reflected in the table above. In addition, the footnotes above indicate the after-tax amount of each individual adjustment item. NN, Inc. estimates the tax effect of the adjustment items identified in the reconciliation schedule above by applying NN, Inc’s. overall estimated effective tax rate to the pretax amount, unless the nature of the item and/or the tax jurisdiction in which the item has been recorded requires application of a specific tax rate or tax treatment.</w:t>
      </w:r>
    </w:p>
    <w:p>
      <w:pPr>
        <w:spacing w:after="0" w:line="168" w:lineRule="exact"/>
        <w:rPr>
          <w:rFonts w:ascii="Arial" w:cs="Arial" w:eastAsia="Arial" w:hAnsi="Arial"/>
          <w:sz w:val="13"/>
          <w:szCs w:val="13"/>
          <w:color w:val="auto"/>
        </w:rPr>
      </w:pPr>
    </w:p>
    <w:p>
      <w:pPr>
        <w:ind w:left="-4" w:firstLine="4"/>
        <w:spacing w:after="0" w:line="247" w:lineRule="auto"/>
        <w:tabs>
          <w:tab w:leader="none" w:pos="192" w:val="left"/>
        </w:tabs>
        <w:numPr>
          <w:ilvl w:val="0"/>
          <w:numId w:val="7"/>
        </w:numPr>
        <w:rPr>
          <w:rFonts w:ascii="Arial" w:cs="Arial" w:eastAsia="Arial" w:hAnsi="Arial"/>
          <w:sz w:val="13"/>
          <w:szCs w:val="13"/>
          <w:color w:val="auto"/>
        </w:rPr>
      </w:pPr>
      <w:r>
        <w:rPr>
          <w:rFonts w:ascii="Arial" w:cs="Arial" w:eastAsia="Arial" w:hAnsi="Arial"/>
          <w:sz w:val="13"/>
          <w:szCs w:val="13"/>
          <w:color w:val="auto"/>
        </w:rPr>
        <w:t>Non-GAAP adjusted net income (loss) represents GAAP net income (loss) adjusted to exclude the tax-affected effects of restructuring and integration charges (related to plant closures and other charges incurred to implement our strategic goals that do not necessarily represent a major strategic shift in operations), charges related to acquisition and transition costs, amortization of intangibles costs for fair value step-up in values related to acquisitions and amortization of deferred financing costs, foreign exchange gain (loss) on inter-company loans, gains and losses in the fair value of interest rate swaps, estimated interest expense on cash held from divestiture, the impact of the Tax Cut and Jobs Act and income from discontinued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(loss) from segment operations is not a measure of financial performance under GAAP and should not be considered as a measure of liquidity or as an alternative to GAAP income (loss) from continuing operations.</w:t>
      </w:r>
    </w:p>
    <w:sectPr>
      <w:pgSz w:w="11900" w:h="16838" w:orient="portrait"/>
      <w:cols w:equalWidth="0" w:num="1">
        <w:col w:w="10996"/>
      </w:cols>
      <w:pgMar w:left="444" w:top="26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upperLetter"/>
      <w:start w:val="40"/>
    </w:lvl>
  </w:abstractNum>
  <w:abstractNum w:abstractNumId="2">
    <w:nsid w:val="46E87CCD"/>
    <w:multiLevelType w:val="hybridMultilevel"/>
    <w:lvl w:ilvl="0">
      <w:lvlJc w:val="left"/>
      <w:lvlText w:val="%1"/>
      <w:numFmt w:val="upperLetter"/>
      <w:start w:val="40"/>
    </w:lvl>
  </w:abstractNum>
  <w:abstractNum w:abstractNumId="3">
    <w:nsid w:val="3D1B58BA"/>
    <w:multiLevelType w:val="hybridMultilevel"/>
    <w:lvl w:ilvl="0">
      <w:lvlJc w:val="left"/>
      <w:lvlText w:val="(%1)"/>
      <w:numFmt w:val="decimal"/>
      <w:start w:val="209"/>
    </w:lvl>
  </w:abstractNum>
  <w:abstractNum w:abstractNumId="4">
    <w:nsid w:val="507ED7AB"/>
    <w:multiLevelType w:val="hybridMultilevel"/>
    <w:lvl w:ilvl="0">
      <w:lvlJc w:val="left"/>
      <w:lvlText w:val="%1"/>
      <w:numFmt w:val="decimal"/>
      <w:start w:val="974"/>
    </w:lvl>
  </w:abstractNum>
  <w:abstractNum w:abstractNumId="5">
    <w:nsid w:val="2EB141F2"/>
    <w:multiLevelType w:val="hybridMultilevel"/>
    <w:lvl w:ilvl="0">
      <w:lvlJc w:val="left"/>
      <w:lvlText w:val="%1"/>
      <w:numFmt w:val="decimal"/>
      <w:start w:val="885"/>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2019-12-28T17:57:04Z</dcterms:created>
  <dcterms:modified xsi:type="dcterms:W3CDTF">2019-12-28T17:57:04Z</dcterms:modified>
</cp:coreProperties>
</file>