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May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422910</wp:posOffset>
            </wp:positionV>
            <wp:extent cx="711835"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61"/>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4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20" w:type="dxa"/>
            <w:vAlign w:val="bottom"/>
          </w:tcPr>
          <w:p>
            <w:pPr>
              <w:jc w:val="center"/>
              <w:ind w:left="1281"/>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2015 Annual Meeting of the Stockholders of NN, Inc. (the “Company”) was held on May 14, 2015. At the Annual Meeting, the following proposals were considered:</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three Class II directors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resolution to approve the compensation of the Company’s named executive officers;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selection of PricewaterhouseCoopers LLP as the Company’s registered independent public accounting firm for the fiscal year ending December 31, 2015.</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Class II directors were elected, and the aggregate votes cast for or withheld, and the broker non-votes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000" w:type="dxa"/>
            <w:vAlign w:val="bottom"/>
          </w:tcPr>
          <w:p>
            <w:pPr>
              <w:spacing w:after="0"/>
              <w:rPr>
                <w:sz w:val="14"/>
                <w:szCs w:val="14"/>
                <w:color w:val="auto"/>
              </w:rPr>
            </w:pPr>
          </w:p>
        </w:tc>
        <w:tc>
          <w:tcPr>
            <w:tcW w:w="1320" w:type="dxa"/>
            <w:vAlign w:val="bottom"/>
            <w:gridSpan w:val="2"/>
          </w:tcPr>
          <w:p>
            <w:pPr>
              <w:ind w:left="340"/>
              <w:spacing w:after="0"/>
              <w:rPr>
                <w:sz w:val="20"/>
                <w:szCs w:val="20"/>
                <w:color w:val="auto"/>
              </w:rPr>
            </w:pPr>
            <w:r>
              <w:rPr>
                <w:rFonts w:ascii="Arial" w:cs="Arial" w:eastAsia="Arial" w:hAnsi="Arial"/>
                <w:sz w:val="14"/>
                <w:szCs w:val="14"/>
                <w:color w:val="auto"/>
              </w:rPr>
              <w:t>For</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Withheld</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Broker Non-Votes</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E. Brunner</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14,369,851</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874,757</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1,542,317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Richard D. Holder</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14,851,974</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392,634</w:t>
            </w:r>
          </w:p>
        </w:tc>
        <w:tc>
          <w:tcPr>
            <w:tcW w:w="1040" w:type="dxa"/>
            <w:vAlign w:val="bottom"/>
          </w:tcPr>
          <w:p>
            <w:pPr>
              <w:jc w:val="right"/>
              <w:spacing w:after="0"/>
              <w:rPr>
                <w:sz w:val="20"/>
                <w:szCs w:val="20"/>
                <w:color w:val="auto"/>
              </w:rPr>
            </w:pPr>
            <w:r>
              <w:rPr>
                <w:rFonts w:ascii="Arial" w:cs="Arial" w:eastAsia="Arial" w:hAnsi="Arial"/>
                <w:sz w:val="18"/>
                <w:szCs w:val="18"/>
                <w:color w:val="auto"/>
              </w:rPr>
              <w:t>1,542,317</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David L. Pugh</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14,807,660</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436,948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1,542,317</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advisory resolution to approve the compensation of the Company’s named executive officers was approved, and the aggregate votes cast for or against, as well as the abstentions and broker non-votes,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240" w:type="dxa"/>
            <w:vAlign w:val="bottom"/>
          </w:tcPr>
          <w:p>
            <w:pPr>
              <w:spacing w:after="0"/>
              <w:rPr>
                <w:sz w:val="14"/>
                <w:szCs w:val="14"/>
                <w:color w:val="auto"/>
              </w:rPr>
            </w:pPr>
          </w:p>
        </w:tc>
        <w:tc>
          <w:tcPr>
            <w:tcW w:w="1700" w:type="dxa"/>
            <w:vAlign w:val="bottom"/>
            <w:gridSpan w:val="2"/>
          </w:tcPr>
          <w:p>
            <w:pPr>
              <w:jc w:val="center"/>
              <w:ind w:right="1500"/>
              <w:spacing w:after="0"/>
              <w:rPr>
                <w:sz w:val="20"/>
                <w:szCs w:val="20"/>
                <w:color w:val="auto"/>
              </w:rPr>
            </w:pPr>
            <w:r>
              <w:rPr>
                <w:rFonts w:ascii="Arial" w:cs="Arial" w:eastAsia="Arial" w:hAnsi="Arial"/>
                <w:sz w:val="14"/>
                <w:szCs w:val="14"/>
                <w:color w:val="auto"/>
                <w:w w:val="95"/>
              </w:rPr>
              <w:t>For</w:t>
            </w:r>
          </w:p>
        </w:tc>
        <w:tc>
          <w:tcPr>
            <w:tcW w:w="1340" w:type="dxa"/>
            <w:vAlign w:val="bottom"/>
          </w:tcPr>
          <w:p>
            <w:pPr>
              <w:spacing w:after="0"/>
              <w:rPr>
                <w:sz w:val="14"/>
                <w:szCs w:val="14"/>
                <w:color w:val="auto"/>
              </w:rPr>
            </w:pPr>
          </w:p>
        </w:tc>
        <w:tc>
          <w:tcPr>
            <w:tcW w:w="2060" w:type="dxa"/>
            <w:vAlign w:val="bottom"/>
            <w:gridSpan w:val="2"/>
          </w:tcPr>
          <w:p>
            <w:pPr>
              <w:jc w:val="center"/>
              <w:ind w:right="1620"/>
              <w:spacing w:after="0"/>
              <w:rPr>
                <w:sz w:val="20"/>
                <w:szCs w:val="20"/>
                <w:color w:val="auto"/>
              </w:rPr>
            </w:pPr>
            <w:r>
              <w:rPr>
                <w:rFonts w:ascii="Arial" w:cs="Arial" w:eastAsia="Arial" w:hAnsi="Arial"/>
                <w:sz w:val="14"/>
                <w:szCs w:val="14"/>
                <w:color w:val="auto"/>
                <w:w w:val="94"/>
              </w:rPr>
              <w:t>Against</w:t>
            </w: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Abstentions</w:t>
            </w:r>
          </w:p>
        </w:tc>
        <w:tc>
          <w:tcPr>
            <w:tcW w:w="1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Broker Non-Votes</w:t>
            </w:r>
          </w:p>
        </w:tc>
      </w:tr>
      <w:tr>
        <w:trPr>
          <w:trHeight w:val="20"/>
        </w:trPr>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0"/>
        </w:trPr>
        <w:tc>
          <w:tcPr>
            <w:tcW w:w="294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13,827,250</w:t>
            </w:r>
          </w:p>
        </w:tc>
        <w:tc>
          <w:tcPr>
            <w:tcW w:w="3400" w:type="dxa"/>
            <w:vAlign w:val="bottom"/>
            <w:gridSpan w:val="3"/>
            <w:shd w:val="clear" w:color="auto" w:fill="CCEEFF"/>
          </w:tcPr>
          <w:p>
            <w:pPr>
              <w:jc w:val="right"/>
              <w:ind w:right="1480"/>
              <w:spacing w:after="0"/>
              <w:rPr>
                <w:sz w:val="20"/>
                <w:szCs w:val="20"/>
                <w:color w:val="auto"/>
              </w:rPr>
            </w:pPr>
            <w:r>
              <w:rPr>
                <w:rFonts w:ascii="Arial" w:cs="Arial" w:eastAsia="Arial" w:hAnsi="Arial"/>
                <w:sz w:val="18"/>
                <w:szCs w:val="18"/>
                <w:color w:val="auto"/>
              </w:rPr>
              <w:t>1,137,153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280,205</w:t>
            </w:r>
          </w:p>
        </w:tc>
        <w:tc>
          <w:tcPr>
            <w:tcW w:w="2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1,542,317</w:t>
            </w:r>
          </w:p>
        </w:tc>
      </w:tr>
    </w:tbl>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Audit Committee’s selection of PricewaterhouseCoopers LLP as the Company’s registered independent public accounting firm for the fiscal year ending December 31, 2015 was ratified, and the aggregate votes cast for or against and the abstentions, were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54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For</w:t>
            </w:r>
          </w:p>
        </w:tc>
        <w:tc>
          <w:tcPr>
            <w:tcW w:w="3380" w:type="dxa"/>
            <w:vAlign w:val="bottom"/>
            <w:gridSpan w:val="3"/>
          </w:tcPr>
          <w:p>
            <w:pPr>
              <w:jc w:val="center"/>
              <w:ind w:left="479"/>
              <w:spacing w:after="0"/>
              <w:rPr>
                <w:sz w:val="20"/>
                <w:szCs w:val="20"/>
                <w:color w:val="auto"/>
              </w:rPr>
            </w:pPr>
            <w:r>
              <w:rPr>
                <w:rFonts w:ascii="Arial" w:cs="Arial" w:eastAsia="Arial" w:hAnsi="Arial"/>
                <w:sz w:val="14"/>
                <w:szCs w:val="14"/>
                <w:color w:val="auto"/>
                <w:w w:val="98"/>
              </w:rPr>
              <w:t>Against</w:t>
            </w:r>
          </w:p>
        </w:tc>
        <w:tc>
          <w:tcPr>
            <w:tcW w:w="1760" w:type="dxa"/>
            <w:vAlign w:val="bottom"/>
            <w:gridSpan w:val="3"/>
          </w:tcPr>
          <w:p>
            <w:pPr>
              <w:jc w:val="center"/>
              <w:ind w:left="959"/>
              <w:spacing w:after="0"/>
              <w:rPr>
                <w:sz w:val="20"/>
                <w:szCs w:val="20"/>
                <w:color w:val="auto"/>
              </w:rPr>
            </w:pPr>
            <w:r>
              <w:rPr>
                <w:rFonts w:ascii="Arial" w:cs="Arial" w:eastAsia="Arial" w:hAnsi="Arial"/>
                <w:sz w:val="14"/>
                <w:szCs w:val="14"/>
                <w:color w:val="auto"/>
                <w:w w:val="92"/>
              </w:rPr>
              <w:t>Abstentions</w:t>
            </w:r>
          </w:p>
        </w:tc>
      </w:tr>
      <w:tr>
        <w:trPr>
          <w:trHeight w:val="20"/>
        </w:trPr>
        <w:tc>
          <w:tcPr>
            <w:tcW w:w="1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5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15,593,015</w:t>
            </w:r>
          </w:p>
        </w:tc>
        <w:tc>
          <w:tcPr>
            <w:tcW w:w="33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1,188,960</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4,950</w:t>
            </w:r>
          </w:p>
        </w:tc>
        <w:tc>
          <w:tcPr>
            <w:tcW w:w="2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May 13, 2015, the Company issued a press release announcing the declaration of a quarterly cash dividend of $0.07 per common share payable on June 19, 2015, to stockholders of record as of the close of business on June 5, 2015. The full text of the press release is attached as Exhibit 99.1 to this Current Report on Form 8-K and is incorporated herein by reference.</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416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160" w:type="dxa"/>
            <w:vAlign w:val="bottom"/>
            <w:gridSpan w:val="3"/>
          </w:tcPr>
          <w:p>
            <w:pPr>
              <w:ind w:left="780"/>
              <w:spacing w:after="0"/>
              <w:rPr>
                <w:sz w:val="20"/>
                <w:szCs w:val="20"/>
                <w:color w:val="auto"/>
              </w:rPr>
            </w:pPr>
            <w:r>
              <w:rPr>
                <w:rFonts w:ascii="Arial" w:cs="Arial" w:eastAsia="Arial" w:hAnsi="Arial"/>
                <w:sz w:val="18"/>
                <w:szCs w:val="18"/>
                <w:color w:val="auto"/>
                <w:w w:val="89"/>
              </w:rPr>
              <w:t>Press Release of NN, Inc. dated May 13, 2015.</w:t>
            </w:r>
          </w:p>
        </w:tc>
      </w:tr>
    </w:tbl>
    <w:p>
      <w:pPr>
        <w:sectPr>
          <w:pgSz w:w="11900" w:h="16838" w:orient="portrait"/>
          <w:cols w:equalWidth="0" w:num="1">
            <w:col w:w="11260"/>
          </w:cols>
          <w:pgMar w:left="240" w:top="274" w:right="3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320"/>
          </w:cols>
          <w:pgMar w:left="240" w:top="270" w:right="3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416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160" w:type="dxa"/>
            <w:vAlign w:val="bottom"/>
            <w:gridSpan w:val="3"/>
          </w:tcPr>
          <w:p>
            <w:pPr>
              <w:ind w:left="780"/>
              <w:spacing w:after="0"/>
              <w:rPr>
                <w:sz w:val="20"/>
                <w:szCs w:val="20"/>
                <w:color w:val="auto"/>
              </w:rPr>
            </w:pPr>
            <w:r>
              <w:rPr>
                <w:rFonts w:ascii="Arial" w:cs="Arial" w:eastAsia="Arial" w:hAnsi="Arial"/>
                <w:sz w:val="18"/>
                <w:szCs w:val="18"/>
                <w:color w:val="auto"/>
                <w:w w:val="89"/>
              </w:rPr>
              <w:t>Press Release of NN, Inc. dated May 13, 2015.</w:t>
            </w:r>
          </w:p>
        </w:tc>
      </w:tr>
    </w:tbl>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132080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3943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172085</wp:posOffset>
            </wp:positionV>
            <wp:extent cx="1758315"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13, 2015</w:t>
      </w:r>
    </w:p>
    <w:p>
      <w:pPr>
        <w:sectPr>
          <w:pgSz w:w="11900" w:h="16838" w:orient="portrait"/>
          <w:cols w:equalWidth="0" w:num="1">
            <w:col w:w="11420"/>
          </w:cols>
          <w:pgMar w:left="240" w:top="121" w:right="239" w:bottom="1440" w:gutter="0" w:footer="0" w:header="0"/>
          <w:type w:val="continuous"/>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ANNOUNCES QUARTERLY DIVIDEND</w:t>
      </w:r>
    </w:p>
    <w:p>
      <w:pPr>
        <w:spacing w:after="0" w:line="225"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Johnson City, Tenn, May 13, 2015 –</w:t>
      </w:r>
      <w:r>
        <w:rPr>
          <w:rFonts w:ascii="Arial" w:cs="Arial" w:eastAsia="Arial" w:hAnsi="Arial"/>
          <w:sz w:val="18"/>
          <w:szCs w:val="18"/>
          <w:color w:val="auto"/>
        </w:rPr>
        <w:t>NN, Inc., (NASDAQ: NNBR) a diversified industrial company, announced today its Board of Directors declared a</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cash dividend of $0.07 per common share. The dividend will be paid on June 19, 2015, to shareholders of record as of the close of business on June 5, 2015.</w:t>
      </w:r>
    </w:p>
    <w:p>
      <w:pPr>
        <w:spacing w:after="0" w:line="18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2019-12-06T10:02:48Z</dcterms:created>
  <dcterms:modified xsi:type="dcterms:W3CDTF">2019-12-06T10:02:48Z</dcterms:modified>
</cp:coreProperties>
</file>