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302260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4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On May 6, 2021, NN, Inc. (the “Company”) issued a press release announcing the Company’s financial results for the quarter ended March 31,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2021. The full text of the press release is furnished as Exhibit 99.1 and is incorporated herein by reference.</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44"/>
        <w:spacing w:after="0"/>
        <w:tabs>
          <w:tab w:leader="none" w:pos="9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-3175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1" w:lineRule="exact"/>
        <w:rPr>
          <w:sz w:val="20"/>
          <w:szCs w:val="20"/>
          <w:color w:val="auto"/>
        </w:rPr>
      </w:pPr>
    </w:p>
    <w:p>
      <w:pPr>
        <w:ind w:left="124"/>
        <w:spacing w:after="0"/>
        <w:tabs>
          <w:tab w:leader="none" w:pos="9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May 6, 2021</w:t>
        </w:r>
      </w:hyperlink>
    </w:p>
    <w:p>
      <w:pPr>
        <w:spacing w:after="0" w:line="117" w:lineRule="exact"/>
        <w:rPr>
          <w:sz w:val="20"/>
          <w:szCs w:val="20"/>
          <w:color w:val="auto"/>
        </w:rPr>
      </w:pPr>
    </w:p>
    <w:p>
      <w:pPr>
        <w:ind w:left="124"/>
        <w:spacing w:after="0"/>
        <w:tabs>
          <w:tab w:leader="none" w:pos="9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14070"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4070" cy="79756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171450</wp:posOffset>
            </wp:positionV>
            <wp:extent cx="170624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62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STRONG SALES GROWTH AND IMPROVED OPERATING MARGINS FOR FIRST QUARTER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Net Sales Increased 9.1% Over Prior Year, Driving EBITDA to $16.9 Million on an Adjusted Basis</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Charlotte, N.C., May 6, 2021 – </w:t>
      </w:r>
      <w:r>
        <w:rPr>
          <w:rFonts w:ascii="Arial" w:cs="Arial" w:eastAsia="Arial" w:hAnsi="Arial"/>
          <w:sz w:val="18"/>
          <w:szCs w:val="18"/>
          <w:color w:val="auto"/>
        </w:rPr>
        <w:t>NN, Inc. (NASDAQ: NNBR), a diversified industrial company, today reported its financial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Results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for the first quarter of 2021 increased $10.6 million, or 9.1%, to $126.8 million, compared to $116.2 million for the first quarter of 2020, led by strong sales from Mobile Solutions, which increased 11.3%.</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 GAAP basis, income from operations for the first quarter of 2021 was $1.0 million, compared to loss from operations of $103.9 million for the same period in 2020. In the first quarter of 2021, the income from operations was primarily driven by an increase in sales volume and cost reduction initiatives. Income from operations for the first quarter of 2020 was impacted by a non-cash goodwill impairment of $92.9 million in the Power Solutions segment.</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a GAAP basis, income from operations for first quarter 2021 in the Mobile Solutions segment was $6.1 million, compared to income from operations of $0.3 million for the same period in 2020. On a GAAP basis, income from operations for first quarter 2021 in the Power Solutions segment was $2.4 million, compared to loss from operations of $90.3 million for the same period in 2020.</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loss on a GAAP basis for the first quarter of 2021 was $4.9 million, compared to net loss on a GAAP basis of $248.2 million in the first quarter of 2020. Net loss on a GAAP basis for the first quarter of 2021 was driven by costs related to the refinancing transaction and termination of the interest rate swap, which were partially offset by the gross profit generated from incremental sales volume, operating efficiencies, reductions in SG&amp;A, and interest expense. Net loss on a GAAP basis for the first quarter of 2020 was impacted by the non-cash goodwill impairment referenced above and the loss from discontinued operations of $140.1 million from the former Life Sciences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Results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Adjusted income from operations for the first quarter of 2021 was $6.4 million, compared to $1.3 million for the same period in 2020. Adjusted EBITDA for the first quarter of 2021 was $16.9 million, or 13.3% of sales, versus $10.1 million, or 8.7% of sales, for the same period in 2020. Adjusted net income was $2.2 million, or $0.05 per diluted share, compared to adjusted net loss of $6.6 million, or $0.16 per diluted share, for the same period in 2020. Free cash flow for the first quarter of 2021 was $2.4 million, compared to a use of cash of $1.0 million for the same period in 2020.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Warren Veltman, President and Chief Executive Officer, said, “We are encouraged by the strong sequential and year-over-year growth we saw across our Mobile Solutions and Power Solutions businesses in the first quarter. We experienced strong growth in North America and our wholly owned China operations, driven by improved customer demand across our end markets. Our China joint venture also showed strong profitability during the quarter contributing to a $1.7 million improvement from prior year. Our sales volume, cost reductions, and improved manufacturing efficiencies all contributed to improve our bottom line and free cash flow generation during the quarter.”</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ind w:left="4" w:right="200"/>
        <w:spacing w:after="0" w:line="257" w:lineRule="auto"/>
        <w:rPr>
          <w:sz w:val="20"/>
          <w:szCs w:val="20"/>
          <w:color w:val="auto"/>
        </w:rPr>
      </w:pPr>
      <w:r>
        <w:rPr>
          <w:rFonts w:ascii="Arial" w:cs="Arial" w:eastAsia="Arial" w:hAnsi="Arial"/>
          <w:sz w:val="18"/>
          <w:szCs w:val="18"/>
          <w:color w:val="auto"/>
        </w:rPr>
        <w:t>Net sales for the first quarter of 2021 were $77.8 million, compared to $69.9 million in the first quarter of 2020, an increase of $7.9 million, or 11.3%. The increase in sales was driven by higher demand within all markets that were negatively impacted by the pandemic in the prior year, as well as new business in the general industrial market. Adjusted income from operations for the first quarter of 2021 was $7.1 million, compared to $1.5 million of adjusted operating income in the first quarter of 2020. Adjusted operating income increased as a result of the increase in sales as well as variable and fixed cost reduction initiatives.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Net sales for the first quarter of 2021 were $49.1 million, compared to $46.4 million in the first quarter of 2020, an increase of $2.7 million, or 5.8%. The increase in sales was driven primarily by higher commodity pricing on precious metals which are passed through at lower margins. The increase in sales was partially offset by decreases in demand from the electrical and medical markets as demand has been dampened by the pandemic, which did not begin to impact the segment until the second quarter of 2020. Adjusted income from operations for the quarter was $5.5 million, compared to</w:t>
      </w:r>
    </w:p>
    <w:p>
      <w:pPr>
        <w:spacing w:after="0" w:line="1" w:lineRule="exact"/>
        <w:rPr>
          <w:sz w:val="20"/>
          <w:szCs w:val="20"/>
          <w:color w:val="auto"/>
        </w:rPr>
      </w:pPr>
    </w:p>
    <w:p>
      <w:pPr>
        <w:ind w:left="4" w:right="140"/>
        <w:spacing w:after="0" w:line="260" w:lineRule="auto"/>
        <w:rPr>
          <w:sz w:val="20"/>
          <w:szCs w:val="20"/>
          <w:color w:val="auto"/>
        </w:rPr>
      </w:pPr>
      <w:r>
        <w:rPr>
          <w:rFonts w:ascii="Arial" w:cs="Arial" w:eastAsia="Arial" w:hAnsi="Arial"/>
          <w:sz w:val="18"/>
          <w:szCs w:val="18"/>
          <w:color w:val="auto"/>
        </w:rPr>
        <w:t>$7.0 million in the first quarter of 2020. The reduction in adjusted operating income was due primarily to the lower margins on precious metals as well as the product mix which reduced overall segment profitability.</w:t>
      </w:r>
    </w:p>
    <w:p>
      <w:pPr>
        <w:spacing w:after="0" w:line="185"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Mr. Veltman concluded, “Throughout the first quarter of 2021, we continued to make progress in executing our strategic plan by successfully completing our refinancing, providing us a long-term runway to achieve our 2025 goals for revenue and profitability growth. We also added new directors to our Board who possess specific experience and skill sets to assist our management team in shaping our strategy to leverage growth opportunities created by the evolution of the power grid and electric vehicles. Looking forward, we will continue to maintain our focus on end market penetration to drive growth and cost discipline to improve profitability, while remaining judicious in our capital investments.”</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left="4" w:right="80" w:hanging="4"/>
        <w:spacing w:after="0" w:line="311" w:lineRule="auto"/>
        <w:tabs>
          <w:tab w:leader="none" w:pos="30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on May 7, 2021,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1-877-317-6789 or 1-412-317-6789, Conference ID: 10155479. For those who are unavailable to listen to the live broadcast, a replay will be available shortly after the call until May 7, 2022.</w:t>
      </w:r>
    </w:p>
    <w:p>
      <w:pPr>
        <w:spacing w:after="0" w:line="149" w:lineRule="exact"/>
        <w:rPr>
          <w:sz w:val="20"/>
          <w:szCs w:val="20"/>
          <w:color w:val="auto"/>
        </w:rPr>
      </w:pPr>
    </w:p>
    <w:p>
      <w:pPr>
        <w:ind w:left="4" w:right="60" w:hanging="4"/>
        <w:spacing w:after="0" w:line="279" w:lineRule="auto"/>
        <w:tabs>
          <w:tab w:leader="none" w:pos="309"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discloses in this press release the non-GAAP financial measures of adjusted income from operations, adjusted EBITDA, adjusted net income (loss), adjusted net income per diluted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tables found later in this press release include a reconciliation of adjusted income from operations, adjusted operating margin, adjusted EBITDA, adjusted EBITDA margin, adjusted net income (loss), adjusted net income (loss) per diluted share, and free cash flow to the U.S. GAAP financial measures of income from operations, net income (loss), net income (loss) per diluted share, and cash provided (used) by operating activities.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and, when filed, the Company’s Quarterly Report on Form 10-Q for the three months ended March 31, 2021. Except as required by law, we undertake no obligation to update or revise any forward-looking statements we make in our press releases,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Mike Danehy,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Mike.Danehy@nninc.com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(980) 264-4312</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Financial Tables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9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4"/>
                <w:szCs w:val="14"/>
                <w:color w:val="auto"/>
              </w:rPr>
            </w:pPr>
          </w:p>
        </w:tc>
        <w:tc>
          <w:tcPr>
            <w:tcW w:w="20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116,213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99,688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94,478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14,575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16,160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11,568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operating expense (income), net</w:t>
            </w:r>
          </w:p>
        </w:tc>
        <w:tc>
          <w:tcPr>
            <w:tcW w:w="10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0"/>
              </w:rPr>
              <w:t>(103,850)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2,390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10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1,717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benefit (provision) for income taxes and share of net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income (loss) from joint venture</w:t>
            </w:r>
          </w:p>
        </w:tc>
        <w:tc>
          <w:tcPr>
            <w:tcW w:w="10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(7,064)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(109,201)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Share of net income (loss) from joint venture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(4,913)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0"/>
              </w:rPr>
              <w:t>(108,077)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(140,114)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(4,913)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0"/>
              </w:rPr>
              <w:t>(248,191)</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(3,347)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net of tax</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Reclassification adjustment for losses included in net loss, net of tax</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(24,499)</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(272,690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Loss from continuing operations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(0.46)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per common share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(0.46)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42,672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42,111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Diluted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Loss from discontinued operations per common share</w:t>
            </w:r>
          </w:p>
        </w:tc>
        <w:tc>
          <w:tcPr>
            <w:tcW w:w="100" w:type="dxa"/>
            <w:vAlign w:val="bottom"/>
          </w:tcPr>
          <w:p>
            <w:pPr>
              <w:spacing w:after="0"/>
              <w:rPr>
                <w:sz w:val="18"/>
                <w:szCs w:val="18"/>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54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48,138</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90,545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84,615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62,517</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8,956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12,431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222,496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218,057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223,690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49,545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50,264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99,479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103,065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28,207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26,983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622,316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Accrued salaries, wages and benefits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24,613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21,296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4,844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17,042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98,070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103,231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10,326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151,551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79,025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54,780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55,053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25,976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340,703</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80" w:type="dxa"/>
            <w:vAlign w:val="bottom"/>
          </w:tcPr>
          <w:p>
            <w:pPr>
              <w:spacing w:after="0" w:line="201" w:lineRule="exact"/>
              <w:rPr>
                <w:sz w:val="20"/>
                <w:szCs w:val="20"/>
                <w:color w:val="auto"/>
              </w:rPr>
            </w:pPr>
            <w:r>
              <w:rPr>
                <w:rFonts w:ascii="Arial" w:cs="Arial" w:eastAsia="Arial" w:hAnsi="Arial"/>
                <w:sz w:val="18"/>
                <w:szCs w:val="18"/>
                <w:color w:val="auto"/>
                <w:w w:val="93"/>
              </w:rPr>
              <w:t>Series D perpetual preferred stock - $0.01 par value per share, 5,000 shares authorized, and 65 shares issued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 at March 31, 2021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46,858</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B convertible preferred stock - $0.01 par value per share, 100 shares authorized, 100 and shares issued and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105,086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 $0.01 par value per share, 90,000 shares authorized, 42,686 and 43,049 shares issued and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at December 31, 2020, and March 31, 2021, respectively</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479,341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493,332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(210,788)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(205,875)</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(34,228)</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234,755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254,152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622,316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1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18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(248,191)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Depreciation and amortization of continuing operations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11,568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discontinued operations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of continuing operations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Goodwill impairment of discontinued operations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146,757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Total derivative loss, net of cash settlements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net income (loss) from joint venture, net of cash dividends received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Compensation expense from issuance of share-based awards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receivable and payable,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settlements of interest rate swap</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Cash paid for debt issuance costs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preferred stock</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Redemption of preferred stock</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(122,434)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60,012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short-term debt,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Effect of exchange rate changes on cash flows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47,511</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beginning of period (1)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79,214</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92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include $11.7 million and $13.8 million of cash and cash equivalents that were included in current assets of discontinued operations as of March 31, 2020, and December 31, 2019, respectively.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180" w:type="dxa"/>
            <w:vAlign w:val="bottom"/>
            <w:gridSpan w:val="3"/>
          </w:tcPr>
          <w:p>
            <w:pPr>
              <w:jc w:val="center"/>
              <w:ind w:left="455"/>
              <w:spacing w:after="0" w:line="149" w:lineRule="exact"/>
              <w:rPr>
                <w:sz w:val="20"/>
                <w:szCs w:val="20"/>
                <w:color w:val="auto"/>
              </w:rPr>
            </w:pPr>
            <w:r>
              <w:rPr>
                <w:rFonts w:ascii="Arial" w:cs="Arial" w:eastAsia="Arial" w:hAnsi="Arial"/>
                <w:sz w:val="14"/>
                <w:szCs w:val="14"/>
                <w:b w:val="1"/>
                <w:bCs w:val="1"/>
                <w:color w:val="auto"/>
                <w:w w:val="99"/>
              </w:rPr>
              <w:t>March 31,</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(103,850)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Non-GAAP adjusted operating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126,804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116,213</w:t>
            </w:r>
          </w:p>
        </w:tc>
        <w:tc>
          <w:tcPr>
            <w:tcW w:w="0" w:type="dxa"/>
            <w:vAlign w:val="bottom"/>
          </w:tcPr>
          <w:p>
            <w:pPr>
              <w:spacing w:after="0"/>
              <w:rPr>
                <w:sz w:val="1"/>
                <w:szCs w:val="1"/>
                <w:color w:val="auto"/>
              </w:rPr>
            </w:pPr>
          </w:p>
        </w:tc>
      </w:tr>
      <w:tr>
        <w:trPr>
          <w:trHeight w:val="342"/>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180" w:type="dxa"/>
            <w:vAlign w:val="bottom"/>
            <w:gridSpan w:val="3"/>
          </w:tcPr>
          <w:p>
            <w:pPr>
              <w:jc w:val="center"/>
              <w:ind w:left="455"/>
              <w:spacing w:after="0" w:line="149" w:lineRule="exact"/>
              <w:rPr>
                <w:sz w:val="20"/>
                <w:szCs w:val="20"/>
                <w:color w:val="auto"/>
              </w:rPr>
            </w:pPr>
            <w:r>
              <w:rPr>
                <w:rFonts w:ascii="Arial" w:cs="Arial" w:eastAsia="Arial" w:hAnsi="Arial"/>
                <w:sz w:val="14"/>
                <w:szCs w:val="14"/>
                <w:b w:val="1"/>
                <w:bCs w:val="1"/>
                <w:color w:val="auto"/>
                <w:w w:val="99"/>
              </w:rPr>
              <w:t>March 31,</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(90,334)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Non-GAAP adjusted operating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49,075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317"/>
              <w:spacing w:after="0" w:line="149" w:lineRule="exact"/>
              <w:rPr>
                <w:sz w:val="20"/>
                <w:szCs w:val="20"/>
                <w:color w:val="auto"/>
              </w:rPr>
            </w:pPr>
            <w:r>
              <w:rPr>
                <w:rFonts w:ascii="Arial" w:cs="Arial" w:eastAsia="Arial" w:hAnsi="Arial"/>
                <w:sz w:val="14"/>
                <w:szCs w:val="14"/>
                <w:b w:val="1"/>
                <w:bCs w:val="1"/>
                <w:color w:val="auto"/>
                <w:w w:val="99"/>
              </w:rPr>
              <w:t>March 31,</w:t>
            </w: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Mobile Solutions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3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with JV</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w w:val="98"/>
              </w:rPr>
              <w:t>Non-GAAP adjusted operating margin (1)</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77,776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69,884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317"/>
              <w:spacing w:after="0" w:line="149" w:lineRule="exact"/>
              <w:rPr>
                <w:sz w:val="20"/>
                <w:szCs w:val="20"/>
                <w:color w:val="auto"/>
              </w:rPr>
            </w:pPr>
            <w:r>
              <w:rPr>
                <w:rFonts w:ascii="Arial" w:cs="Arial" w:eastAsia="Arial" w:hAnsi="Arial"/>
                <w:sz w:val="14"/>
                <w:szCs w:val="14"/>
                <w:b w:val="1"/>
                <w:bCs w:val="1"/>
                <w:color w:val="auto"/>
                <w:w w:val="99"/>
              </w:rPr>
              <w:t>March 31,</w:t>
            </w: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5"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17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20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2021 Includes Capacity &amp; Capabilities Dev - $0.0 / Prof Fees - $0.6 / Integration &amp; Transformation - $1.2 / Acq Transaction Costs - $0.0 / Asset Write-Downs/Lease Modification - $0.0</w:t>
      </w:r>
    </w:p>
    <w:p>
      <w:pPr>
        <w:ind w:left="424" w:right="20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2020 Includes Capacity &amp; Capabilities Dev - $0.7 / Prof Fees - $1.5 / Integration &amp; Transformation - $1.6 / Acq Transaction Costs - $0.0 / Asset Write-Downs/Lease Modification - $4.8</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8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8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(248,191)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payments and change in fair value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Change in fair value of preferred stock derivatives and warrants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140,114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Impairments (Goodwill, JV and fixed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Non-GAAP adjusted EBITDA margin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126,804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116,213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w:t>
        <w:tab/>
        <w:t>Non-GAAP adjusted EBITDA margin = Non-GAAP adjusted EBITDA / GAAP net sales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1" w:name="page12"/>
    <w:bookmarkEnd w:id="11"/>
    <w:p>
      <w:pPr>
        <w:jc w:val="center"/>
        <w:ind w:left="320" w:right="2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ectPr>
          <w:pgSz w:w="11900" w:h="16838" w:orient="portrait"/>
          <w:cols w:equalWidth="0" w:num="1">
            <w:col w:w="10960"/>
          </w:cols>
          <w:pgMar w:left="440" w:top="270" w:right="4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Pre-tax change in fair value of preferred stock derivatives and warrants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interest rate swap payments and change in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of adjustments reflected above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Non-GAAP discrete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Impairments (Goodwill and JV)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discontinued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 per diluted share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Pre-tax change in fair value of preferred stock derivatives and warrants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interest rate swap payments and change in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of adjustments reflected above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Non-GAAP discrete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Impairments (Goodwill and JV)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Preferred stock cumulative dividends and deemed dividends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per diluted share (d)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8" w:lineRule="exact"/>
        <w:rPr>
          <w:sz w:val="20"/>
          <w:szCs w:val="20"/>
          <w:color w:val="auto"/>
        </w:rPr>
      </w:pPr>
    </w:p>
    <w:p>
      <w:pPr>
        <w:jc w:val="right"/>
        <w:ind w:right="309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51"/>
        <w:spacing w:after="0"/>
        <w:rPr>
          <w:sz w:val="20"/>
          <w:szCs w:val="20"/>
          <w:color w:val="auto"/>
        </w:rPr>
      </w:pPr>
      <w:r>
        <w:rPr>
          <w:rFonts w:ascii="Arial" w:cs="Arial" w:eastAsia="Arial" w:hAnsi="Arial"/>
          <w:sz w:val="14"/>
          <w:szCs w:val="14"/>
          <w:b w:val="1"/>
          <w:bCs w:val="1"/>
          <w:color w:val="auto"/>
        </w:rPr>
        <w:t>Three Months Ended</w:t>
      </w:r>
    </w:p>
    <w:p>
      <w:pPr>
        <w:jc w:val="center"/>
        <w:ind w:right="51"/>
        <w:spacing w:after="0" w:line="226" w:lineRule="auto"/>
        <w:rPr>
          <w:sz w:val="20"/>
          <w:szCs w:val="20"/>
          <w:color w:val="auto"/>
        </w:rPr>
      </w:pPr>
      <w:r>
        <w:rPr>
          <w:rFonts w:ascii="Arial" w:cs="Arial" w:eastAsia="Arial" w:hAnsi="Arial"/>
          <w:sz w:val="14"/>
          <w:szCs w:val="14"/>
          <w:b w:val="1"/>
          <w:bCs w:val="1"/>
          <w:color w:val="auto"/>
        </w:rPr>
        <w:t>March 31,</w:t>
      </w:r>
    </w:p>
    <w:p>
      <w:pPr>
        <w:ind w:left="149"/>
        <w:spacing w:after="0"/>
        <w:tabs>
          <w:tab w:leader="none" w:pos="1008"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ind w:left="129" w:hanging="129"/>
        <w:spacing w:after="0"/>
        <w:tabs>
          <w:tab w:leader="none" w:pos="129" w:val="left"/>
        </w:tabs>
        <w:numPr>
          <w:ilvl w:val="0"/>
          <w:numId w:val="8"/>
        </w:numPr>
        <w:rPr>
          <w:rFonts w:ascii="Arial" w:cs="Arial" w:eastAsia="Arial" w:hAnsi="Arial"/>
          <w:sz w:val="17"/>
          <w:szCs w:val="17"/>
          <w:color w:val="auto"/>
        </w:rPr>
      </w:pPr>
      <w:r>
        <w:rPr>
          <w:rFonts w:ascii="Arial" w:cs="Arial" w:eastAsia="Arial" w:hAnsi="Arial"/>
          <w:sz w:val="17"/>
          <w:szCs w:val="17"/>
          <w:color w:val="auto"/>
        </w:rPr>
        <w:t>(4,913)  $(248,191)</w:t>
      </w:r>
    </w:p>
    <w:p>
      <w:pPr>
        <w:spacing w:after="0" w:line="19" w:lineRule="exact"/>
        <w:rPr>
          <w:rFonts w:ascii="Arial" w:cs="Arial" w:eastAsia="Arial" w:hAnsi="Arial"/>
          <w:sz w:val="17"/>
          <w:szCs w:val="17"/>
          <w:color w:val="auto"/>
        </w:rPr>
      </w:pPr>
    </w:p>
    <w:p>
      <w:pPr>
        <w:ind w:left="189"/>
        <w:spacing w:after="0"/>
        <w:rPr>
          <w:rFonts w:ascii="Arial" w:cs="Arial" w:eastAsia="Arial" w:hAnsi="Arial"/>
          <w:sz w:val="17"/>
          <w:szCs w:val="17"/>
          <w:color w:val="auto"/>
        </w:rPr>
      </w:pPr>
      <w:r>
        <w:rPr>
          <w:rFonts w:ascii="Arial" w:cs="Arial" w:eastAsia="Arial" w:hAnsi="Arial"/>
          <w:sz w:val="18"/>
          <w:szCs w:val="18"/>
          <w:color w:val="auto"/>
        </w:rPr>
        <w:t>1,789</w:t>
      </w:r>
      <w:r>
        <w:rPr>
          <w:rFonts w:ascii="Arial" w:cs="Arial" w:eastAsia="Arial" w:hAnsi="Arial"/>
          <w:sz w:val="15"/>
          <w:szCs w:val="15"/>
          <w:color w:val="auto"/>
        </w:rPr>
        <w:t>8,625</w:t>
      </w:r>
    </w:p>
    <w:p>
      <w:pPr>
        <w:spacing w:after="0" w:line="9" w:lineRule="exact"/>
        <w:rPr>
          <w:rFonts w:ascii="Arial" w:cs="Arial" w:eastAsia="Arial" w:hAnsi="Arial"/>
          <w:sz w:val="17"/>
          <w:szCs w:val="17"/>
          <w:color w:val="auto"/>
        </w:rPr>
      </w:pPr>
    </w:p>
    <w:p>
      <w:pPr>
        <w:ind w:left="329"/>
        <w:spacing w:after="0"/>
        <w:rPr>
          <w:rFonts w:ascii="Arial" w:cs="Arial" w:eastAsia="Arial" w:hAnsi="Arial"/>
          <w:sz w:val="17"/>
          <w:szCs w:val="17"/>
          <w:color w:val="auto"/>
        </w:rPr>
      </w:pPr>
      <w:r>
        <w:rPr>
          <w:rFonts w:ascii="Arial" w:cs="Arial" w:eastAsia="Arial" w:hAnsi="Arial"/>
          <w:sz w:val="18"/>
          <w:szCs w:val="18"/>
          <w:color w:val="auto"/>
        </w:rPr>
        <w:t>619</w:t>
      </w:r>
      <w:r>
        <w:rPr>
          <w:rFonts w:ascii="Arial" w:cs="Arial" w:eastAsia="Arial" w:hAnsi="Arial"/>
          <w:sz w:val="15"/>
          <w:szCs w:val="15"/>
          <w:color w:val="auto"/>
        </w:rPr>
        <w:t>1,912</w:t>
      </w:r>
    </w:p>
    <w:p>
      <w:pPr>
        <w:spacing w:after="0" w:line="9" w:lineRule="exact"/>
        <w:rPr>
          <w:rFonts w:ascii="Arial" w:cs="Arial" w:eastAsia="Arial" w:hAnsi="Arial"/>
          <w:sz w:val="17"/>
          <w:szCs w:val="17"/>
          <w:color w:val="auto"/>
        </w:rPr>
      </w:pPr>
    </w:p>
    <w:p>
      <w:pPr>
        <w:ind w:left="189"/>
        <w:spacing w:after="0"/>
        <w:rPr>
          <w:rFonts w:ascii="Arial" w:cs="Arial" w:eastAsia="Arial" w:hAnsi="Arial"/>
          <w:sz w:val="17"/>
          <w:szCs w:val="17"/>
          <w:color w:val="auto"/>
        </w:rPr>
      </w:pPr>
      <w:r>
        <w:rPr>
          <w:rFonts w:ascii="Arial" w:cs="Arial" w:eastAsia="Arial" w:hAnsi="Arial"/>
          <w:sz w:val="18"/>
          <w:szCs w:val="18"/>
          <w:color w:val="auto"/>
        </w:rPr>
        <w:t>2,390—</w:t>
      </w:r>
    </w:p>
    <w:p>
      <w:pPr>
        <w:spacing w:after="0" w:line="9" w:lineRule="exact"/>
        <w:rPr>
          <w:rFonts w:ascii="Arial" w:cs="Arial" w:eastAsia="Arial" w:hAnsi="Arial"/>
          <w:sz w:val="17"/>
          <w:szCs w:val="17"/>
          <w:color w:val="auto"/>
        </w:rPr>
      </w:pPr>
    </w:p>
    <w:p>
      <w:pPr>
        <w:ind w:left="1309" w:hanging="1044"/>
        <w:spacing w:after="0"/>
        <w:tabs>
          <w:tab w:leader="none" w:pos="1309" w:val="left"/>
        </w:tabs>
        <w:numPr>
          <w:ilvl w:val="1"/>
          <w:numId w:val="8"/>
        </w:numPr>
        <w:rPr>
          <w:rFonts w:ascii="Arial" w:cs="Arial" w:eastAsia="Arial" w:hAnsi="Arial"/>
          <w:sz w:val="16"/>
          <w:szCs w:val="16"/>
          <w:color w:val="auto"/>
        </w:rPr>
      </w:pPr>
      <w:r>
        <w:rPr>
          <w:rFonts w:ascii="Arial" w:cs="Arial" w:eastAsia="Arial" w:hAnsi="Arial"/>
          <w:sz w:val="16"/>
          <w:szCs w:val="16"/>
          <w:color w:val="auto"/>
        </w:rPr>
        <w:t>(57)</w:t>
      </w:r>
    </w:p>
    <w:p>
      <w:pPr>
        <w:spacing w:after="0" w:line="32" w:lineRule="exact"/>
        <w:rPr>
          <w:sz w:val="20"/>
          <w:szCs w:val="20"/>
          <w:color w:val="auto"/>
        </w:rPr>
      </w:pPr>
    </w:p>
    <w:p>
      <w:pPr>
        <w:ind w:left="189"/>
        <w:spacing w:after="0"/>
        <w:tabs>
          <w:tab w:leader="none" w:pos="1128" w:val="left"/>
        </w:tabs>
        <w:rPr>
          <w:sz w:val="20"/>
          <w:szCs w:val="20"/>
          <w:color w:val="auto"/>
        </w:rPr>
      </w:pPr>
      <w:r>
        <w:rPr>
          <w:rFonts w:ascii="Arial" w:cs="Arial" w:eastAsia="Arial" w:hAnsi="Arial"/>
          <w:sz w:val="18"/>
          <w:szCs w:val="18"/>
          <w:color w:val="auto"/>
        </w:rPr>
        <w:t>3,992</w:t>
      </w:r>
      <w:r>
        <w:rPr>
          <w:sz w:val="20"/>
          <w:szCs w:val="20"/>
          <w:color w:val="auto"/>
        </w:rPr>
        <w:tab/>
      </w:r>
      <w:r>
        <w:rPr>
          <w:rFonts w:ascii="Arial" w:cs="Arial" w:eastAsia="Arial" w:hAnsi="Arial"/>
          <w:sz w:val="18"/>
          <w:szCs w:val="18"/>
          <w:color w:val="auto"/>
        </w:rPr>
        <w:t>4,014</w:t>
      </w:r>
    </w:p>
    <w:p>
      <w:pPr>
        <w:spacing w:after="0" w:line="9" w:lineRule="exact"/>
        <w:rPr>
          <w:sz w:val="20"/>
          <w:szCs w:val="20"/>
          <w:color w:val="auto"/>
        </w:rPr>
      </w:pPr>
    </w:p>
    <w:p>
      <w:pPr>
        <w:ind w:left="189"/>
        <w:spacing w:after="0"/>
        <w:tabs>
          <w:tab w:leader="none" w:pos="1268" w:val="left"/>
        </w:tabs>
        <w:rPr>
          <w:sz w:val="20"/>
          <w:szCs w:val="20"/>
          <w:color w:val="auto"/>
        </w:rPr>
      </w:pPr>
      <w:r>
        <w:rPr>
          <w:rFonts w:ascii="Arial" w:cs="Arial" w:eastAsia="Arial" w:hAnsi="Arial"/>
          <w:sz w:val="18"/>
          <w:szCs w:val="18"/>
          <w:color w:val="auto"/>
        </w:rPr>
        <w:t>3,750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29"/>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7</w:t>
      </w:r>
    </w:p>
    <w:p>
      <w:pPr>
        <w:spacing w:after="0" w:line="9" w:lineRule="exact"/>
        <w:rPr>
          <w:sz w:val="20"/>
          <w:szCs w:val="20"/>
          <w:color w:val="auto"/>
        </w:rPr>
      </w:pPr>
    </w:p>
    <w:p>
      <w:pPr>
        <w:ind w:left="129"/>
        <w:spacing w:after="0"/>
        <w:rPr>
          <w:sz w:val="20"/>
          <w:szCs w:val="20"/>
          <w:color w:val="auto"/>
        </w:rPr>
      </w:pPr>
      <w:r>
        <w:rPr>
          <w:rFonts w:ascii="Arial" w:cs="Arial" w:eastAsia="Arial" w:hAnsi="Arial"/>
          <w:sz w:val="18"/>
          <w:szCs w:val="18"/>
          <w:color w:val="auto"/>
        </w:rPr>
        <w:t>(2,564)</w:t>
      </w:r>
      <w:r>
        <w:rPr>
          <w:rFonts w:ascii="Arial" w:cs="Arial" w:eastAsia="Arial" w:hAnsi="Arial"/>
          <w:sz w:val="16"/>
          <w:szCs w:val="16"/>
          <w:color w:val="auto"/>
        </w:rPr>
        <w:t>(2,972)</w:t>
      </w:r>
    </w:p>
    <w:p>
      <w:pPr>
        <w:spacing w:after="0" w:line="9" w:lineRule="exact"/>
        <w:rPr>
          <w:sz w:val="20"/>
          <w:szCs w:val="20"/>
          <w:color w:val="auto"/>
        </w:rPr>
      </w:pPr>
    </w:p>
    <w:p>
      <w:pPr>
        <w:ind w:left="129"/>
        <w:spacing w:after="0"/>
        <w:rPr>
          <w:sz w:val="20"/>
          <w:szCs w:val="20"/>
          <w:color w:val="auto"/>
        </w:rPr>
      </w:pPr>
      <w:r>
        <w:rPr>
          <w:rFonts w:ascii="Arial" w:cs="Arial" w:eastAsia="Arial" w:hAnsi="Arial"/>
          <w:sz w:val="18"/>
          <w:szCs w:val="18"/>
          <w:color w:val="auto"/>
        </w:rPr>
        <w:t>(2,382)</w:t>
      </w:r>
      <w:r>
        <w:rPr>
          <w:rFonts w:ascii="Arial" w:cs="Arial" w:eastAsia="Arial" w:hAnsi="Arial"/>
          <w:sz w:val="16"/>
          <w:szCs w:val="16"/>
          <w:color w:val="auto"/>
        </w:rPr>
        <w:t>(3,036)</w:t>
      </w:r>
    </w:p>
    <w:p>
      <w:pPr>
        <w:spacing w:after="0" w:line="9" w:lineRule="exact"/>
        <w:rPr>
          <w:sz w:val="20"/>
          <w:szCs w:val="20"/>
          <w:color w:val="auto"/>
        </w:rPr>
      </w:pPr>
    </w:p>
    <w:p>
      <w:pPr>
        <w:ind w:left="32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92,942</w:t>
      </w:r>
    </w:p>
    <w:p>
      <w:pPr>
        <w:spacing w:after="0" w:line="9" w:lineRule="exact"/>
        <w:rPr>
          <w:sz w:val="20"/>
          <w:szCs w:val="20"/>
          <w:color w:val="auto"/>
        </w:rPr>
      </w:pPr>
    </w:p>
    <w:p>
      <w:pPr>
        <w:jc w:val="both"/>
        <w:ind w:left="9" w:firstLine="324"/>
        <w:spacing w:after="0" w:line="292" w:lineRule="auto"/>
        <w:rPr>
          <w:sz w:val="20"/>
          <w:szCs w:val="20"/>
          <w:color w:val="auto"/>
        </w:rPr>
      </w:pPr>
      <w:r>
        <w:rPr>
          <w:rFonts w:ascii="Arial" w:cs="Arial" w:eastAsia="Arial" w:hAnsi="Arial"/>
          <w:sz w:val="18"/>
          <w:szCs w:val="18"/>
          <w:color w:val="auto"/>
        </w:rPr>
        <w:t xml:space="preserve">— 140,114 </w:t>
      </w:r>
      <w:r>
        <w:rPr>
          <w:rFonts w:ascii="Arial" w:cs="Arial" w:eastAsia="Arial" w:hAnsi="Arial"/>
          <w:sz w:val="18"/>
          <w:szCs w:val="18"/>
          <w:u w:val="single" w:color="auto"/>
          <w:color w:val="auto"/>
        </w:rPr>
        <w:t>$ 2,232 $ (6,642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986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986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83" w:lineRule="exact"/>
        <w:rPr>
          <w:sz w:val="20"/>
          <w:szCs w:val="20"/>
          <w:color w:val="auto"/>
        </w:rPr>
      </w:pPr>
    </w:p>
    <w:p>
      <w:pPr>
        <w:ind w:left="129"/>
        <w:spacing w:after="0"/>
        <w:rPr>
          <w:sz w:val="20"/>
          <w:szCs w:val="20"/>
          <w:color w:val="auto"/>
        </w:rPr>
      </w:pPr>
      <w:r>
        <w:rPr>
          <w:rFonts w:ascii="Arial" w:cs="Arial" w:eastAsia="Arial" w:hAnsi="Arial"/>
          <w:sz w:val="14"/>
          <w:szCs w:val="14"/>
          <w:b w:val="1"/>
          <w:bCs w:val="1"/>
          <w:color w:val="auto"/>
        </w:rPr>
        <w:t>Three Months Ended</w:t>
      </w:r>
    </w:p>
    <w:tbl>
      <w:tblPr>
        <w:tblLayout w:type="fixed"/>
        <w:tblInd w:w="149" w:type="dxa"/>
        <w:tblCellMar>
          <w:top w:w="0" w:type="dxa"/>
          <w:left w:w="0" w:type="dxa"/>
          <w:bottom w:w="0" w:type="dxa"/>
          <w:right w:w="0" w:type="dxa"/>
        </w:tblCellMar>
      </w:tblPr>
      <w:tr>
        <w:trPr>
          <w:trHeight w:val="136"/>
        </w:trPr>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w:t>
            </w:r>
          </w:p>
        </w:tc>
        <w:tc>
          <w:tcPr>
            <w:tcW w:w="880" w:type="dxa"/>
            <w:vAlign w:val="bottom"/>
          </w:tcPr>
          <w:p>
            <w:pPr>
              <w:jc w:val="right"/>
              <w:ind w:right="168"/>
              <w:spacing w:after="0" w:line="136"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30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ind w:left="229" w:hanging="229"/>
        <w:spacing w:after="0"/>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(0.46)  $   (5.96)</w:t>
      </w:r>
    </w:p>
    <w:p>
      <w:pPr>
        <w:spacing w:after="0" w:line="7" w:lineRule="exact"/>
        <w:rPr>
          <w:rFonts w:ascii="Arial" w:cs="Arial" w:eastAsia="Arial" w:hAnsi="Arial"/>
          <w:sz w:val="18"/>
          <w:szCs w:val="18"/>
          <w:color w:val="auto"/>
        </w:rPr>
      </w:pPr>
    </w:p>
    <w:p>
      <w:pPr>
        <w:ind w:left="289"/>
        <w:spacing w:after="0"/>
        <w:rPr>
          <w:rFonts w:ascii="Arial" w:cs="Arial" w:eastAsia="Arial" w:hAnsi="Arial"/>
          <w:sz w:val="18"/>
          <w:szCs w:val="18"/>
          <w:color w:val="auto"/>
        </w:rPr>
      </w:pPr>
      <w:r>
        <w:rPr>
          <w:rFonts w:ascii="Arial" w:cs="Arial" w:eastAsia="Arial" w:hAnsi="Arial"/>
          <w:sz w:val="18"/>
          <w:szCs w:val="18"/>
          <w:color w:val="auto"/>
        </w:rPr>
        <w:t>0.04</w:t>
      </w:r>
      <w:r>
        <w:rPr>
          <w:rFonts w:ascii="Arial" w:cs="Arial" w:eastAsia="Arial" w:hAnsi="Arial"/>
          <w:sz w:val="16"/>
          <w:szCs w:val="16"/>
          <w:color w:val="auto"/>
        </w:rPr>
        <w:t>0.20</w:t>
      </w:r>
    </w:p>
    <w:p>
      <w:pPr>
        <w:spacing w:after="0" w:line="9" w:lineRule="exact"/>
        <w:rPr>
          <w:rFonts w:ascii="Arial" w:cs="Arial" w:eastAsia="Arial" w:hAnsi="Arial"/>
          <w:sz w:val="18"/>
          <w:szCs w:val="18"/>
          <w:color w:val="auto"/>
        </w:rPr>
      </w:pPr>
    </w:p>
    <w:p>
      <w:pPr>
        <w:ind w:left="289"/>
        <w:spacing w:after="0"/>
        <w:rPr>
          <w:rFonts w:ascii="Arial" w:cs="Arial" w:eastAsia="Arial" w:hAnsi="Arial"/>
          <w:sz w:val="18"/>
          <w:szCs w:val="18"/>
          <w:color w:val="auto"/>
        </w:rPr>
      </w:pPr>
      <w:r>
        <w:rPr>
          <w:rFonts w:ascii="Arial" w:cs="Arial" w:eastAsia="Arial" w:hAnsi="Arial"/>
          <w:sz w:val="18"/>
          <w:szCs w:val="18"/>
          <w:color w:val="auto"/>
        </w:rPr>
        <w:t>0.01</w:t>
      </w:r>
      <w:r>
        <w:rPr>
          <w:rFonts w:ascii="Arial" w:cs="Arial" w:eastAsia="Arial" w:hAnsi="Arial"/>
          <w:sz w:val="16"/>
          <w:szCs w:val="16"/>
          <w:color w:val="auto"/>
        </w:rPr>
        <w:t>0.05</w:t>
      </w:r>
    </w:p>
    <w:p>
      <w:pPr>
        <w:spacing w:after="0" w:line="9" w:lineRule="exact"/>
        <w:rPr>
          <w:sz w:val="20"/>
          <w:szCs w:val="20"/>
          <w:color w:val="auto"/>
        </w:rPr>
      </w:pPr>
    </w:p>
    <w:p>
      <w:pPr>
        <w:ind w:left="289"/>
        <w:spacing w:after="0"/>
        <w:tabs>
          <w:tab w:leader="none" w:pos="1268" w:val="left"/>
        </w:tabs>
        <w:rPr>
          <w:sz w:val="20"/>
          <w:szCs w:val="20"/>
          <w:color w:val="auto"/>
        </w:rPr>
      </w:pPr>
      <w:r>
        <w:rPr>
          <w:rFonts w:ascii="Arial" w:cs="Arial" w:eastAsia="Arial" w:hAnsi="Arial"/>
          <w:sz w:val="18"/>
          <w:szCs w:val="18"/>
          <w:color w:val="auto"/>
        </w:rPr>
        <w:t>0.06</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(0.01)</w:t>
      </w:r>
      <w:r>
        <w:rPr>
          <w:sz w:val="20"/>
          <w:szCs w:val="20"/>
          <w:color w:val="auto"/>
        </w:rPr>
        <w:tab/>
      </w:r>
      <w:r>
        <w:rPr>
          <w:rFonts w:ascii="Arial" w:cs="Arial" w:eastAsia="Arial" w:hAnsi="Arial"/>
          <w:sz w:val="16"/>
          <w:szCs w:val="16"/>
          <w:color w:val="auto"/>
        </w:rPr>
        <w:t>(0.00)</w:t>
      </w:r>
    </w:p>
    <w:p>
      <w:pPr>
        <w:spacing w:after="0" w:line="9" w:lineRule="exact"/>
        <w:rPr>
          <w:sz w:val="20"/>
          <w:szCs w:val="20"/>
          <w:color w:val="auto"/>
        </w:rPr>
      </w:pPr>
    </w:p>
    <w:p>
      <w:pPr>
        <w:ind w:left="289"/>
        <w:spacing w:after="0"/>
        <w:tabs>
          <w:tab w:leader="none" w:pos="1208" w:val="left"/>
        </w:tabs>
        <w:rPr>
          <w:sz w:val="20"/>
          <w:szCs w:val="20"/>
          <w:color w:val="auto"/>
        </w:rPr>
      </w:pPr>
      <w:r>
        <w:rPr>
          <w:rFonts w:ascii="Arial" w:cs="Arial" w:eastAsia="Arial" w:hAnsi="Arial"/>
          <w:sz w:val="18"/>
          <w:szCs w:val="18"/>
          <w:color w:val="auto"/>
        </w:rPr>
        <w:t>0.09</w:t>
      </w:r>
      <w:r>
        <w:rPr>
          <w:sz w:val="20"/>
          <w:szCs w:val="20"/>
          <w:color w:val="auto"/>
        </w:rPr>
        <w:tab/>
      </w:r>
      <w:r>
        <w:rPr>
          <w:rFonts w:ascii="Arial" w:cs="Arial" w:eastAsia="Arial" w:hAnsi="Arial"/>
          <w:sz w:val="16"/>
          <w:szCs w:val="16"/>
          <w:color w:val="auto"/>
        </w:rPr>
        <w:t>0.10</w:t>
      </w:r>
    </w:p>
    <w:p>
      <w:pPr>
        <w:spacing w:after="0" w:line="9" w:lineRule="exact"/>
        <w:rPr>
          <w:sz w:val="20"/>
          <w:szCs w:val="20"/>
          <w:color w:val="auto"/>
        </w:rPr>
      </w:pPr>
    </w:p>
    <w:p>
      <w:pPr>
        <w:ind w:left="289"/>
        <w:spacing w:after="0"/>
        <w:tabs>
          <w:tab w:leader="none" w:pos="1268" w:val="left"/>
        </w:tabs>
        <w:rPr>
          <w:sz w:val="20"/>
          <w:szCs w:val="20"/>
          <w:color w:val="auto"/>
        </w:rPr>
      </w:pPr>
      <w:r>
        <w:rPr>
          <w:rFonts w:ascii="Arial" w:cs="Arial" w:eastAsia="Arial" w:hAnsi="Arial"/>
          <w:sz w:val="18"/>
          <w:szCs w:val="18"/>
          <w:color w:val="auto"/>
        </w:rPr>
        <w:t>0.09</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2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0.00</w:t>
      </w:r>
    </w:p>
    <w:p>
      <w:pPr>
        <w:spacing w:after="0" w:line="9" w:lineRule="exact"/>
        <w:rPr>
          <w:sz w:val="20"/>
          <w:szCs w:val="20"/>
          <w:color w:val="auto"/>
        </w:rPr>
      </w:pPr>
    </w:p>
    <w:p>
      <w:pPr>
        <w:ind w:left="229"/>
        <w:spacing w:after="0"/>
        <w:rPr>
          <w:sz w:val="20"/>
          <w:szCs w:val="20"/>
          <w:color w:val="auto"/>
        </w:rPr>
      </w:pPr>
      <w:r>
        <w:rPr>
          <w:rFonts w:ascii="Arial" w:cs="Arial" w:eastAsia="Arial" w:hAnsi="Arial"/>
          <w:sz w:val="18"/>
          <w:szCs w:val="18"/>
          <w:color w:val="auto"/>
        </w:rPr>
        <w:t>(0.06)</w:t>
      </w:r>
      <w:r>
        <w:rPr>
          <w:rFonts w:ascii="Arial" w:cs="Arial" w:eastAsia="Arial" w:hAnsi="Arial"/>
          <w:sz w:val="16"/>
          <w:szCs w:val="16"/>
          <w:color w:val="auto"/>
        </w:rPr>
        <w:t>(0.07)</w:t>
      </w:r>
    </w:p>
    <w:p>
      <w:pPr>
        <w:spacing w:after="0" w:line="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(0.06)</w:t>
      </w:r>
      <w:r>
        <w:rPr>
          <w:sz w:val="20"/>
          <w:szCs w:val="20"/>
          <w:color w:val="auto"/>
        </w:rPr>
        <w:tab/>
      </w:r>
      <w:r>
        <w:rPr>
          <w:rFonts w:ascii="Arial" w:cs="Arial" w:eastAsia="Arial" w:hAnsi="Arial"/>
          <w:sz w:val="16"/>
          <w:szCs w:val="16"/>
          <w:color w:val="auto"/>
        </w:rPr>
        <w:t>(0.07)</w:t>
      </w:r>
    </w:p>
    <w:p>
      <w:pPr>
        <w:spacing w:after="0" w:line="9" w:lineRule="exact"/>
        <w:rPr>
          <w:sz w:val="20"/>
          <w:szCs w:val="20"/>
          <w:color w:val="auto"/>
        </w:rPr>
      </w:pPr>
    </w:p>
    <w:p>
      <w:pPr>
        <w:ind w:left="32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2.21</w:t>
      </w:r>
    </w:p>
    <w:p>
      <w:pPr>
        <w:spacing w:after="0" w:line="9" w:lineRule="exact"/>
        <w:rPr>
          <w:sz w:val="20"/>
          <w:szCs w:val="20"/>
          <w:color w:val="auto"/>
        </w:rPr>
      </w:pPr>
    </w:p>
    <w:p>
      <w:pPr>
        <w:ind w:left="32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3.33</w:t>
      </w:r>
    </w:p>
    <w:p>
      <w:pPr>
        <w:spacing w:after="0" w:line="9" w:lineRule="exact"/>
        <w:rPr>
          <w:sz w:val="20"/>
          <w:szCs w:val="20"/>
          <w:color w:val="auto"/>
        </w:rPr>
      </w:pPr>
    </w:p>
    <w:p>
      <w:pPr>
        <w:ind w:left="289"/>
        <w:spacing w:after="0"/>
        <w:tabs>
          <w:tab w:leader="none" w:pos="1208" w:val="left"/>
        </w:tabs>
        <w:rPr>
          <w:sz w:val="20"/>
          <w:szCs w:val="20"/>
          <w:color w:val="auto"/>
        </w:rPr>
      </w:pPr>
      <w:r>
        <w:rPr>
          <w:rFonts w:ascii="Arial" w:cs="Arial" w:eastAsia="Arial" w:hAnsi="Arial"/>
          <w:sz w:val="18"/>
          <w:szCs w:val="18"/>
          <w:color w:val="auto"/>
        </w:rPr>
        <w:t>0.34</w:t>
      </w:r>
      <w:r>
        <w:rPr>
          <w:sz w:val="20"/>
          <w:szCs w:val="20"/>
          <w:color w:val="auto"/>
        </w:rPr>
        <w:tab/>
      </w:r>
      <w:r>
        <w:rPr>
          <w:rFonts w:ascii="Arial" w:cs="Arial" w:eastAsia="Arial" w:hAnsi="Arial"/>
          <w:sz w:val="16"/>
          <w:szCs w:val="16"/>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861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 w:lineRule="exact"/>
        <w:rPr>
          <w:sz w:val="20"/>
          <w:szCs w:val="20"/>
          <w:color w:val="auto"/>
        </w:rPr>
      </w:pPr>
    </w:p>
    <w:p>
      <w:pPr>
        <w:ind w:left="289" w:hanging="289"/>
        <w:spacing w:after="0"/>
        <w:tabs>
          <w:tab w:leader="none" w:pos="289"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0.05   $   (0.16</w:t>
      </w:r>
      <w:r>
        <w:rPr>
          <w:rFonts w:ascii="Arial" w:cs="Arial" w:eastAsia="Arial" w:hAnsi="Arial"/>
          <w:sz w:val="18"/>
          <w:szCs w:val="18"/>
          <w:color w:val="auto"/>
        </w:rPr>
        <w:t>)</w:t>
      </w:r>
    </w:p>
    <w:p>
      <w:pPr>
        <w:spacing w:after="0" w:line="63" w:lineRule="exact"/>
        <w:rPr>
          <w:rFonts w:ascii="Arial" w:cs="Arial" w:eastAsia="Arial" w:hAnsi="Arial"/>
          <w:sz w:val="18"/>
          <w:szCs w:val="18"/>
          <w:u w:val="single" w:color="auto"/>
          <w:color w:val="auto"/>
        </w:rPr>
      </w:pPr>
    </w:p>
    <w:p>
      <w:pPr>
        <w:ind w:left="109"/>
        <w:spacing w:after="0"/>
        <w:rPr>
          <w:rFonts w:ascii="Arial" w:cs="Arial" w:eastAsia="Arial" w:hAnsi="Arial"/>
          <w:sz w:val="18"/>
          <w:szCs w:val="18"/>
          <w:u w:val="single" w:color="auto"/>
          <w:color w:val="auto"/>
        </w:rPr>
      </w:pPr>
      <w:r>
        <w:rPr>
          <w:rFonts w:ascii="Arial" w:cs="Arial" w:eastAsia="Arial" w:hAnsi="Arial"/>
          <w:sz w:val="18"/>
          <w:szCs w:val="18"/>
          <w:color w:val="auto"/>
        </w:rPr>
        <w:t>42,672</w:t>
      </w:r>
      <w:r>
        <w:rPr>
          <w:rFonts w:ascii="Arial" w:cs="Arial" w:eastAsia="Arial" w:hAnsi="Arial"/>
          <w:sz w:val="15"/>
          <w:szCs w:val="15"/>
          <w:color w:val="auto"/>
        </w:rPr>
        <w:t>42,111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986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2">
            <w:col w:w="8631" w:space="720"/>
            <w:col w:w="1609"/>
          </w:cols>
          <w:pgMar w:left="440" w:top="270" w:right="49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Operating Cash Flow to Free Cash Flow</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74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342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cash provided (used) by operating activities</w:t>
            </w:r>
          </w:p>
        </w:tc>
        <w:tc>
          <w:tcPr>
            <w:tcW w:w="2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$ 7,884</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28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$ 2,417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40" w:type="dxa"/>
            <w:vAlign w:val="bottom"/>
            <w:vMerge w:val="restart"/>
          </w:tcPr>
          <w:p>
            <w:pPr>
              <w:jc w:val="right"/>
              <w:ind w:right="2259"/>
              <w:spacing w:after="0"/>
              <w:rPr>
                <w:sz w:val="20"/>
                <w:szCs w:val="20"/>
                <w:color w:val="auto"/>
              </w:rPr>
            </w:pPr>
            <w:r>
              <w:rPr>
                <w:rFonts w:ascii="Arial" w:cs="Arial" w:eastAsia="Arial" w:hAnsi="Arial"/>
                <w:sz w:val="18"/>
                <w:szCs w:val="18"/>
                <w:color w:val="auto"/>
              </w:rPr>
              <w:t>10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3" w:name="page14"/>
    <w:bookmarkEnd w:id="13"/>
    <w:p>
      <w:pPr>
        <w:ind w:left="4" w:right="160"/>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two of which were transformative for the Company, and sold three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7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left="4" w:hanging="4"/>
        <w:spacing w:after="0" w:line="254" w:lineRule="auto"/>
        <w:tabs>
          <w:tab w:leader="none" w:pos="259"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94" w:lineRule="exact"/>
        <w:rPr>
          <w:rFonts w:ascii="Arial" w:cs="Arial" w:eastAsia="Arial" w:hAnsi="Arial"/>
          <w:sz w:val="18"/>
          <w:szCs w:val="18"/>
          <w:i w:val="1"/>
          <w:iCs w:val="1"/>
          <w:color w:val="auto"/>
        </w:rPr>
      </w:pPr>
    </w:p>
    <w:p>
      <w:pPr>
        <w:ind w:left="4" w:right="40" w:hanging="4"/>
        <w:spacing w:after="0" w:line="271" w:lineRule="auto"/>
        <w:tabs>
          <w:tab w:leader="none" w:pos="259"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EBITDA represents GAAP net income (loss),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78" w:lineRule="exact"/>
        <w:rPr>
          <w:rFonts w:ascii="Arial" w:cs="Arial" w:eastAsia="Arial" w:hAnsi="Arial"/>
          <w:sz w:val="17"/>
          <w:szCs w:val="17"/>
          <w:i w:val="1"/>
          <w:iCs w:val="1"/>
          <w:color w:val="auto"/>
        </w:rPr>
      </w:pPr>
    </w:p>
    <w:p>
      <w:pPr>
        <w:ind w:left="4" w:right="300" w:hanging="4"/>
        <w:spacing w:after="0" w:line="286" w:lineRule="auto"/>
        <w:tabs>
          <w:tab w:leader="none" w:pos="249"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65" w:lineRule="exact"/>
        <w:rPr>
          <w:rFonts w:ascii="Arial" w:cs="Arial" w:eastAsia="Arial" w:hAnsi="Arial"/>
          <w:sz w:val="17"/>
          <w:szCs w:val="17"/>
          <w:i w:val="1"/>
          <w:iCs w:val="1"/>
          <w:color w:val="auto"/>
        </w:rPr>
      </w:pPr>
    </w:p>
    <w:p>
      <w:pPr>
        <w:ind w:left="4" w:right="20" w:hanging="4"/>
        <w:spacing w:after="0" w:line="289" w:lineRule="auto"/>
        <w:tabs>
          <w:tab w:leader="none" w:pos="259"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upperLetter"/>
      <w:start w:val="40"/>
    </w:lvl>
  </w:abstractNum>
  <w:abstractNum w:abstractNumId="3">
    <w:nsid w:val="5BD062C2"/>
    <w:multiLevelType w:val="hybridMultilevel"/>
    <w:lvl w:ilvl="0">
      <w:lvlJc w:val="left"/>
      <w:lvlText w:val="%1"/>
      <w:numFmt w:val="upperLetter"/>
      <w:start w:val="40"/>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2)"/>
      <w:numFmt w:val="decimal"/>
      <w:start w:val="449"/>
    </w:lvl>
  </w:abstractNum>
  <w:abstractNum w:abstractNumId="8">
    <w:nsid w:val="1190CDE7"/>
    <w:multiLevelType w:val="hybridMultilevel"/>
    <w:lvl w:ilvl="0">
      <w:lvlJc w:val="left"/>
      <w:lvlText w:val="\emdash "/>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emdash "/>
      <w:numFmt w:val="bullet"/>
      <w:start w:val="1"/>
    </w:lvl>
  </w:abstractNum>
  <w:abstractNum w:abstractNumId="11">
    <w:nsid w:val="3352255A"/>
    <w:multiLevelType w:val="hybridMultilevel"/>
    <w:lvl w:ilvl="0">
      <w:lvlJc w:val="left"/>
      <w:lvlText w:val="\emdash "/>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2021-05-06T16:21:14Z</dcterms:created>
  <dcterms:modified xsi:type="dcterms:W3CDTF">2021-05-06T16:21:14Z</dcterms:modified>
</cp:coreProperties>
</file>