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128270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155575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32"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64770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201930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121285</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140"/>
          </w:cols>
          <w:pgMar w:left="320" w:top="1397" w:right="439" w:bottom="1440" w:gutter="0" w:footer="0" w:header="0"/>
        </w:sectPr>
      </w:pPr>
    </w:p>
    <w:p>
      <w:pPr>
        <w:spacing w:after="0" w:line="32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62-1096725</w:t>
      </w:r>
    </w:p>
    <w:p>
      <w:pPr>
        <w:spacing w:after="0" w:line="111" w:lineRule="exact"/>
        <w:rPr>
          <w:sz w:val="24"/>
          <w:szCs w:val="24"/>
          <w:color w:val="auto"/>
        </w:rPr>
      </w:pPr>
    </w:p>
    <w:p>
      <w:pPr>
        <w:sectPr>
          <w:pgSz w:w="11900" w:h="16838" w:orient="portrait"/>
          <w:cols w:equalWidth="0" w:num="2">
            <w:col w:w="6920" w:space="720"/>
            <w:col w:w="3500"/>
          </w:cols>
          <w:pgMar w:left="320" w:top="1397" w:right="439" w:bottom="1440" w:gutter="0" w:footer="0" w:header="0"/>
          <w:type w:val="continuous"/>
        </w:sectPr>
      </w:pPr>
    </w:p>
    <w:p>
      <w:pPr>
        <w:ind w:left="234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228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2500"/>
        <w:spacing w:after="0"/>
        <w:rPr>
          <w:sz w:val="20"/>
          <w:szCs w:val="20"/>
          <w:color w:val="auto"/>
        </w:rPr>
      </w:pPr>
      <w:r>
        <w:rPr>
          <w:rFonts w:ascii="Times New Roman" w:cs="Times New Roman" w:eastAsia="Times New Roman" w:hAnsi="Times New Roman"/>
          <w:sz w:val="16"/>
          <w:szCs w:val="16"/>
          <w:i w:val="1"/>
          <w:iCs w:val="1"/>
          <w:color w:val="auto"/>
        </w:rPr>
        <w:t>Identification No.)</w:t>
      </w:r>
    </w:p>
    <w:p>
      <w:pPr>
        <w:spacing w:after="0" w:line="80" w:lineRule="exact"/>
        <w:rPr>
          <w:sz w:val="24"/>
          <w:szCs w:val="24"/>
          <w:color w:val="auto"/>
        </w:rPr>
      </w:pPr>
    </w:p>
    <w:p>
      <w:pPr>
        <w:sectPr>
          <w:pgSz w:w="11900" w:h="16838" w:orient="portrait"/>
          <w:cols w:equalWidth="0" w:num="2">
            <w:col w:w="6720" w:space="720"/>
            <w:col w:w="3700"/>
          </w:cols>
          <w:pgMar w:left="320" w:top="1397" w:right="439"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6"/>
          <w:szCs w:val="16"/>
          <w:b w:val="1"/>
          <w:bCs w:val="1"/>
          <w:color w:val="auto"/>
        </w:rPr>
        <w:t>6210 Ardrey Kell Road, Suite 600</w:t>
      </w:r>
    </w:p>
    <w:p>
      <w:pPr>
        <w:spacing w:after="0" w:line="1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Charlotte, North Carolina 28277</w:t>
      </w:r>
    </w:p>
    <w:p>
      <w:pPr>
        <w:spacing w:after="0" w:line="1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(980) 264-4300</w:t>
      </w:r>
    </w:p>
    <w:p>
      <w:pPr>
        <w:spacing w:after="0" w:line="1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140"/>
          </w:cols>
          <w:pgMar w:left="320" w:top="1397" w:right="439" w:bottom="1440" w:gutter="0" w:footer="0" w:header="0"/>
          <w:type w:val="continuous"/>
        </w:sectPr>
      </w:pPr>
    </w:p>
    <w:p>
      <w:pPr>
        <w:spacing w:after="0" w:line="5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4480" w:space="720"/>
            <w:col w:w="1520" w:space="720"/>
            <w:col w:w="3700"/>
          </w:cols>
          <w:pgMar w:left="320" w:top="1397"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4720" w:space="720"/>
            <w:col w:w="1580" w:space="720"/>
            <w:col w:w="3400"/>
          </w:cols>
          <w:pgMar w:left="320" w:top="1397" w:right="439" w:bottom="1440" w:gutter="0" w:footer="0" w:header="0"/>
          <w:type w:val="continuous"/>
        </w:sectPr>
      </w:pPr>
    </w:p>
    <w:p>
      <w:pPr>
        <w:spacing w:after="0" w:line="33"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5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1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4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5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26, 2022, there were 43,869,135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397"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(Loss)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(Unaudited)</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Equity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3. Inventories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4. Intangible Assets, Net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5. Investment in Joint Venture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6. Income Taxes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7. Debt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8. Leases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9. Commitments and Contingencies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10. Preferred Stock and Stockholders' Equity</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11. Revenue from Contracts with Customers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12. Share-Based Compensation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13. Accumulated Other Comprehensive Income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14. Net Income (Loss) Per Common Share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15. Fair Value Measurements</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29</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32</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33</w:t>
      </w:r>
    </w:p>
    <w:p>
      <w:pPr>
        <w:sectPr>
          <w:pgSz w:w="11900" w:h="16838" w:orient="portrait"/>
          <w:cols w:equalWidth="0" w:num="2">
            <w:col w:w="8980" w:space="720"/>
            <w:col w:w="520"/>
          </w:cols>
          <w:pgMar w:left="320" w:top="126"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6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380,726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367,205</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108,033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316,500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298,127</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40,341</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Derivative payments on interest rate swap</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interest rate swap</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benefit (provision) for income taxes and share of net income from joint venture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(17,749)</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Share of net income from joint venture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0" w:type="dxa"/>
            <w:vAlign w:val="bottom"/>
          </w:tcPr>
          <w:p>
            <w:pPr>
              <w:spacing w:after="0"/>
              <w:rPr>
                <w:sz w:val="1"/>
                <w:szCs w:val="1"/>
                <w:color w:val="auto"/>
              </w:rPr>
            </w:pPr>
          </w:p>
        </w:tc>
      </w:tr>
      <w:tr>
        <w:trPr>
          <w:trHeight w:val="195"/>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rate swap:</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fair value, net of tax</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Reclassification adjustment for losses (gains) included in net loss, net of tax</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(11,130)</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loss per common share: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43,862</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loss per common share: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43,862</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28,656</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allowances of $1,476 and $1,352 at September 30, 2022 and December 31, 2021, respectively</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83,496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71,419</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75,027</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receivable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0" w:type="dxa"/>
            <w:vAlign w:val="bottom"/>
          </w:tcPr>
          <w:p>
            <w:pPr>
              <w:spacing w:after="0"/>
              <w:rPr>
                <w:sz w:val="1"/>
                <w:szCs w:val="1"/>
                <w:color w:val="auto"/>
              </w:rPr>
            </w:pPr>
          </w:p>
        </w:tc>
      </w:tr>
      <w:tr>
        <w:trPr>
          <w:trHeight w:val="189"/>
        </w:trPr>
        <w:tc>
          <w:tcPr>
            <w:tcW w:w="87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204,091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196,282</w:t>
            </w: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Property, plant and equipment, net of accumulated depreciation of $214,254 and $197,936 at September 30, 2022 and December 31, 2021,</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195,084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209,105</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46,443</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77,958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88,718</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34,045</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5,750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557,615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579,101</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Preferred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36,710</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17,739</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payable</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89"/>
        </w:trPr>
        <w:tc>
          <w:tcPr>
            <w:tcW w:w="87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74,017</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51,295</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17,289</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301,063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301,109</w:t>
            </w:r>
          </w:p>
        </w:tc>
        <w:tc>
          <w:tcPr>
            <w:tcW w:w="0" w:type="dxa"/>
            <w:vAlign w:val="bottom"/>
          </w:tcPr>
          <w:p>
            <w:pPr>
              <w:spacing w:after="0"/>
              <w:rPr>
                <w:sz w:val="1"/>
                <w:szCs w:val="1"/>
                <w:color w:val="auto"/>
              </w:rPr>
            </w:pPr>
          </w:p>
        </w:tc>
      </w:tr>
      <w:tr>
        <w:trPr>
          <w:trHeight w:val="17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Series D perpetual preferred stock - $0.01 par value per share, 65 shares authorized, issued and outstanding at September 30, 2022 and</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61,786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 $0.01 par value per share, 90,000 shares authorized, 43,882 and 43,027 shares issued and outstanding at September 30, 2022</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and December 31, 2021, respectively</w:t>
            </w: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470,543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474,757</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(219,100)</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(31,902)</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194,766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224,185</w:t>
            </w:r>
          </w:p>
        </w:tc>
        <w:tc>
          <w:tcPr>
            <w:tcW w:w="0" w:type="dxa"/>
            <w:vAlign w:val="bottom"/>
          </w:tcPr>
          <w:p>
            <w:pPr>
              <w:spacing w:after="0"/>
              <w:rPr>
                <w:sz w:val="1"/>
                <w:szCs w:val="1"/>
                <w:color w:val="auto"/>
              </w:rPr>
            </w:pPr>
          </w:p>
        </w:tc>
      </w:t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preferred stock,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557,615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579,101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and 2021</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33655</wp:posOffset>
            </wp:positionV>
            <wp:extent cx="994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206,322</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estimate of share-based award vesting</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$241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of $(30)</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194,766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4800" w:type="dxa"/>
            <w:vAlign w:val="bottom"/>
          </w:tcPr>
          <w:p>
            <w:pPr>
              <w:spacing w:after="0"/>
              <w:rPr>
                <w:sz w:val="24"/>
                <w:szCs w:val="24"/>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232,355</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$53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62"/>
        </w:trPr>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4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of $7</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43,034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476,540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224,829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224,185</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estimate of share-based award vesting</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$655</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0" w:type="dxa"/>
            <w:vAlign w:val="bottom"/>
          </w:tcPr>
          <w:p>
            <w:pPr>
              <w:spacing w:after="0"/>
              <w:rPr>
                <w:sz w:val="1"/>
                <w:szCs w:val="1"/>
                <w:color w:val="auto"/>
              </w:rPr>
            </w:pPr>
          </w:p>
        </w:tc>
      </w:tr>
      <w:tr>
        <w:trPr>
          <w:trHeight w:val="162"/>
        </w:trPr>
        <w:tc>
          <w:tcPr>
            <w:tcW w:w="48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 tax</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48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of $(13)</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43,882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470,543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(233,184)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194,766</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4"/>
        </w:trPr>
        <w:tc>
          <w:tcPr>
            <w:tcW w:w="4800" w:type="dxa"/>
            <w:vAlign w:val="bottom"/>
          </w:tcPr>
          <w:p>
            <w:pPr>
              <w:spacing w:after="0"/>
              <w:rPr>
                <w:sz w:val="24"/>
                <w:szCs w:val="24"/>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(19,054)</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for option exercises</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estimate of share-based award vesting</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$53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 tax</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of $868</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224,829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8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34,860</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derivative gain, net of cash settlements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Share of net income from joint venture, net of cash dividends received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Compensation expense from issuance of share-based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5"/>
        </w:trPr>
        <w:tc>
          <w:tcPr>
            <w:tcW w:w="8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(13,252)</w:t>
            </w: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7,982</w:t>
            </w:r>
          </w:p>
        </w:tc>
      </w:tr>
      <w:tr>
        <w:trPr>
          <w:trHeight w:val="195"/>
        </w:trPr>
        <w:tc>
          <w:tcPr>
            <w:tcW w:w="8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Income taxes receivable and payable,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w:t>
            </w: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r>
      <w:tr>
        <w:trPr>
          <w:trHeight w:val="190"/>
        </w:trPr>
        <w:tc>
          <w:tcPr>
            <w:tcW w:w="82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5,691</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(14,556)</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post-closing adjustments on sale of business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settlements of interest rate swap</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(15,420)</w:t>
            </w:r>
          </w:p>
        </w:tc>
      </w:tr>
      <w:tr>
        <w:trPr>
          <w:trHeight w:val="189"/>
        </w:trPr>
        <w:tc>
          <w:tcPr>
            <w:tcW w:w="82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(13,551)</w:t>
            </w:r>
          </w:p>
        </w:tc>
        <w:tc>
          <w:tcPr>
            <w:tcW w:w="80" w:type="dxa"/>
            <w:vAlign w:val="bottom"/>
            <w:tcBorders>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(32,679)</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debt issuance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61,793</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(122,434)</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166,000</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(28,158)</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(88,058)</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short-term debt, net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r>
      <w:tr>
        <w:trPr>
          <w:trHeight w:val="196"/>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(3,859)</w:t>
            </w:r>
          </w:p>
        </w:tc>
      </w:tr>
      <w:tr>
        <w:trPr>
          <w:trHeight w:val="203"/>
        </w:trPr>
        <w:tc>
          <w:tcPr>
            <w:tcW w:w="82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8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w:t>
            </w:r>
          </w:p>
        </w:tc>
      </w:tr>
      <w:tr>
        <w:trPr>
          <w:trHeight w:val="189"/>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flows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(23,527)</w:t>
            </w:r>
          </w:p>
        </w:tc>
      </w:tr>
      <w:tr>
        <w:trPr>
          <w:trHeight w:val="196"/>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28,656</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48,138</w:t>
            </w:r>
          </w:p>
        </w:tc>
      </w:tr>
      <w:tr>
        <w:trPr>
          <w:trHeight w:val="22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12,551</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2021, was derived from the audited consolidated financial statements included in our Annual Report on Form 10-K for the year ended December 31, 2021 (the “2021 Annual Report”), which we filed with the U.S. Securities and Exchange Commission (the “SEC”) on March 11, 2022. In management’s opinion, the accompanying unaudited condensed consolidated financial statements reflect all adjustments necessary to fairly state our results of operations for the three and nine months ended September 30, 2022 and 2021; financial position as of September 30, 2022 and December 31, 2021; and cash flows for the nine months ended September 30, 2022 and 2021,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2021 Annual Report. The results for the three and nine months ended September 30, 2022, are not necessarily indicative of results for the year ending December 31, 2022, or any other future periods.</w:t>
      </w:r>
    </w:p>
    <w:p>
      <w:pPr>
        <w:spacing w:after="0" w:line="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Accounting for Convertible Instruments and Contracts in an Entity’s Own Equity</w:t>
      </w:r>
      <w:r>
        <w:rPr>
          <w:rFonts w:ascii="Times New Roman" w:cs="Times New Roman" w:eastAsia="Times New Roman" w:hAnsi="Times New Roman"/>
          <w:sz w:val="17"/>
          <w:szCs w:val="17"/>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The adoption of ASU 2020-06 effective January 1, 2022 did not have a material impact on our consolidated financial statements and related disclosures.</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Issuer’s Accounting for Certain Modifications or Exchanges of Freestanding Equity-Classified Written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(“ASU 2021-04”), which clarifies the accounting for modifications or exchanges of freestanding equity-classified written call options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classified after modification or exchange. Specifically, 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Since we do not have any equity-classified written call options that would be subject to this guidance, the adoption of ASU 2021-04 did not have any impact on our consolidated financial statements and related disclosures during the nine months ended September 30,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xml:space="preserve"> (“ASU 2021-10”), which requires business entities to provide certain annual disclosures when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they have received government assistance and use a grant or contribution accounting model by analogy to other accounting guidance. Such disclosures include the nature of the transactions, significant terms and conditions, accounting policies, and affected financial statement line items. ASU 2021-10 may be applied either prospectively or retrospectively. We are in the process of assessing the impact ASU 2021-10 may have on our annual disclosures for the year ending December 31, 2022.</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and general industrial end markets;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aerospace, defense, and medical end markets.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results of operations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13"/>
                <w:szCs w:val="13"/>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560" w:type="dxa"/>
            <w:vAlign w:val="bottom"/>
            <w:tcBorders>
              <w:top w:val="single" w:sz="8" w:color="CCEEFF"/>
              <w:bottom w:val="single" w:sz="8" w:color="auto"/>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8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 (a)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5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 (a)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57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4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24"/>
                <w:szCs w:val="24"/>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0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80" w:type="dxa"/>
            <w:vAlign w:val="bottom"/>
            <w:tcBorders>
              <w:top w:val="single" w:sz="8" w:color="CCEEFF"/>
              <w:bottom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9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248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Nine Months Ended September 30, 2021</w:t>
            </w:r>
          </w:p>
        </w:tc>
        <w:tc>
          <w:tcPr>
            <w:tcW w:w="2920" w:type="dxa"/>
            <w:vAlign w:val="bottom"/>
            <w:tcBorders>
              <w:bottom w:val="single" w:sz="8" w:color="CCEEFF"/>
            </w:tcBorders>
            <w:gridSpan w:val="2"/>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 (a)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elimination of intersegment transactions occurring during the ordinary course of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84,172</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Intangible Assets, Net</w:t>
            </w: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3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63,009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6"/>
              </w:rPr>
              <w:t>88,718</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w w:val="98"/>
              </w:rPr>
              <w:t>(8,245)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left="714"/>
              <w:spacing w:after="0"/>
              <w:rPr>
                <w:sz w:val="20"/>
                <w:szCs w:val="20"/>
                <w:color w:val="auto"/>
              </w:rPr>
            </w:pPr>
            <w:r>
              <w:rPr>
                <w:rFonts w:ascii="Times New Roman" w:cs="Times New Roman" w:eastAsia="Times New Roman" w:hAnsi="Times New Roman"/>
                <w:sz w:val="18"/>
                <w:szCs w:val="18"/>
                <w:color w:val="auto"/>
              </w:rPr>
              <w:t>(10,760)</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23,194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54,764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96"/>
              </w:rPr>
              <w:t>77,958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As of September 30, 2022, our market capitalization remained at a level that was less than the net book value of our stockholders’ equity. The decline in our market capitalization during the nine months ended September 30, 2022 was a triggering event that caused us to perform impairment analyses on our long-lived assets. Based on our analyses, the carrying values of the long-lived assets were recoverable and no impairment charge was recorded during the nine months ended September 30, 2022.</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Joint Venture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ectPr>
          <w:pgSz w:w="11900" w:h="16838" w:orient="portrait"/>
          <w:cols w:equalWidth="0" w:num="1">
            <w:col w:w="11240"/>
          </w:cols>
          <w:pgMar w:left="320" w:top="126"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changes in our investment in the JV.</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060" w:hanging="105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34,045</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3,935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(6,245)</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(3,542)</w:t>
      </w:r>
    </w:p>
    <w:p>
      <w:pPr>
        <w:spacing w:after="0" w:line="31" w:lineRule="exact"/>
        <w:rPr>
          <w:sz w:val="20"/>
          <w:szCs w:val="20"/>
          <w:color w:val="auto"/>
        </w:rPr>
      </w:pPr>
    </w:p>
    <w:p>
      <w:pPr>
        <w:ind w:left="1060" w:hanging="1056"/>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0458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034" w:lineRule="exact"/>
        <w:rPr>
          <w:sz w:val="20"/>
          <w:szCs w:val="20"/>
          <w:color w:val="auto"/>
        </w:rPr>
      </w:pPr>
    </w:p>
    <w:p>
      <w:pPr>
        <w:sectPr>
          <w:pgSz w:w="11900" w:h="16838" w:orient="portrait"/>
          <w:cols w:equalWidth="0" w:num="2">
            <w:col w:w="8860" w:space="720"/>
            <w:col w:w="1660"/>
          </w:cols>
          <w:pgMar w:left="320" w:top="126" w:right="339" w:bottom="1440" w:gutter="0" w:footer="0" w:header="0"/>
          <w:type w:val="continuous"/>
        </w:sect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effective tax rate was 22.7% and (9.2)% for the three and nine months ended September 30, 2022, respectively, and (9.8)% and 3.5% for the three and nine months ended September 30, 2021, respectively. The effective tax rates for the three and nine months ended September 30, 2022 differ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favorably impacted by the recording of interest income on the Company’s federal income tax refund requested as a result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22, 2021, we entered into a new $150.0 million term loan facility (the “Term Loan Facility”) and a new $50.0 million asset backed credit facility (the “ABL Facility”). The following table presents debt balances as of September 30, 2022 and December 31,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 and other loans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principal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maturities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Less-unamortized debt issuance costs and discount (1)</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151,052</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900" w:right="240" w:hanging="244"/>
        <w:spacing w:after="0" w:line="282" w:lineRule="auto"/>
        <w:tabs>
          <w:tab w:leader="none" w:pos="9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$0.7 million and $0.7 million related to the ABL Facility were recorded in other non-current assets as of September 30, 2022 and December 31,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September 30, 2022, the Term Loan Facility bore interest, based on one-month LIBOR, at 9.990%. We have an interest rate swap, which expires in July 2024, that changes the one-month LIBOR to a fixed rate of 1.291% on $60.0 million of the outstanding balance of the Term Loan Facility.</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On March 3, 2022, we amended our Term Loan Facility, which increased the quarterly maximum consolidated net leverage ratio. We were in compliance with all requirements under the Term Loan Facility as of September 30, 2022.</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capitalized an additional $2.8 million in new debt issuance costs. These costs are recorded as a direct reduction to the carrying amount of the associated long-term debt and amortized over the term of the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September 30, 2022, using one-month LIBOR plus a 1.75% spread, the weighted average interest rate on outstanding borrowings under the ABL Facility was 4.56%. We pay a commitment fee of 0.375% for unused capacity under the ABL Facility and a 1.875% fee on the amount of letters of credit outstanding. The final maturity date of the ABL Facility is March 22, 2026.</w:t>
      </w:r>
    </w:p>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we had $6.0 million of outstanding borrowings under the ABL Facility, $11.1 million of outstanding letters of credit, and $32.1 million available for future borrowings under the ABL Facility. The ABL Facility has a first lien on accounts receivable and inventory. We were in compliance with all requirements under the ABL Facility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43"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September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Offering Matter</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1, 2019, Erie County Employees’ Retirement System, on behalf of a purported class of plaintiffs, filed a complaint in the Supreme Court of the State of New York, County of New York against us, certain of our current and former officers and directors, and each of the underwriters involved in our public offering and sale of 14.4 million shares of our common stock pursuant to a preliminary prospectus supplement, dated September 10, 2018, a final prospectus supplement, dated September 13, 2018, and a base prospectus, dated April 19, 2017, relating to our effective shelf registration statement on Form S-3 (File No. 333-216737) (the “Offering”). The amended complaint alleges violations of Sections 11, 12(a)(2), and 15 of the Securities Act of 1933 in connection with the Offering.</w:t>
      </w:r>
    </w:p>
    <w:p>
      <w:pPr>
        <w:spacing w:after="0" w:line="6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On July 25, 2022, the parties filed a Stipulation of Settlement, which is subject to court approval, to settle the securities offering action. Under the terms of the Stipulation of Settlement, the Company and/or its insurance carrier will make a cash payment to the plaintiff in the amount of $9.5 million (the “Settlement Amount”), in exchange for which the Company and the other named defendants will be released from all claims related to the securities offering action. As of September 30, 2022, we have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previously paid covered expenses totaling $1.0 million meeting our directors' and officers' retention requirement and therefore the Settlement Amount will be covered and paid by our directors' and officers' insurance carrier.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2022, we reached an agreement to settle breach of contract claims brought by a former customer regarding the sale of products by us in 2016. Under the agreement, we are paying $1.8 million to the customer in specified installments through July 2023. The $1.8 million settlement is included in the Other operating expense (income), net line in the Condensed Consolidated Statements of Operations and Comprehensive Income (Loss).</w:t>
      </w:r>
    </w:p>
    <w:p>
      <w:pPr>
        <w:spacing w:after="0" w:line="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 and 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7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15 discusses the accounting for these features.</w:t>
      </w:r>
    </w:p>
    <w:p>
      <w:pPr>
        <w:spacing w:after="0" w:line="5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As of September 30, 2022, the carrying value of the Series D Preferred Stock shares was $61.8 million, which included $15.1 million of accumulated unpaid and deemed dividends. The following table presents the change in the Series D Preferred Stock carrying value during the nine months ended September 30, 2022.</w:t>
      </w:r>
    </w:p>
    <w:p>
      <w:pPr>
        <w:sectPr>
          <w:pgSz w:w="11900" w:h="16838" w:orient="portrait"/>
          <w:cols w:equalWidth="0" w:num="1">
            <w:col w:w="11200"/>
          </w:cols>
          <w:pgMar w:left="320" w:top="126" w:right="37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Revenue from Contracts with Customers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285" w:hanging="1285"/>
        <w:spacing w:after="0"/>
        <w:tabs>
          <w:tab w:leader="none" w:pos="128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53,807</w:t>
      </w:r>
    </w:p>
    <w:p>
      <w:pPr>
        <w:spacing w:after="0" w:line="38" w:lineRule="exact"/>
        <w:rPr>
          <w:rFonts w:ascii="Times New Roman" w:cs="Times New Roman" w:eastAsia="Times New Roman" w:hAnsi="Times New Roman"/>
          <w:sz w:val="17"/>
          <w:szCs w:val="17"/>
          <w:color w:val="auto"/>
        </w:rPr>
      </w:pPr>
    </w:p>
    <w:p>
      <w:pPr>
        <w:ind w:left="13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6,620</w:t>
      </w:r>
    </w:p>
    <w:p>
      <w:pPr>
        <w:spacing w:after="0" w:line="34" w:lineRule="exact"/>
        <w:rPr>
          <w:rFonts w:ascii="Times New Roman" w:cs="Times New Roman" w:eastAsia="Times New Roman" w:hAnsi="Times New Roman"/>
          <w:sz w:val="17"/>
          <w:szCs w:val="17"/>
          <w:color w:val="auto"/>
        </w:rPr>
      </w:pPr>
    </w:p>
    <w:p>
      <w:pPr>
        <w:ind w:left="13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 w:lineRule="exact"/>
        <w:rPr>
          <w:sz w:val="20"/>
          <w:szCs w:val="20"/>
          <w:color w:val="auto"/>
        </w:rPr>
      </w:pPr>
    </w:p>
    <w:p>
      <w:pPr>
        <w:ind w:left="1285" w:hanging="1285"/>
        <w:spacing w:after="0"/>
        <w:tabs>
          <w:tab w:leader="none" w:pos="128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83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83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8675" w:space="720"/>
            <w:col w:w="1805"/>
          </w:cols>
          <w:pgMar w:left="320" w:top="126" w:right="379" w:bottom="1440" w:gutter="0" w:footer="0" w:header="0"/>
          <w:type w:val="continuous"/>
        </w:sect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During the nine months ended September 30, 2022, we received equipment from a customer as part of the selling price of goods transferred. This noncash consideration was recognized as revenue equal to the fair value of the equipment received.</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 by customer geographical region.</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72"/>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Poland</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r>
      <w:tr>
        <w:trPr>
          <w:trHeight w:val="24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5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2"/>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Poland</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r>
      <w:tr>
        <w:trPr>
          <w:trHeight w:val="24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37"/>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46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r>
      <w:tr>
        <w:trPr>
          <w:trHeight w:val="272"/>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Poland</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r>
      <w:tr>
        <w:trPr>
          <w:trHeight w:val="24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50"/>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46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r>
      <w:tr>
        <w:trPr>
          <w:trHeight w:val="272"/>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tcPr>
          <w:p>
            <w:pPr>
              <w:spacing w:after="0"/>
              <w:rPr>
                <w:sz w:val="19"/>
                <w:szCs w:val="19"/>
                <w:color w:val="auto"/>
              </w:rPr>
            </w:pPr>
          </w:p>
        </w:tc>
      </w:tr>
      <w:tr>
        <w:trPr>
          <w:trHeight w:val="229"/>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Poland</w:t>
            </w:r>
          </w:p>
        </w:tc>
        <w:tc>
          <w:tcPr>
            <w:tcW w:w="1480" w:type="dxa"/>
            <w:vAlign w:val="bottom"/>
          </w:tcPr>
          <w:p>
            <w:pPr>
              <w:spacing w:after="0"/>
              <w:rPr>
                <w:sz w:val="19"/>
                <w:szCs w:val="19"/>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9"/>
                <w:szCs w:val="19"/>
                <w:color w:val="auto"/>
              </w:rPr>
            </w:pPr>
          </w:p>
        </w:tc>
      </w:tr>
      <w:tr>
        <w:trPr>
          <w:trHeight w:val="24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4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35,419</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75,049</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12,839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14,109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5,185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6,038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76,122</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4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35,812</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10,849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8,951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4,981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68,586</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11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109,183</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120,442</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229,625</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34,155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36,122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18,336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3,836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3,598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20,312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36,311</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225,542</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81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380,726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11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4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108,534</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42,019</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28,604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0" w:type="dxa"/>
            <w:vAlign w:val="bottom"/>
          </w:tcPr>
          <w:p>
            <w:pPr>
              <w:spacing w:after="0"/>
              <w:rPr>
                <w:sz w:val="1"/>
                <w:szCs w:val="1"/>
                <w:color w:val="auto"/>
              </w:rPr>
            </w:pPr>
          </w:p>
        </w:tc>
      </w:tr>
      <w:tr>
        <w:trPr>
          <w:trHeight w:val="229"/>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14,825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30"/>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2,782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34"/>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22,805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35,222</w:t>
            </w:r>
          </w:p>
        </w:tc>
        <w:tc>
          <w:tcPr>
            <w:tcW w:w="0" w:type="dxa"/>
            <w:vAlign w:val="bottom"/>
          </w:tcPr>
          <w:p>
            <w:pPr>
              <w:spacing w:after="0"/>
              <w:rPr>
                <w:sz w:val="1"/>
                <w:szCs w:val="1"/>
                <w:color w:val="auto"/>
              </w:rPr>
            </w:pPr>
          </w:p>
        </w:tc>
      </w:tr>
      <w:tr>
        <w:trPr>
          <w:trHeight w:val="223"/>
        </w:trPr>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220,248</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367,205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-6179820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-5888355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-5596890</wp:posOffset>
            </wp:positionV>
            <wp:extent cx="7132320"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-6480175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-4422775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-4131310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-3839845</wp:posOffset>
            </wp:positionV>
            <wp:extent cx="7132320" cy="334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-4722495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-2673985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-2382520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-2091055</wp:posOffset>
            </wp:positionV>
            <wp:extent cx="713232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-2973705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-916305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-624840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-333375</wp:posOffset>
            </wp:positionV>
            <wp:extent cx="7132320" cy="334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-1216660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280"/>
            <w:col w:w="5520"/>
          </w:cols>
          <w:pgMar w:left="320" w:top="126" w:right="339" w:bottom="1440" w:gutter="0" w:footer="0" w:header="0"/>
        </w:sectPr>
      </w:pP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380,726</w:t>
            </w: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367,205</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$0.6 million and $0.5 million as of September 30, 2022 and December 31, 2021, respectively. Revenue recognized for performance obligations satisfied or partially satisfied during the nine months ended September 30, 2022 included $0.5 million that was included in deferred revenue as of December 31,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September 30, 2022, unless our contracts meet one of the practical expedients. Our contracts met the practical expedient for a performance obligation that is part of a contract that has an original expected duration of one year or less.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w:t>
      </w:r>
    </w:p>
    <w:p>
      <w:pPr>
        <w:spacing w:after="0" w:line="121" w:lineRule="exact"/>
        <w:rPr>
          <w:sz w:val="20"/>
          <w:szCs w:val="20"/>
          <w:color w:val="auto"/>
        </w:rPr>
      </w:pPr>
    </w:p>
    <w:p>
      <w:pPr>
        <w:ind w:right="700"/>
        <w:spacing w:after="0" w:line="329"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66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r>
      <w:tr>
        <w:trPr>
          <w:trHeight w:val="195"/>
        </w:trPr>
        <w:tc>
          <w:tcPr>
            <w:tcW w:w="48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 of share-based award vesting (1)</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7" w:lineRule="exact"/>
        <w:rPr>
          <w:sz w:val="20"/>
          <w:szCs w:val="20"/>
          <w:color w:val="auto"/>
        </w:rPr>
      </w:pPr>
    </w:p>
    <w:p>
      <w:pPr>
        <w:ind w:left="660" w:right="280" w:hanging="328"/>
        <w:spacing w:after="0" w:line="27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decrease in share-based compensation expense based on the change in estimate of the probability of vesting of share-based awards.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 option activity for the nine months ended September 30,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40" w:type="dxa"/>
            <w:vAlign w:val="bottom"/>
          </w:tcPr>
          <w:p>
            <w:pPr>
              <w:spacing w:after="0"/>
              <w:rPr>
                <w:sz w:val="12"/>
                <w:szCs w:val="12"/>
                <w:color w:val="auto"/>
              </w:rPr>
            </w:pPr>
          </w:p>
        </w:tc>
        <w:tc>
          <w:tcPr>
            <w:tcW w:w="122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1"/>
                <w:szCs w:val="11"/>
                <w:color w:val="auto"/>
              </w:rPr>
            </w:pPr>
          </w:p>
        </w:tc>
        <w:tc>
          <w:tcPr>
            <w:tcW w:w="1620" w:type="dxa"/>
            <w:vAlign w:val="bottom"/>
            <w:gridSpan w:val="2"/>
          </w:tcPr>
          <w:p>
            <w:pPr>
              <w:jc w:val="center"/>
              <w:ind w:right="700"/>
              <w:spacing w:after="0" w:line="13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2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6"/>
                <w:szCs w:val="16"/>
                <w:color w:val="auto"/>
              </w:rPr>
            </w:pPr>
          </w:p>
        </w:tc>
        <w:tc>
          <w:tcPr>
            <w:tcW w:w="1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9"/>
              </w:rPr>
              <w:t>(79)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8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 years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480" w:type="dxa"/>
            <w:vAlign w:val="bottom"/>
            <w:tcBorders>
              <w:bottom w:val="single" w:sz="8" w:color="auto"/>
            </w:tcBorders>
          </w:tcPr>
          <w:p>
            <w:pPr>
              <w:ind w:left="1140"/>
              <w:spacing w:after="0" w:line="203" w:lineRule="exact"/>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7"/>
                <w:szCs w:val="17"/>
                <w:color w:val="auto"/>
              </w:rPr>
            </w:pPr>
          </w:p>
        </w:tc>
        <w:tc>
          <w:tcPr>
            <w:tcW w:w="1580" w:type="dxa"/>
            <w:vAlign w:val="bottom"/>
            <w:gridSpan w:val="2"/>
          </w:tcPr>
          <w:p>
            <w:pPr>
              <w:ind w:left="800"/>
              <w:spacing w:after="0" w:line="203" w:lineRule="exact"/>
              <w:rPr>
                <w:sz w:val="20"/>
                <w:szCs w:val="20"/>
                <w:color w:val="auto"/>
              </w:rPr>
            </w:pPr>
            <w:r>
              <w:rPr>
                <w:rFonts w:ascii="Times New Roman" w:cs="Times New Roman" w:eastAsia="Times New Roman" w:hAnsi="Times New Roman"/>
                <w:sz w:val="18"/>
                <w:szCs w:val="18"/>
                <w:color w:val="auto"/>
              </w:rPr>
              <w:t>3.4 years</w:t>
            </w: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920"/>
              <w:spacing w:after="0" w:line="203" w:lineRule="exact"/>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7" w:lineRule="exact"/>
        <w:rPr>
          <w:sz w:val="20"/>
          <w:szCs w:val="20"/>
          <w:color w:val="auto"/>
        </w:rPr>
      </w:pPr>
    </w:p>
    <w:p>
      <w:pPr>
        <w:ind w:left="660" w:right="40" w:hanging="328"/>
        <w:spacing w:after="0" w:line="27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September 30, 2022 was greater than the exercise price of any individual option grant.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we granted 897 thousand shares of restricted stock to non-executive directors, officers and certain other key employees under the NN, Inc. 2019 Omnibus Incentive Plan (“2019 Omnibus Plan”). The shares of restricted stock granted during the nine months ended September 30, 2022, vest pro-rata generally over three years for employees and over one year for non-executive directors. We determined the fair value of the shares awarded by using the closing price of our common stock as of the date of grant. The weighted average grant date fair value of restricted stock granted in the nine months ended September 30, 2022, was $3.31 per share. Total grant date fair value of restricted stock that vested in the nine months ended September 30, 2022, was $2.1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September 30, 2022 and changes during the nine months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4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Some PSUs are based on total shareholder return (“TSR Awards”), and other PSUs are based on return on invested capital (“ROIC Awards”). TSR Awards granted in 2022 were made pursuant to the 2019 Omnibus Plan and a Performance Share Unit Agreement (the “2019 Omnibus Agreement”). ROIC Awards granted in 2022 were made pursuant to the NN, Inc. 2022 Omnibus Incentive Plan and a Performance Share Unit Agreement.</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a specified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 years later on December 31.</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dividends declared and the number of shares of common stock that are ultimately earned at the end of the performance periods.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goals with respect to PSUs granted in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20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(25% of Shares)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(100% of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TSR Awards</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25th Percentile</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55th Percentile</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0" w:type="dxa"/>
            <w:vAlign w:val="bottom"/>
          </w:tcPr>
          <w:p>
            <w:pPr>
              <w:spacing w:after="0"/>
              <w:rPr>
                <w:sz w:val="1"/>
                <w:szCs w:val="1"/>
                <w:color w:val="auto"/>
              </w:rPr>
            </w:pPr>
          </w:p>
        </w:tc>
      </w:tr>
      <w:tr>
        <w:trPr>
          <w:trHeight w:val="351"/>
        </w:trPr>
        <w:tc>
          <w:tcPr>
            <w:tcW w:w="4080" w:type="dxa"/>
            <w:vAlign w:val="bottom"/>
          </w:tcPr>
          <w:p>
            <w:pPr>
              <w:spacing w:after="0"/>
              <w:rPr>
                <w:sz w:val="24"/>
                <w:szCs w:val="24"/>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20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(50% of Shares)</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(100% of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 Awards</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6.4%</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estimate the grant date fair value of TSR Awards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 date fair value of ROIC Awards is based on the closing price of a share of our common stock on the date of grant.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September 30, 2022 and changes during the nine months then ended.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720" w:type="dxa"/>
            <w:vAlign w:val="bottom"/>
            <w:gridSpan w:val="9"/>
          </w:tcPr>
          <w:p>
            <w:pPr>
              <w:ind w:left="960"/>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334"/>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6"/>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334"/>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0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54"/>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54"/>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3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Pr>
          <w:p>
            <w:pPr>
              <w:spacing w:after="0"/>
              <w:rPr>
                <w:sz w:val="17"/>
                <w:szCs w:val="17"/>
                <w:color w:val="auto"/>
              </w:rPr>
            </w:pPr>
          </w:p>
        </w:tc>
        <w:tc>
          <w:tcPr>
            <w:tcW w:w="158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194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382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576</w:t>
            </w:r>
          </w:p>
        </w:tc>
        <w:tc>
          <w:tcPr>
            <w:tcW w:w="1020" w:type="dxa"/>
            <w:vAlign w:val="bottom"/>
            <w:gridSpan w:val="3"/>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2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120" w:type="dxa"/>
            <w:vAlign w:val="bottom"/>
          </w:tcPr>
          <w:p>
            <w:pPr>
              <w:spacing w:after="0"/>
              <w:rPr>
                <w:sz w:val="18"/>
                <w:szCs w:val="18"/>
                <w:color w:val="auto"/>
              </w:rPr>
            </w:pPr>
          </w:p>
        </w:tc>
        <w:tc>
          <w:tcPr>
            <w:tcW w:w="12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0" w:type="dxa"/>
            <w:vAlign w:val="bottom"/>
          </w:tcPr>
          <w:p>
            <w:pPr>
              <w:spacing w:after="0"/>
              <w:rPr>
                <w:sz w:val="1"/>
                <w:szCs w:val="1"/>
                <w:color w:val="auto"/>
              </w:rPr>
            </w:pPr>
          </w:p>
        </w:tc>
      </w:tr>
      <w:tr>
        <w:trPr>
          <w:trHeight w:val="229"/>
        </w:trPr>
        <w:tc>
          <w:tcPr>
            <w:tcW w:w="5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30"/>
        </w:trPr>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0" w:type="dxa"/>
            <w:vAlign w:val="bottom"/>
          </w:tcPr>
          <w:p>
            <w:pPr>
              <w:spacing w:after="0"/>
              <w:rPr>
                <w:sz w:val="1"/>
                <w:szCs w:val="1"/>
                <w:color w:val="auto"/>
              </w:rPr>
            </w:pPr>
          </w:p>
        </w:tc>
      </w:tr>
      <w:tr>
        <w:trPr>
          <w:trHeight w:val="229"/>
        </w:trPr>
        <w:tc>
          <w:tcPr>
            <w:tcW w:w="5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30"/>
        </w:trPr>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2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120" w:type="dxa"/>
            <w:vAlign w:val="bottom"/>
          </w:tcPr>
          <w:p>
            <w:pPr>
              <w:spacing w:after="0"/>
              <w:rPr>
                <w:sz w:val="24"/>
                <w:szCs w:val="24"/>
                <w:color w:val="auto"/>
              </w:rPr>
            </w:pPr>
          </w:p>
        </w:tc>
        <w:tc>
          <w:tcPr>
            <w:tcW w:w="12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3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30"/>
        </w:trPr>
        <w:tc>
          <w:tcPr>
            <w:tcW w:w="5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0" w:type="dxa"/>
            <w:vAlign w:val="bottom"/>
          </w:tcPr>
          <w:p>
            <w:pPr>
              <w:spacing w:after="0"/>
              <w:rPr>
                <w:sz w:val="1"/>
                <w:szCs w:val="1"/>
                <w:color w:val="auto"/>
              </w:rPr>
            </w:pPr>
          </w:p>
        </w:tc>
      </w:tr>
      <w:tr>
        <w:trPr>
          <w:trHeight w:val="230"/>
        </w:trPr>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(43,032)</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0" w:type="dxa"/>
            <w:vAlign w:val="bottom"/>
          </w:tcPr>
          <w:p>
            <w:pPr>
              <w:spacing w:after="0"/>
              <w:rPr>
                <w:sz w:val="1"/>
                <w:szCs w:val="1"/>
                <w:color w:val="auto"/>
              </w:rPr>
            </w:pPr>
          </w:p>
        </w:tc>
      </w:tr>
      <w:tr>
        <w:trPr>
          <w:trHeight w:val="230"/>
        </w:trPr>
        <w:tc>
          <w:tcPr>
            <w:tcW w:w="5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29"/>
        </w:trPr>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loss on interest rate swap (3)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23"/>
        </w:trPr>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rate swap settlements of effective hedge.</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derivative loss and settlements after discontinuation of hedge accounting.</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Common Share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 company that has participating securities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Preferred stock cumulative dividends and deemed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0" w:type="dxa"/>
            <w:vAlign w:val="bottom"/>
          </w:tcPr>
          <w:p>
            <w:pPr>
              <w:spacing w:after="0"/>
              <w:rPr>
                <w:sz w:val="1"/>
                <w:szCs w:val="1"/>
                <w:color w:val="auto"/>
              </w:rPr>
            </w:pPr>
          </w:p>
        </w:tc>
      </w:tr>
      <w:tr>
        <w:trPr>
          <w:trHeight w:val="155"/>
        </w:trPr>
        <w:tc>
          <w:tcPr>
            <w:tcW w:w="56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Numerator for basic and diluted undistributed net loss per common share</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Pr>
          <w:p>
            <w:pPr>
              <w:spacing w:after="0"/>
              <w:rPr>
                <w:sz w:val="13"/>
                <w:szCs w:val="13"/>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0" w:type="dxa"/>
            <w:vAlign w:val="bottom"/>
          </w:tcPr>
          <w:p>
            <w:pPr>
              <w:spacing w:after="0"/>
              <w:rPr>
                <w:sz w:val="1"/>
                <w:szCs w:val="1"/>
                <w:color w:val="auto"/>
              </w:rPr>
            </w:pPr>
          </w:p>
        </w:tc>
      </w:tr>
      <w:tr>
        <w:trPr>
          <w:trHeight w:val="221"/>
        </w:trPr>
        <w:tc>
          <w:tcPr>
            <w:tcW w:w="5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42,980</w:t>
            </w: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for unvested restricted common stock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2021 Warrants outstanding (2)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196"/>
        </w:trPr>
        <w:tc>
          <w:tcPr>
            <w:tcW w:w="56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Shares used to calculate net loss per share, basic and diluted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44,711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44,455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44,670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43,862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net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does not participate in losses.</w:t>
      </w:r>
    </w:p>
    <w:p>
      <w:pPr>
        <w:spacing w:after="0" w:line="63" w:lineRule="exact"/>
        <w:rPr>
          <w:rFonts w:ascii="Times New Roman" w:cs="Times New Roman" w:eastAsia="Times New Roman" w:hAnsi="Times New Roman"/>
          <w:sz w:val="18"/>
          <w:szCs w:val="18"/>
          <w:color w:val="auto"/>
        </w:rPr>
      </w:pPr>
    </w:p>
    <w:p>
      <w:pPr>
        <w:ind w:left="900" w:right="280" w:hanging="244"/>
        <w:spacing w:after="0" w:line="282" w:lineRule="auto"/>
        <w:tabs>
          <w:tab w:leader="none" w:pos="9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2021 Warrants outstanding are included in shares outstanding for calculation of basic earnings per share because they are exercisable at an exercise price of $0.01 per share, subject to certain adjustments (see Note 15).</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186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5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elected to allocate undistributed income to participating securities based on year-to-date results. As there was no undistributed income for the nine months ended September 30, 2022, no such allocation was necessary. In addition, given the undistributed loss in the three and nine months ended September 30, 2022 and 2021, options and the 2019 Warrants are considered anti-dilutive and were excluded from the calculation of diluted net loss per share. Stock options excluded from the calculations of diluted net loss per share had a per share exercise price ranging from $7.93 to $25.16 for the three months ended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September 30, 2022, and $7.93 to $25.16 for the three months ended September 30, 2021. Stock options excluded from the calculations of diluted net loss per share had a per share exercise price ranging from $7.93 to $25.16 for the nine months ended September 30, 2022, and $7.93 to $25.16 for nine months ended September 30, 2021. The 2019 Warrants excluded from the calculation of diluted net loss per share for the three and nine months ended September 30, 2022 and 2021, had a per share exercise price of $11.49.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2021 Annual Report.</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As of September 30, 2022, the carrying values of these financial instruments approximated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B Preferred Stock, which was redeemed in March 2021. The following feature was recorded as a derivative.</w:t>
      </w:r>
    </w:p>
    <w:p>
      <w:pPr>
        <w:spacing w:after="0" w:line="52" w:lineRule="exact"/>
        <w:rPr>
          <w:sz w:val="20"/>
          <w:szCs w:val="20"/>
          <w:color w:val="auto"/>
        </w:rPr>
      </w:pPr>
    </w:p>
    <w:p>
      <w:pPr>
        <w:ind w:left="660" w:right="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B Preferred Stock in December 2019, we issued detachable warrants to 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million shares of our common stock (the “2019 Warrants”), which are exercisable, in full or in part, at any time prior to December 11, 2026, at an exercise price of $11.49 per share.</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D Preferred Stock that was issued on March 22, 2021. The following features were recorded as derivatives.</w:t>
      </w:r>
    </w:p>
    <w:p>
      <w:pPr>
        <w:spacing w:after="0" w:line="52" w:lineRule="exact"/>
        <w:rPr>
          <w:sz w:val="20"/>
          <w:szCs w:val="20"/>
          <w:color w:val="auto"/>
        </w:rPr>
      </w:pPr>
    </w:p>
    <w:p>
      <w:pPr>
        <w:ind w:left="660" w:right="20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put feature. </w:t>
      </w:r>
      <w:r>
        <w:rPr>
          <w:rFonts w:ascii="Times New Roman" w:cs="Times New Roman" w:eastAsia="Times New Roman" w:hAnsi="Times New Roman"/>
          <w:sz w:val="18"/>
          <w:szCs w:val="18"/>
          <w:color w:val="auto"/>
        </w:rPr>
        <w:t>The Series D Preferred Stock includes a put feature that allows the holder to redeem the Series D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6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D Preferred Stock, we issued detachable warrants to purchase up to 1.9 million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liabilities measured at fair value for the Preferred Stock derivatives as of September 30, 2022 and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2022</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9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760"/>
        </w:trPr>
        <w:tc>
          <w:tcPr>
            <w:tcW w:w="4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20" w:type="dxa"/>
            <w:vAlign w:val="bottom"/>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9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864"/>
        </w:trPr>
        <w:tc>
          <w:tcPr>
            <w:tcW w:w="4520" w:type="dxa"/>
            <w:vAlign w:val="bottom"/>
          </w:tcPr>
          <w:p>
            <w:pPr>
              <w:spacing w:after="0"/>
              <w:rPr>
                <w:sz w:val="24"/>
                <w:szCs w:val="24"/>
                <w:color w:val="auto"/>
              </w:rPr>
            </w:pPr>
          </w:p>
        </w:tc>
        <w:tc>
          <w:tcPr>
            <w:tcW w:w="19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change in the Preferred Stock derivatives during the nine months ended September 30, 2022.</w:t>
            </w: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9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8,224</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(4,858)</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3,366</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80" w:right="300" w:hanging="248"/>
        <w:spacing w:after="0" w:line="282" w:lineRule="auto"/>
        <w:tabs>
          <w:tab w:leader="none" w:pos="5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w:t>
      </w:r>
    </w:p>
    <w:p>
      <w:pPr>
        <w:spacing w:after="0" w:line="21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change-in-control put feature utilizes unobservable inputs based on the Company’s assessment of the probability of a change-in-control event occurring in a future period. The probability of a change-in-control event ranged from 3% to 10% as of September 30, 2022.</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September 30, 2022, and 3.6 years as of December 31, 2021.</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the 2021 Warrants is determined using the observable market price of a share of our common stock, less the $0.01 per share exercise price.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manage our exposure to fluctuations in interest rates using a mix of fixed and variable rate debt. We utilize fixed-rate interest rate swap agreements to change the variable interest rate to a fixed rate on a portion of our variable rate debt.</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Amounts recognized in earnings related to the 2019 Swap are recorded in the “Loss on interest rate swap” line on the Condensed Consolidated Statements of Operations and Comprehensive Income (Loss) except that cash settlements prior to termination are recognized in “Derivative payments on interest rate swap.” Cash settlements during 2021 are presented in investing activities on the Condensed Consolidated Statements of Cash Flows.</w:t>
      </w:r>
    </w:p>
    <w:p>
      <w:pPr>
        <w:spacing w:after="0" w:line="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interest rate swaps on the Condensed Consolidated Statements of Operations and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36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r>
      <w:tr>
        <w:trPr>
          <w:trHeight w:val="195"/>
        </w:trPr>
        <w:tc>
          <w:tcPr>
            <w:tcW w:w="5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(1)</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 (2)</w:t>
            </w:r>
          </w:p>
        </w:tc>
        <w:tc>
          <w:tcPr>
            <w:tcW w:w="84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1,717</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 (2)</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on the interest rate swaps while the hedges are effective.</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and changes in fair value on the 2019 Swap.</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assets and liabilities measured at fair value on a recurring basis for the interest rate swaps as of September 30, 2022 and December 31, 2021.</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72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17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other 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7"/>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80" w:type="dxa"/>
            <w:vAlign w:val="bottom"/>
          </w:tcPr>
          <w:p>
            <w:pPr>
              <w:spacing w:after="0"/>
              <w:rPr>
                <w:sz w:val="11"/>
                <w:szCs w:val="11"/>
                <w:color w:val="auto"/>
              </w:rPr>
            </w:pPr>
          </w:p>
        </w:tc>
        <w:tc>
          <w:tcPr>
            <w:tcW w:w="17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6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1"/>
                <w:szCs w:val="11"/>
                <w:color w:val="auto"/>
              </w:rPr>
            </w:pPr>
          </w:p>
        </w:tc>
        <w:tc>
          <w:tcPr>
            <w:tcW w:w="15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46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swaps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Debt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fair value of our outstanding fixed-rate debt included in the “International lines of credit and other loans” line item within Note 7 to these Notes to Condensed Consolidated Financial Statements approximated carrying value as of September 30, 2022 and December 31, 2021, respectively. These fair values represent Level 2 under the three-tier hierarchy described above. The carrying value of this fixed-rate debt was $8.4 million and $10.9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help the reader understand the results of operations and financial condition of NN, Inc. and its consolidated subsidiaries for the three and nine months ended September 30, 2022. The financial information as of September 30, 2022, should be read in conjunction with the consolidated financial statements for the year ended December 31, 2021, contained in our Annual Report on Form 10-K for the year ended December 31, 2021, and the Condensed Consolidated Financial Statements included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2021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nine months ended September 30, 2022,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the COVID-19 pandemic, the on-going Russia-Ukraine conflict, inflationary cost pressures, rising interest rates, supply chain disruptions, and labor shortages.</w:t>
      </w:r>
    </w:p>
    <w:p>
      <w:pPr>
        <w:spacing w:after="0" w:line="5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COVID-19 pandemic and governmental responses thereto, including current COVID-19 lockdowns in China, continue to impact our business operations and our customers' and suppliers' ability to operate at normal levels. Disruptions in normal operating levels continue to create supply chain disruptions and inflationary cost pressures within our end-markets. We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 that supply chain constraints and the inflationary environment, as impacted by the COVID-19 pandemic, will continue through 2022 and beyond.</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Russia-Ukraine conflict also continues to create volatility in global financial and energy markets, creating energy and supply chain shortages, adding to the inflationary pressures in the global economy. We continue to actively work with our suppliers to minimize impacts of supply shortages on our manufacturing capabilities. Although our business has not been materially impacted by the ongoing Russia-Ukraine conflict as of the date of this filing, it is impossible to predict the extent to which our operations, or those of our customers or suppliers, will be impacted, or the ways in which the conflict may impact our business, financial condition, results of operations and cash flows.</w:t>
      </w:r>
    </w:p>
    <w:p>
      <w:pPr>
        <w:spacing w:after="0" w:line="75"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U.S. economy is experiencing broad and rapid inflation and rising interest rates, as well as supply issues in material, services and labor due to economic policy, the COVID-19 pandemic and, more recently, the Russia-Ukraine conflict. These impacts are likely to persist through 2022 and beyond. We cannot predict the impact on the Company’s end-markets or input costs nor the ability of the Company to recover cost increases through pricing.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the Three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tcBorders>
              <w:bottom w:val="single" w:sz="8" w:color="auto"/>
            </w:tcBorders>
          </w:tcPr>
          <w:p>
            <w:pPr>
              <w:spacing w:after="0"/>
              <w:rPr>
                <w:sz w:val="16"/>
                <w:szCs w:val="16"/>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22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12,226</w:t>
            </w:r>
          </w:p>
        </w:tc>
      </w:tr>
      <w:tr>
        <w:trPr>
          <w:trHeight w:val="229"/>
        </w:trPr>
        <w:tc>
          <w:tcPr>
            <w:tcW w:w="6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(2,173)</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r>
      <w:tr>
        <w:trPr>
          <w:trHeight w:val="155"/>
        </w:trPr>
        <w:tc>
          <w:tcPr>
            <w:tcW w:w="6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 income from joint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4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venture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$10.1 million, or 8.6%, during the three months ended September 30, 2022,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primarily due to increased pricing and higher demand in Mobile Solutions, partially offset by unfavorable foreign exchange effects of $2.2 million.</w:t>
      </w:r>
    </w:p>
    <w:p>
      <w:pPr>
        <w:spacing w:after="0" w:line="6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$9.4 million, or 9.5%, during the three months ended September 30, 2022,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primarily due to inflationary costs and unfavorable overhead absorption during the quarter, partially offset by favorable foreign exchange effects.</w:t>
      </w:r>
    </w:p>
    <w:p>
      <w:pPr>
        <w:spacing w:after="0" w:line="6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$2.0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compared to the three months ended September 30, 2021, primarily due to lower incentive and stock compensation expense.</w:t>
      </w:r>
    </w:p>
    <w:p>
      <w:pPr>
        <w:spacing w:after="0" w:line="5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Other operating income, net changed unfavorably by $0.6 million during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2021, primarily due to a gain on the sale of a facility in the third quarter of 2021.</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$0.2 million during the three months ended September 30, 2022,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primarily due to higher interest rates, partially offset by favorable interest rate swap settlements and a higher amount of interest expense that was capitalized in the current quarter compared with the third quarter of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r>
      <w:tr>
        <w:trPr>
          <w:trHeight w:val="21"/>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changed unfavorably by $3.2 million during the three months ended September 30,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due to lower noncash derivative mark-to-market gains recognized during the current quarter compared with the third quarter of 2021.</w:t>
      </w:r>
    </w:p>
    <w:p>
      <w:pPr>
        <w:spacing w:after="0" w:line="6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22.7% for the three months ended September 30, 2022, compared to (9.8)%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The rate for the three months ended September 30, 2022 was unfavorably impacted due to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was favorably impacted by the recording of interest income on the Company’s federal income tax refund requested as a result of the CARES act.</w:t>
      </w:r>
    </w:p>
    <w:p>
      <w:pPr>
        <w:spacing w:after="0" w:line="7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Share of Net Income from Joint Venture. </w:t>
      </w:r>
      <w:r>
        <w:rPr>
          <w:rFonts w:ascii="Times New Roman" w:cs="Times New Roman" w:eastAsia="Times New Roman" w:hAnsi="Times New Roman"/>
          <w:sz w:val="17"/>
          <w:szCs w:val="17"/>
          <w:color w:val="auto"/>
        </w:rPr>
        <w:t>Share of net income from the JV increased during the three months ended September 30, 2022,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September 30, 2021, primarily due to higher sales partially offset by higher operating costs in the current quarter. The JV, in which we own a 49% investment, recognized net sales of $27.0 million and $22.8 million for the three months ended September 30, 2022 and 2021,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4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bottom w:val="single" w:sz="8" w:color="auto"/>
            </w:tcBorders>
          </w:tcPr>
          <w:p>
            <w:pPr>
              <w:spacing w:after="0"/>
              <w:rPr>
                <w:sz w:val="16"/>
                <w:szCs w:val="16"/>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7,536</w:t>
            </w:r>
          </w:p>
        </w:tc>
        <w:tc>
          <w:tcPr>
            <w:tcW w:w="840" w:type="dxa"/>
            <w:vAlign w:val="bottom"/>
            <w:shd w:val="clear" w:color="auto" w:fill="CCEEFF"/>
          </w:tcPr>
          <w:p>
            <w:pPr>
              <w:spacing w:after="0"/>
              <w:rPr>
                <w:sz w:val="19"/>
                <w:szCs w:val="19"/>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8"/>
                <w:szCs w:val="18"/>
                <w:i w:val="1"/>
                <w:i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9,573</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(2,037)</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(217)</w:t>
            </w:r>
          </w:p>
        </w:tc>
        <w:tc>
          <w:tcPr>
            <w:tcW w:w="840" w:type="dxa"/>
            <w:vAlign w:val="bottom"/>
          </w:tcPr>
          <w:p>
            <w:pPr>
              <w:spacing w:after="0"/>
              <w:rPr>
                <w:sz w:val="20"/>
                <w:szCs w:val="20"/>
                <w:color w:val="auto"/>
              </w:rPr>
            </w:pPr>
          </w:p>
        </w:tc>
      </w:tr>
    </w:tbl>
    <w:p>
      <w:pPr>
        <w:spacing w:after="0" w:line="24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sales increased by $7.5 million, or 11.0%, during the three months ended September 30, 2022, compared to the three months ended September 30, 2021, primarily due to increased pricing and a recovery of sales that were negatively impacted by the global semi-conductor shortage in 2021. These increases were partially offset by unfavorable foreign exchange effects of $2.0 million.</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Loss from operations increased by $0.2 million during the three months ended September 30, 2022, compared to the same period in the prior year, primarily due to inflationary costs not fully recovered in customer pricing and unfavorable overhead absorption. These decreases were partially offset by higher sales volume and lower incentive compensation expense.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tcBorders>
              <w:bottom w:val="single" w:sz="8" w:color="auto"/>
            </w:tcBorders>
          </w:tcPr>
          <w:p>
            <w:pPr>
              <w:spacing w:after="0"/>
              <w:rPr>
                <w:sz w:val="16"/>
                <w:szCs w:val="16"/>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2,444</w:t>
            </w:r>
          </w:p>
        </w:tc>
        <w:tc>
          <w:tcPr>
            <w:tcW w:w="760" w:type="dxa"/>
            <w:vAlign w:val="bottom"/>
            <w:shd w:val="clear" w:color="auto" w:fill="CCEEFF"/>
          </w:tcPr>
          <w:p>
            <w:pPr>
              <w:spacing w:after="0"/>
              <w:rPr>
                <w:sz w:val="19"/>
                <w:szCs w:val="19"/>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2,580</w:t>
            </w: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(136)</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1,330</w:t>
            </w:r>
          </w:p>
        </w:tc>
        <w:tc>
          <w:tcPr>
            <w:tcW w:w="760" w:type="dxa"/>
            <w:vAlign w:val="bottom"/>
          </w:tcPr>
          <w:p>
            <w:pPr>
              <w:spacing w:after="0"/>
              <w:rPr>
                <w:sz w:val="20"/>
                <w:szCs w:val="20"/>
                <w:color w:val="auto"/>
              </w:rPr>
            </w:pPr>
          </w:p>
        </w:tc>
      </w:tr>
    </w:tbl>
    <w:p>
      <w:pPr>
        <w:spacing w:after="0" w:line="4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Net sales increased by $2.4 million, or 5.0%, during the three months ended September 30, 2022 compared to the three months ended September 30, 2021. The increase in sales was primarily due to higher customer pricing and volume, partially offset by lower precious metals pass-through pricing and unfavorable foreign exchange effects.</w:t>
      </w:r>
    </w:p>
    <w:p>
      <w:pPr>
        <w:spacing w:after="0" w:line="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Income from operations increased by $1.3 million during the three months ended September 30, 2022 compared to the same period in the prior year, primarily due to the increase in sales and lower incentive compensation expense and favorable mix, partially offset by a gain on the sale of a facility in the third quarter of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the Nine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6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bottom w:val="single" w:sz="8" w:color="auto"/>
            </w:tcBorders>
          </w:tcPr>
          <w:p>
            <w:pPr>
              <w:spacing w:after="0"/>
              <w:rPr>
                <w:sz w:val="16"/>
                <w:szCs w:val="16"/>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16,030</w:t>
            </w:r>
          </w:p>
        </w:tc>
      </w:tr>
      <w:tr>
        <w:trPr>
          <w:trHeight w:val="229"/>
        </w:trPr>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(2,509)</w:t>
            </w:r>
          </w:p>
        </w:tc>
      </w:tr>
      <w:tr>
        <w:trPr>
          <w:trHeight w:val="176"/>
        </w:trPr>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separately below)</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298,127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55"/>
        </w:trPr>
        <w:tc>
          <w:tcPr>
            <w:tcW w:w="5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Loss before benefit (provision) for income taxes and share of net income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joint venture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$13.5 million, or 3.7%, during the nine months ended September 30, 2022,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primarily due to increased pricing partially offset by lower volume and unfavorable foreign exchange effects $2.5 million.</w:t>
      </w:r>
    </w:p>
    <w:p>
      <w:pPr>
        <w:spacing w:after="0" w:line="5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$18.4 million, or 6.2%, during the nine months ended September 30, 2022,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primarily due to inflationary costs and unfavorable overhead absorption, partially offset by lower sales volume and favorable foreign exchange effects.</w:t>
      </w:r>
    </w:p>
    <w:p>
      <w:pPr>
        <w:spacing w:after="0" w:line="65"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$1.9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compared to the nine months ended September 30, 2021, primarily due to lower incentive compensation, severance and retention expense. These decreases were partially offset by higher stock compensation expense, higher professional fees and increased travel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unfavorably by $2.8 million primarily due to a legal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reached during the first quarter of 2022 and the gain on the sale of a facility in the third quarter of 2021.</w:t>
      </w:r>
    </w:p>
    <w:p>
      <w:pPr>
        <w:spacing w:after="0" w:line="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$1.5 million during the nine months ended September 30, 2022,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primarily due to higher interest rates and a larger average debt balance as a result of the credit facility and preferred stock refinance during the first quarter of 2021. These increases were partially offset by a higher amount of interest expense that was capitalized in 2022 compared with the prior 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w:t>
            </w:r>
          </w:p>
        </w:tc>
      </w:tr>
      <w:tr>
        <w:trPr>
          <w:trHeight w:val="21"/>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Debt Issuance Costs. </w:t>
      </w:r>
      <w:r>
        <w:rPr>
          <w:rFonts w:ascii="Times New Roman" w:cs="Times New Roman" w:eastAsia="Times New Roman" w:hAnsi="Times New Roman"/>
          <w:sz w:val="18"/>
          <w:szCs w:val="18"/>
          <w:color w:val="auto"/>
        </w:rPr>
        <w:t>We recognized $2.4 million in the first quarter of 2021 for the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unamortized debt issuance costs associated with the credit facility that was terminated in March 2021.</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Payments on Interest Rate Swap. </w:t>
      </w:r>
      <w:r>
        <w:rPr>
          <w:rFonts w:ascii="Times New Roman" w:cs="Times New Roman" w:eastAsia="Times New Roman" w:hAnsi="Times New Roman"/>
          <w:sz w:val="18"/>
          <w:szCs w:val="18"/>
          <w:color w:val="auto"/>
        </w:rPr>
        <w:t>Derivative payments on interest rate swap represent cash settlements of an interest rate swap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in the first quarter of 2021. We entered into a new interest rate swap in the third quarter of 2021, which is designated as a cash flow hedge with the impact of settlements recognized in interest expense.</w:t>
      </w:r>
    </w:p>
    <w:p>
      <w:pPr>
        <w:spacing w:after="0" w:line="6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Loss on Interest Rate Swap</w:t>
      </w:r>
      <w:r>
        <w:rPr>
          <w:rFonts w:ascii="Times New Roman" w:cs="Times New Roman" w:eastAsia="Times New Roman" w:hAnsi="Times New Roman"/>
          <w:sz w:val="18"/>
          <w:szCs w:val="18"/>
          <w:color w:val="auto"/>
        </w:rPr>
        <w:t>. We recognized a $2.0 million loss in the first quarter of 2021 related to the termination of the previous interest rate swap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2021.</w:t>
      </w:r>
    </w:p>
    <w:p>
      <w:pPr>
        <w:spacing w:after="0" w:line="5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changed favorably by $1.4 million during the nine months ended September 30, 2022,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primarily due to the impact of a litigation settlement reached during the second quarter of 2021.</w:t>
      </w:r>
    </w:p>
    <w:p>
      <w:pPr>
        <w:spacing w:after="0" w:line="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Our effective tax rate was (9.2)% for the nine months ended September 30, 2022, compared to 3.5%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The rate for the nine months ended September 30, 2022 was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for the nine months ended September 30, 2022 was favorably impacted by the recording of interest income on the Company’s federal income tax refund requested as a result of the CARES act. The rate for the nine months ended September 30, 2021 was favorably impacted by the change in assertion and reduction in the accrual of tax on non-permanently reinvested unremitted earnings of foreign subsidiaries.</w:t>
      </w:r>
    </w:p>
    <w:p>
      <w:pPr>
        <w:spacing w:after="0" w:line="7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Share of Net Income from Joint Venture. </w:t>
      </w:r>
      <w:r>
        <w:rPr>
          <w:rFonts w:ascii="Times New Roman" w:cs="Times New Roman" w:eastAsia="Times New Roman" w:hAnsi="Times New Roman"/>
          <w:sz w:val="17"/>
          <w:szCs w:val="17"/>
          <w:color w:val="auto"/>
        </w:rPr>
        <w:t>Share of net income from the JV increased during the nine months ended September 30, 2022,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nine months ended September 30, 2021, primarily due to higher sales partially offset by higher operating costs in the current quarter. The JV, in which we own a 49% investment, recognized net sales of $76.4 million and $68.4 million for the nine months ended September 30, 2022 and 2021,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bottom w:val="single" w:sz="8" w:color="auto"/>
            </w:tcBorders>
          </w:tcPr>
          <w:p>
            <w:pPr>
              <w:spacing w:after="0"/>
              <w:rPr>
                <w:sz w:val="16"/>
                <w:szCs w:val="16"/>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5,294</w:t>
            </w:r>
          </w:p>
        </w:tc>
        <w:tc>
          <w:tcPr>
            <w:tcW w:w="840" w:type="dxa"/>
            <w:vAlign w:val="bottom"/>
            <w:shd w:val="clear" w:color="auto" w:fill="CCEEFF"/>
          </w:tcPr>
          <w:p>
            <w:pPr>
              <w:spacing w:after="0"/>
              <w:rPr>
                <w:sz w:val="19"/>
                <w:szCs w:val="19"/>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415"/>
              <w:spacing w:after="0"/>
              <w:rPr>
                <w:sz w:val="20"/>
                <w:szCs w:val="20"/>
                <w:color w:val="auto"/>
              </w:rPr>
            </w:pPr>
            <w:r>
              <w:rPr>
                <w:rFonts w:ascii="Times New Roman" w:cs="Times New Roman" w:eastAsia="Times New Roman" w:hAnsi="Times New Roman"/>
                <w:sz w:val="18"/>
                <w:szCs w:val="18"/>
                <w:i w:val="1"/>
                <w:i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7,633</w:t>
            </w: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(2,339)</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(5,118)</w:t>
            </w:r>
          </w:p>
        </w:tc>
        <w:tc>
          <w:tcPr>
            <w:tcW w:w="840" w:type="dxa"/>
            <w:vAlign w:val="bottom"/>
          </w:tcPr>
          <w:p>
            <w:pPr>
              <w:spacing w:after="0"/>
              <w:rPr>
                <w:sz w:val="20"/>
                <w:szCs w:val="20"/>
                <w:color w:val="auto"/>
              </w:rPr>
            </w:pPr>
          </w:p>
        </w:tc>
      </w:tr>
    </w:tbl>
    <w:p>
      <w:pPr>
        <w:spacing w:after="0" w:line="22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Net sales increased by $5.3 million, or 2.4%, during the nine months ended September 30, 2022, compared to the nine months ended September 30, 2021, primarily due to increased pricing, partially offset by lower sales of diesel components due to lower European demand which was impacted by the war in Ukraine, COVID-19 interruptions in China, lost sales associated with certain fuel systems reaching end of production, and unfavorable foreign exchange effects of $2.3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by $5.1 million during the nine months ended September 30, 2022 compared to the same period in the prior year, primarily due to inflationary costs not fully recovered in customer pricing, unfavorable overhead absorption, and variable cost inefficiencies associated with supply chain interruptions, uneven customer ordering patterns, and labor constraints caused by pandemic interruptions. These decreases were partially offset by lower incentive compensation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8,158</w:t>
            </w:r>
          </w:p>
        </w:tc>
        <w:tc>
          <w:tcPr>
            <w:tcW w:w="780" w:type="dxa"/>
            <w:vAlign w:val="bottom"/>
            <w:shd w:val="clear" w:color="auto" w:fill="CCEEFF"/>
          </w:tcPr>
          <w:p>
            <w:pPr>
              <w:spacing w:after="0"/>
              <w:rPr>
                <w:sz w:val="19"/>
                <w:szCs w:val="19"/>
                <w:color w:val="auto"/>
              </w:rPr>
            </w:pP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8"/>
                <w:szCs w:val="18"/>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8,328</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(170)</w:t>
            </w: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(2,183)</w:t>
            </w:r>
          </w:p>
        </w:tc>
        <w:tc>
          <w:tcPr>
            <w:tcW w:w="780" w:type="dxa"/>
            <w:vAlign w:val="bottom"/>
          </w:tcPr>
          <w:p>
            <w:pPr>
              <w:spacing w:after="0"/>
              <w:rPr>
                <w:sz w:val="20"/>
                <w:szCs w:val="20"/>
                <w:color w:val="auto"/>
              </w:rPr>
            </w:pPr>
          </w:p>
        </w:tc>
      </w:tr>
    </w:tbl>
    <w:p>
      <w:pPr>
        <w:spacing w:after="0" w:line="2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sales increased by $8.2 million, or 5.5%, during the nine months ended September 30, 2022, compared to the nine months ended September 30, 2021, primarily due to higher customer pricing partially offset by lower volume and unfavorable foreign exchange effects.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$2.2 million during the nine months ended September 30, 2022 compared to the same period in the prior year, primarily due to a $1.8 million litigation settlement to settle claims from 2016 and the absence of a gain on the sale of a facility in the third quarter of 2021. These decreases were partially offset by the impact of higher sales and lower incentive compensation expense.</w:t>
      </w:r>
    </w:p>
    <w:p>
      <w:pPr>
        <w:spacing w:after="0" w:line="172" w:lineRule="exact"/>
        <w:rPr>
          <w:sz w:val="20"/>
          <w:szCs w:val="20"/>
          <w:color w:val="auto"/>
        </w:rPr>
      </w:pPr>
    </w:p>
    <w:p>
      <w:pPr>
        <w:ind w:right="51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2021 to September 30, 2022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December 31, 2021 to September 30, 2022, total assets decreased by $21.5 million primarily due to normal depreciation and amortization of fixed assets and intangible assets. These decreases were partially offset by increases in accounts receivable and inventories during the nine months ended September 30, 2022. The increase in accounts receivable is due to higher sales during the end of the current quarter compared with the end of the fourth quarter of 2021. The value of inventory increased due to higher material costs as well as higher quantities to maintain customer safety stock due to ongoing supply chain interruptions, especially in China.</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was no change in total liabilities from December 31, 2021 to September 30, 2022, as lower employee incentive compensation accruals and a decrease in the unrealized losses of certain derivatives were offset by an increase in accounts payable attributed to higher inventory balances at September 30, 2022 and higher borrowings on the ABL Facility.</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$125.5 million as of September 30, 2022, compared to $122.3 million as of December 31, 2021. The increase in working capital was primarily due to increases in accounts receivable and inventory, partially offset by an increase in accounts payable.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used in operations was $2.7 million for the nine months ended September 30, 2022, compared with cash provided by operations of $5.7 million for the nine months ended September 30, 2021. The difference was primarily due to an increase in accounts receivable related to higher sales during the current quarter compared with the fourth quarter of 2021.</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$13.6 million for the nine months ended September 30, 2022, compared with cash used in investing activities of $32.7 million for the nine months ended September 30, 2021. The difference was primarily due to cash paid to settle the interest rate swap in the first quarter of 2021.</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$1.4 million for the nine months ended September 30, 2022, compared with cash provided by financing activities of $4.5 million for the nine months ended September 30, 2021. The difference was primarily due to the debt and preferred stock refinancing in the first quarter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September 30, 2022, was $147.8 million, without regard to unamortized debt issuance costs and discount. As of September 30, 2022, we had $32.1 million available for future borrowings under the ABL Facility. This amount of borrowing capacity is net of $6.0 million of outstanding borrowings and $11.1 million of outstanding letters of credit at September 30, 2022, which are considered as usage of the ABL Facility.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Outstanding borrowings under the Term Loan Facility bear interest at either 1) one-month LIBOR (subject to a 1.000% floor) plus an applicable margin of 6.875% or 2) the greater of various benchmark rates plus an applicable margin of 5.875%. Based on the interest rate in effect at September 30, 2022, and the fixed rate on the 2021 interest rate swap, annual interest payments would be approximately $13.7 million.</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ABL Facility bears interest on a variable rate structure with borrowings bearing interest at one-month LIBOR plus an applicable margin of 1.75%. The interest rate in effect at September 30, 2022, was 4.56%. We pay a commitment fee of 0.375% for unused capacity under the ABL Facility.</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September 30, 2022. Both credit facilities allow for optional expansion of available borrowings, subject to certain terms and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5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2021 Annual Report, including those policies as discussed in Note 1 to the Notes to Consolidated Financial Statements included in the 2021 Annual Report. There have been no material changes to these policies during the nine months ended September 30, 2022.</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Refer to Note 15 in the Notes to Condensed Consolidated Financial Statements included in this Quarterly Report for further discussion about the interest rate swap.</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September 30, 2022, we had $147.8 million of principal outstanding under the Term Loan Facility without regard to capitalized debt issuance costs. A one-percent increase in one-month LIBOR would have resulted in a net increase in interest expense of $0.9 million on an annualized basis.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 September 30, 2022, using one-month LIBOR plus a 1.75% spread, the interest rate on the $6.0 million of outstanding borrowings under the ABL Facility was 4.56%.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September 30, 2022.</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our Chief Executive Officer and Chief Financial Officer concluded that our disclosure controls and procedures were effective as of September 30, 2022,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disclosed in Note 9 in the Notes to Condensed Consolidated Financial Statements included in this Quarterly Report, we are engaged in certain legal proceedings, and the disclosure set forth in Note 9 relating to legal proceedings is incorporated herein by reference.</w:t>
      </w:r>
    </w:p>
    <w:p>
      <w:pPr>
        <w:spacing w:after="0" w:line="200" w:lineRule="exact"/>
        <w:rPr>
          <w:sz w:val="20"/>
          <w:szCs w:val="20"/>
          <w:color w:val="auto"/>
        </w:rPr>
      </w:pPr>
    </w:p>
    <w:p>
      <w:pPr>
        <w:spacing w:after="0" w:line="30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2021 Annual Report under Item 1A, “Risk Factors.”</w:t>
      </w:r>
    </w:p>
    <w:p>
      <w:pPr>
        <w:spacing w:after="0" w:line="11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business, financial condition, and prospects may be adversely affected by the current military conflict between Russia and Ukraine, other future social and geopolitical instability and resulting domestic and foreign economic instability.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exposed to the risk of changes in social, geopolitical, legal, and economic conditions. The global economy has been, and may continue to be, negatively impacted by Russia’s invasion of Ukraine. As a result of Russia’s invasion of Ukraine, the United States,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The negative impacts arising from the conflict and these sanctions and export restrictions, including those imposed by Russia, may include reduced consumer demand, supply chain disruptions and increased costs for transportation, energy, and raw materials. Although none of our operations are physically located in Russia or Ukraine, further escalation of geopolitical tensions could have a broader impact that expands into other markets where we do business, which may adversely affect our business, financial condition, results of operations and prospects.</w:t>
      </w:r>
    </w:p>
    <w:p>
      <w:pPr>
        <w:spacing w:after="0" w:line="200" w:lineRule="exact"/>
        <w:rPr>
          <w:sz w:val="20"/>
          <w:szCs w:val="20"/>
          <w:color w:val="auto"/>
        </w:rPr>
      </w:pPr>
    </w:p>
    <w:p>
      <w:pPr>
        <w:spacing w:after="0" w:line="3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gridSpan w:val="5"/>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Service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Taxonomy Calculation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Label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hanging="111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1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NN, Inc.</w:t>
            </w:r>
          </w:p>
        </w:tc>
      </w:tr>
      <w:tr>
        <w:trPr>
          <w:trHeight w:val="27"/>
        </w:trPr>
        <w:tc>
          <w:tcPr>
            <w:tcW w:w="46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7"/>
        </w:trPr>
        <w:tc>
          <w:tcPr>
            <w:tcW w:w="46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8"/>
        </w:trPr>
        <w:tc>
          <w:tcPr>
            <w:tcW w:w="46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311"/>
        </w:trPr>
        <w:tc>
          <w:tcPr>
            <w:tcW w:w="46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4620" w:type="dxa"/>
            <w:vAlign w:val="bottom"/>
          </w:tcPr>
          <w:p>
            <w:pPr>
              <w:spacing w:after="0"/>
              <w:rPr>
                <w:sz w:val="23"/>
                <w:szCs w:val="2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52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28"/>
        </w:trPr>
        <w:tc>
          <w:tcPr>
            <w:tcW w:w="46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8"/>
        </w:trPr>
        <w:tc>
          <w:tcPr>
            <w:tcW w:w="46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57"/>
        </w:trPr>
        <w:tc>
          <w:tcPr>
            <w:tcW w:w="4620" w:type="dxa"/>
            <w:vAlign w:val="bottom"/>
          </w:tcPr>
          <w:p>
            <w:pPr>
              <w:spacing w:after="0"/>
              <w:rPr>
                <w:sz w:val="22"/>
                <w:szCs w:val="22"/>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83"/>
        </w:trPr>
        <w:tc>
          <w:tcPr>
            <w:tcW w:w="46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40"/>
          </w:cols>
          <w:pgMar w:left="320" w:top="126" w:right="1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2022-11-02T12:04:56Z</dcterms:created>
  <dcterms:modified xsi:type="dcterms:W3CDTF">2022-11-02T12:04:56Z</dcterms:modified>
</cp:coreProperties>
</file>