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817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81774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WALL JAMES ANDREW</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03/28/2022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51"/>
        <w:spacing w:after="0"/>
        <w:rPr>
          <w:sz w:val="20"/>
          <w:szCs w:val="20"/>
          <w:color w:val="auto"/>
        </w:rPr>
      </w:pPr>
      <w:r>
        <w:rPr>
          <w:rFonts w:ascii="Arial" w:cs="Arial" w:eastAsia="Arial" w:hAnsi="Arial"/>
          <w:sz w:val="16"/>
          <w:szCs w:val="16"/>
          <w:color w:val="0000FF"/>
        </w:rPr>
        <w:t>SVP &amp; Chief Commercial Officer</w:t>
      </w:r>
    </w:p>
    <w:p>
      <w:pPr>
        <w:spacing w:after="0" w:line="31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03/28/2022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32,084</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32,084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03/28/2022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(2)</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34,843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66,927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ind w:left="240"/>
              <w:spacing w:after="0"/>
              <w:rPr>
                <w:sz w:val="20"/>
                <w:szCs w:val="20"/>
                <w:color w:val="auto"/>
              </w:rPr>
            </w:pPr>
            <w:r>
              <w:rPr>
                <w:rFonts w:ascii="Arial" w:cs="Arial" w:eastAsia="Arial" w:hAnsi="Arial"/>
                <w:sz w:val="13"/>
                <w:szCs w:val="13"/>
                <w:color w:val="0000FF"/>
              </w:rPr>
              <w:t>03/28/2022</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30,098</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30,098</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30,098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28, 2023.</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full on March 28, 2023.</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ind w:left="40" w:right="16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a custom S&amp;P "MicroCap" Capital Goods Index over the period beginning on January 1, 2022 and ending December 31, 2024.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21"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0000FF"/>
        </w:rPr>
        <w:t>03/30/2022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0589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2022-03-30T16:50:31Z</dcterms:created>
  <dcterms:modified xsi:type="dcterms:W3CDTF">2022-03-30T16:50:31Z</dcterms:modified>
</cp:coreProperties>
</file>