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8984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8984615"/>
                    </a:xfrm>
                    <a:prstGeom prst="rect">
                      <a:avLst/>
                    </a:prstGeom>
                    <a:noFill/>
                  </pic:spPr>
                </pic:pic>
              </a:graphicData>
            </a:graphic>
          </wp:anchor>
        </w:drawing>
      </w:r>
    </w:p>
    <w:p>
      <w:pPr>
        <w:spacing w:after="0" w:line="117" w:lineRule="exact"/>
        <w:rPr>
          <w:sz w:val="24"/>
          <w:szCs w:val="24"/>
          <w:color w:val="auto"/>
        </w:rPr>
      </w:pPr>
    </w:p>
    <w:p>
      <w:pPr>
        <w:sectPr>
          <w:pgSz w:w="11900" w:h="16885" w:orient="portrait"/>
          <w:cols w:equalWidth="0" w:num="2">
            <w:col w:w="2360" w:space="300"/>
            <w:col w:w="8860"/>
          </w:cols>
          <w:pgMar w:left="240" w:top="219"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GENTRY FRANK T</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right="1071"/>
        <w:spacing w:after="0" w:line="368" w:lineRule="auto"/>
        <w:rPr>
          <w:sz w:val="20"/>
          <w:szCs w:val="20"/>
          <w:color w:val="auto"/>
        </w:rPr>
      </w:pPr>
      <w:r>
        <w:rPr>
          <w:rFonts w:ascii="Times New Roman" w:cs="Times New Roman" w:eastAsia="Times New Roman" w:hAnsi="Times New Roman"/>
          <w:sz w:val="17"/>
          <w:szCs w:val="17"/>
          <w:color w:val="0000FF"/>
        </w:rPr>
        <w:t>2000 WATERS EDGE DRIVE BUILDING C, SUITE 12</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ind w:left="369" w:hanging="369"/>
        <w:spacing w:after="0"/>
        <w:tabs>
          <w:tab w:leader="none" w:pos="369" w:val="left"/>
        </w:tabs>
        <w:numPr>
          <w:ilvl w:val="0"/>
          <w:numId w:val="1"/>
        </w:numPr>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11/18/2013</w:t>
      </w:r>
    </w:p>
    <w:p>
      <w:pPr>
        <w:spacing w:after="0" w:line="20" w:lineRule="exact"/>
        <w:rPr>
          <w:sz w:val="24"/>
          <w:szCs w:val="24"/>
          <w:color w:val="auto"/>
        </w:rPr>
      </w:pPr>
      <w:r>
        <w:rPr>
          <w:sz w:val="24"/>
          <w:szCs w:val="24"/>
          <w:color w:val="auto"/>
        </w:rPr>
        <w:br w:type="column"/>
      </w:r>
    </w:p>
    <w:p>
      <w:pPr>
        <w:ind w:left="6" w:right="640" w:hanging="6"/>
        <w:spacing w:after="0" w:line="269" w:lineRule="auto"/>
        <w:tabs>
          <w:tab w:leader="none" w:pos="155"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6"/>
        <w:spacing w:after="0"/>
        <w:rPr>
          <w:sz w:val="20"/>
          <w:szCs w:val="20"/>
          <w:color w:val="auto"/>
        </w:rPr>
      </w:pPr>
      <w:r>
        <w:rPr>
          <w:rFonts w:ascii="Times New Roman" w:cs="Times New Roman" w:eastAsia="Times New Roman" w:hAnsi="Times New Roman"/>
          <w:sz w:val="17"/>
          <w:szCs w:val="17"/>
          <w:color w:val="0000FF"/>
        </w:rPr>
        <w:t>SVP - Managing Director</w:t>
      </w:r>
    </w:p>
    <w:p>
      <w:pPr>
        <w:spacing w:after="0" w:line="567" w:lineRule="exact"/>
        <w:rPr>
          <w:sz w:val="24"/>
          <w:szCs w:val="24"/>
          <w:color w:val="auto"/>
        </w:rPr>
      </w:pPr>
    </w:p>
    <w:p>
      <w:pPr>
        <w:sectPr>
          <w:pgSz w:w="11900" w:h="16885" w:orient="portrait"/>
          <w:cols w:equalWidth="0" w:num="3">
            <w:col w:w="3351" w:space="720"/>
            <w:col w:w="3263" w:space="720"/>
            <w:col w:w="3466"/>
          </w:cols>
          <w:pgMar w:left="240" w:top="219" w:right="139" w:bottom="0" w:gutter="0" w:footer="0" w:header="0"/>
          <w:type w:val="continuous"/>
        </w:sectPr>
      </w:pPr>
    </w:p>
    <w:p>
      <w:pPr>
        <w:spacing w:after="0" w:line="134"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JOHNSON</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TN</w:t>
            </w:r>
          </w:p>
        </w:tc>
        <w:tc>
          <w:tcPr>
            <w:tcW w:w="168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37604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10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8"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500" w:lineRule="exact"/>
        <w:rPr>
          <w:sz w:val="24"/>
          <w:szCs w:val="24"/>
          <w:color w:val="auto"/>
        </w:rPr>
      </w:pPr>
    </w:p>
    <w:p>
      <w:pPr>
        <w:sectPr>
          <w:pgSz w:w="11900" w:h="16885" w:orient="portrait"/>
          <w:cols w:equalWidth="0" w:num="2">
            <w:col w:w="3920" w:space="160"/>
            <w:col w:w="7440"/>
          </w:cols>
          <w:pgMar w:left="240" w:top="219"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40" w:type="dxa"/>
            <w:vAlign w:val="bottom"/>
          </w:tcPr>
          <w:p>
            <w:pPr>
              <w:ind w:left="80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40" w:type="dxa"/>
            <w:vAlign w:val="bottom"/>
          </w:tcPr>
          <w:p>
            <w:pPr>
              <w:jc w:val="center"/>
              <w:ind w:left="6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5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5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40" w:type="dxa"/>
            <w:vAlign w:val="bottom"/>
          </w:tcPr>
          <w:p>
            <w:pPr>
              <w:jc w:val="center"/>
              <w:ind w:left="660"/>
              <w:spacing w:after="0"/>
              <w:rPr>
                <w:sz w:val="20"/>
                <w:szCs w:val="20"/>
                <w:color w:val="auto"/>
              </w:rPr>
            </w:pPr>
            <w:r>
              <w:rPr>
                <w:rFonts w:ascii="Times New Roman" w:cs="Times New Roman" w:eastAsia="Times New Roman" w:hAnsi="Times New Roman"/>
                <w:sz w:val="17"/>
                <w:szCs w:val="17"/>
                <w:color w:val="0000FF"/>
              </w:rPr>
              <w:t>11/18/2013</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10,900</w:t>
            </w:r>
          </w:p>
        </w:tc>
        <w:tc>
          <w:tcPr>
            <w:tcW w:w="5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12.12</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67,000</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40" w:type="dxa"/>
            <w:vAlign w:val="bottom"/>
            <w:tcBorders>
              <w:bottom w:val="single" w:sz="8" w:color="2C2C2C"/>
            </w:tcBorders>
          </w:tcPr>
          <w:p>
            <w:pPr>
              <w:jc w:val="center"/>
              <w:ind w:left="660"/>
              <w:spacing w:after="0"/>
              <w:rPr>
                <w:sz w:val="20"/>
                <w:szCs w:val="20"/>
                <w:color w:val="auto"/>
              </w:rPr>
            </w:pPr>
            <w:r>
              <w:rPr>
                <w:rFonts w:ascii="Times New Roman" w:cs="Times New Roman" w:eastAsia="Times New Roman" w:hAnsi="Times New Roman"/>
                <w:sz w:val="17"/>
                <w:szCs w:val="17"/>
                <w:color w:val="0000FF"/>
              </w:rPr>
              <w:t>11/18/2013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10,900</w:t>
            </w:r>
          </w:p>
        </w:tc>
        <w:tc>
          <w:tcPr>
            <w:tcW w:w="5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17.72</w:t>
            </w:r>
            <w:r>
              <w:rPr>
                <w:rFonts w:ascii="Times New Roman" w:cs="Times New Roman" w:eastAsia="Times New Roman" w:hAnsi="Times New Roman"/>
                <w:sz w:val="22"/>
                <w:szCs w:val="22"/>
                <w:color w:val="008000"/>
                <w:w w:val="95"/>
                <w:vertAlign w:val="superscript"/>
              </w:rPr>
              <w:t>(1)</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56,100</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5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40" w:type="dxa"/>
            <w:vAlign w:val="bottom"/>
          </w:tcPr>
          <w:p>
            <w:pPr>
              <w:jc w:val="center"/>
              <w:ind w:left="660"/>
              <w:spacing w:after="0"/>
              <w:rPr>
                <w:sz w:val="20"/>
                <w:szCs w:val="20"/>
                <w:color w:val="auto"/>
              </w:rPr>
            </w:pPr>
            <w:r>
              <w:rPr>
                <w:rFonts w:ascii="Times New Roman" w:cs="Times New Roman" w:eastAsia="Times New Roman" w:hAnsi="Times New Roman"/>
                <w:sz w:val="17"/>
                <w:szCs w:val="17"/>
                <w:color w:val="0000FF"/>
              </w:rPr>
              <w:t>11/18/2013</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3,100</w:t>
            </w:r>
          </w:p>
        </w:tc>
        <w:tc>
          <w:tcPr>
            <w:tcW w:w="5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9.36</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59,200</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40" w:type="dxa"/>
            <w:vAlign w:val="bottom"/>
            <w:tcBorders>
              <w:bottom w:val="single" w:sz="8" w:color="2C2C2C"/>
            </w:tcBorders>
          </w:tcPr>
          <w:p>
            <w:pPr>
              <w:jc w:val="center"/>
              <w:ind w:left="660"/>
              <w:spacing w:after="0"/>
              <w:rPr>
                <w:sz w:val="20"/>
                <w:szCs w:val="20"/>
                <w:color w:val="auto"/>
              </w:rPr>
            </w:pPr>
            <w:r>
              <w:rPr>
                <w:rFonts w:ascii="Times New Roman" w:cs="Times New Roman" w:eastAsia="Times New Roman" w:hAnsi="Times New Roman"/>
                <w:sz w:val="17"/>
                <w:szCs w:val="17"/>
                <w:color w:val="0000FF"/>
              </w:rPr>
              <w:t>11/18/2013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3,100</w:t>
            </w:r>
          </w:p>
        </w:tc>
        <w:tc>
          <w:tcPr>
            <w:tcW w:w="5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17.68</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56,100</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5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40" w:type="dxa"/>
            <w:vAlign w:val="bottom"/>
          </w:tcPr>
          <w:p>
            <w:pPr>
              <w:jc w:val="center"/>
              <w:ind w:left="660"/>
              <w:spacing w:after="0"/>
              <w:rPr>
                <w:sz w:val="20"/>
                <w:szCs w:val="20"/>
                <w:color w:val="auto"/>
              </w:rPr>
            </w:pPr>
            <w:r>
              <w:rPr>
                <w:rFonts w:ascii="Times New Roman" w:cs="Times New Roman" w:eastAsia="Times New Roman" w:hAnsi="Times New Roman"/>
                <w:sz w:val="17"/>
                <w:szCs w:val="17"/>
                <w:color w:val="0000FF"/>
              </w:rPr>
              <w:t>11/19/2013</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8,900</w:t>
            </w:r>
          </w:p>
        </w:tc>
        <w:tc>
          <w:tcPr>
            <w:tcW w:w="5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9.36</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65,000</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40" w:type="dxa"/>
            <w:vAlign w:val="bottom"/>
            <w:tcBorders>
              <w:bottom w:val="single" w:sz="8" w:color="2C2C2C"/>
            </w:tcBorders>
          </w:tcPr>
          <w:p>
            <w:pPr>
              <w:jc w:val="center"/>
              <w:ind w:left="660"/>
              <w:spacing w:after="0"/>
              <w:rPr>
                <w:sz w:val="20"/>
                <w:szCs w:val="20"/>
                <w:color w:val="auto"/>
              </w:rPr>
            </w:pPr>
            <w:r>
              <w:rPr>
                <w:rFonts w:ascii="Times New Roman" w:cs="Times New Roman" w:eastAsia="Times New Roman" w:hAnsi="Times New Roman"/>
                <w:sz w:val="17"/>
                <w:szCs w:val="17"/>
                <w:color w:val="0000FF"/>
              </w:rPr>
              <w:t>11/19/2013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8,900</w:t>
            </w:r>
          </w:p>
        </w:tc>
        <w:tc>
          <w:tcPr>
            <w:tcW w:w="5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17.99</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56,100</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5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40" w:type="dxa"/>
            <w:vAlign w:val="bottom"/>
          </w:tcPr>
          <w:p>
            <w:pPr>
              <w:jc w:val="center"/>
              <w:ind w:left="660"/>
              <w:spacing w:after="0"/>
              <w:rPr>
                <w:sz w:val="20"/>
                <w:szCs w:val="20"/>
                <w:color w:val="auto"/>
              </w:rPr>
            </w:pPr>
            <w:r>
              <w:rPr>
                <w:rFonts w:ascii="Times New Roman" w:cs="Times New Roman" w:eastAsia="Times New Roman" w:hAnsi="Times New Roman"/>
                <w:sz w:val="17"/>
                <w:szCs w:val="17"/>
                <w:color w:val="0000FF"/>
              </w:rPr>
              <w:t>11/19/2013</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5,000</w:t>
            </w:r>
          </w:p>
        </w:tc>
        <w:tc>
          <w:tcPr>
            <w:tcW w:w="5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8.86</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61,100</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40" w:type="dxa"/>
            <w:vAlign w:val="bottom"/>
            <w:tcBorders>
              <w:bottom w:val="single" w:sz="8" w:color="2C2C2C"/>
            </w:tcBorders>
          </w:tcPr>
          <w:p>
            <w:pPr>
              <w:jc w:val="center"/>
              <w:ind w:left="660"/>
              <w:spacing w:after="0"/>
              <w:rPr>
                <w:sz w:val="20"/>
                <w:szCs w:val="20"/>
                <w:color w:val="auto"/>
              </w:rPr>
            </w:pPr>
            <w:r>
              <w:rPr>
                <w:rFonts w:ascii="Times New Roman" w:cs="Times New Roman" w:eastAsia="Times New Roman" w:hAnsi="Times New Roman"/>
                <w:sz w:val="17"/>
                <w:szCs w:val="17"/>
                <w:color w:val="0000FF"/>
              </w:rPr>
              <w:t>11/19/2013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5,000</w:t>
            </w:r>
          </w:p>
        </w:tc>
        <w:tc>
          <w:tcPr>
            <w:tcW w:w="5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18.06</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56,100</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8,561</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Karen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Gentry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60" w:type="dxa"/>
            <w:vAlign w:val="bottom"/>
            <w:tcBorders>
              <w:top w:val="single" w:sz="8" w:color="808080"/>
            </w:tcBorders>
            <w:shd w:val="clear" w:color="auto" w:fill="2C2C2C"/>
          </w:tcPr>
          <w:p>
            <w:pPr>
              <w:spacing w:after="0" w:line="20" w:lineRule="exact"/>
              <w:rPr>
                <w:sz w:val="1"/>
                <w:szCs w:val="1"/>
                <w:color w:val="auto"/>
              </w:rPr>
            </w:pPr>
          </w:p>
        </w:tc>
        <w:tc>
          <w:tcPr>
            <w:tcW w:w="18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80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12.12</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11/18/2013</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20" w:type="dxa"/>
            <w:vAlign w:val="bottom"/>
          </w:tcPr>
          <w:p>
            <w:pPr>
              <w:jc w:val="center"/>
              <w:ind w:left="258"/>
              <w:spacing w:after="0"/>
              <w:rPr>
                <w:sz w:val="20"/>
                <w:szCs w:val="20"/>
                <w:color w:val="auto"/>
              </w:rPr>
            </w:pPr>
            <w:r>
              <w:rPr>
                <w:rFonts w:ascii="Times New Roman" w:cs="Times New Roman" w:eastAsia="Times New Roman" w:hAnsi="Times New Roman"/>
                <w:sz w:val="13"/>
                <w:szCs w:val="13"/>
                <w:color w:val="0000FF"/>
              </w:rPr>
              <w:t>10,900</w:t>
            </w:r>
          </w:p>
        </w:tc>
        <w:tc>
          <w:tcPr>
            <w:tcW w:w="82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05/27/2017</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jc w:val="center"/>
              <w:ind w:right="8"/>
              <w:spacing w:after="0"/>
              <w:rPr>
                <w:sz w:val="20"/>
                <w:szCs w:val="20"/>
                <w:color w:val="auto"/>
              </w:rPr>
            </w:pPr>
            <w:r>
              <w:rPr>
                <w:rFonts w:ascii="Times New Roman" w:cs="Times New Roman" w:eastAsia="Times New Roman" w:hAnsi="Times New Roman"/>
                <w:sz w:val="17"/>
                <w:szCs w:val="17"/>
                <w:color w:val="0000FF"/>
              </w:rPr>
              <w:t>10,900</w:t>
            </w:r>
          </w:p>
        </w:tc>
        <w:tc>
          <w:tcPr>
            <w:tcW w:w="720" w:type="dxa"/>
            <w:vAlign w:val="bottom"/>
          </w:tcPr>
          <w:p>
            <w:pPr>
              <w:jc w:val="center"/>
              <w:spacing w:after="0"/>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3"/>
                <w:szCs w:val="13"/>
                <w:color w:val="0000FF"/>
                <w:w w:val="90"/>
              </w:rPr>
              <w:t>0</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w:t>
            </w:r>
          </w:p>
        </w:tc>
        <w:tc>
          <w:tcPr>
            <w:tcW w:w="7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720" w:type="dxa"/>
            <w:vAlign w:val="bottom"/>
          </w:tcPr>
          <w:p>
            <w:pPr>
              <w:ind w:left="60"/>
              <w:spacing w:after="0" w:line="95" w:lineRule="exact"/>
              <w:rPr>
                <w:sz w:val="20"/>
                <w:szCs w:val="20"/>
                <w:color w:val="auto"/>
              </w:rPr>
            </w:pPr>
            <w:r>
              <w:rPr>
                <w:rFonts w:ascii="Times New Roman" w:cs="Times New Roman" w:eastAsia="Times New Roman" w:hAnsi="Times New Roman"/>
                <w:sz w:val="10"/>
                <w:szCs w:val="10"/>
                <w:color w:val="0000FF"/>
              </w:rPr>
              <w:t>(Right to</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Times New Roman" w:cs="Times New Roman" w:eastAsia="Times New Roman" w:hAnsi="Times New Roman"/>
                <w:sz w:val="10"/>
                <w:szCs w:val="10"/>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Options</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9.36</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11/18/2013</w:t>
            </w:r>
          </w:p>
        </w:tc>
        <w:tc>
          <w:tcPr>
            <w:tcW w:w="1120" w:type="dxa"/>
            <w:vAlign w:val="bottom"/>
          </w:tcPr>
          <w:p>
            <w:pPr>
              <w:spacing w:after="0"/>
              <w:rPr>
                <w:sz w:val="12"/>
                <w:szCs w:val="12"/>
                <w:color w:val="auto"/>
              </w:rPr>
            </w:pP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20" w:type="dxa"/>
            <w:vAlign w:val="bottom"/>
            <w:vMerge w:val="restart"/>
          </w:tcPr>
          <w:p>
            <w:pPr>
              <w:jc w:val="center"/>
              <w:ind w:left="258"/>
              <w:spacing w:after="0"/>
              <w:rPr>
                <w:sz w:val="20"/>
                <w:szCs w:val="20"/>
                <w:color w:val="auto"/>
              </w:rPr>
            </w:pPr>
            <w:r>
              <w:rPr>
                <w:rFonts w:ascii="Times New Roman" w:cs="Times New Roman" w:eastAsia="Times New Roman" w:hAnsi="Times New Roman"/>
                <w:sz w:val="13"/>
                <w:szCs w:val="13"/>
                <w:color w:val="0000FF"/>
              </w:rPr>
              <w:t>3,100</w:t>
            </w: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03/06/2018</w:t>
            </w:r>
          </w:p>
        </w:tc>
        <w:tc>
          <w:tcPr>
            <w:tcW w:w="70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3,100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3"/>
                <w:szCs w:val="13"/>
                <w:color w:val="0000FF"/>
                <w:w w:val="90"/>
              </w:rPr>
              <w:t>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8,900</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720" w:type="dxa"/>
            <w:vAlign w:val="bottom"/>
            <w:vMerge w:val="restart"/>
          </w:tcPr>
          <w:p>
            <w:pPr>
              <w:ind w:left="60"/>
              <w:spacing w:after="0" w:line="147"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restart"/>
          </w:tcPr>
          <w:p>
            <w:pPr>
              <w:ind w:left="16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Options</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9.36</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11/19/2013</w:t>
            </w:r>
          </w:p>
        </w:tc>
        <w:tc>
          <w:tcPr>
            <w:tcW w:w="1120" w:type="dxa"/>
            <w:vAlign w:val="bottom"/>
          </w:tcPr>
          <w:p>
            <w:pPr>
              <w:spacing w:after="0"/>
              <w:rPr>
                <w:sz w:val="12"/>
                <w:szCs w:val="12"/>
                <w:color w:val="auto"/>
              </w:rPr>
            </w:pP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20" w:type="dxa"/>
            <w:vAlign w:val="bottom"/>
            <w:vMerge w:val="restart"/>
          </w:tcPr>
          <w:p>
            <w:pPr>
              <w:jc w:val="center"/>
              <w:ind w:left="258"/>
              <w:spacing w:after="0"/>
              <w:rPr>
                <w:sz w:val="20"/>
                <w:szCs w:val="20"/>
                <w:color w:val="auto"/>
              </w:rPr>
            </w:pPr>
            <w:r>
              <w:rPr>
                <w:rFonts w:ascii="Times New Roman" w:cs="Times New Roman" w:eastAsia="Times New Roman" w:hAnsi="Times New Roman"/>
                <w:sz w:val="13"/>
                <w:szCs w:val="13"/>
                <w:color w:val="0000FF"/>
              </w:rPr>
              <w:t>8,900</w:t>
            </w: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03/06/2018</w:t>
            </w:r>
          </w:p>
        </w:tc>
        <w:tc>
          <w:tcPr>
            <w:tcW w:w="70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8,900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3"/>
                <w:szCs w:val="13"/>
                <w:color w:val="0000FF"/>
                <w:w w:val="90"/>
              </w:rPr>
              <w:t>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720" w:type="dxa"/>
            <w:vAlign w:val="bottom"/>
            <w:vMerge w:val="restart"/>
          </w:tcPr>
          <w:p>
            <w:pPr>
              <w:ind w:left="60"/>
              <w:spacing w:after="0" w:line="147"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restart"/>
          </w:tcPr>
          <w:p>
            <w:pPr>
              <w:ind w:left="16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Options</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8.86</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11/19/2013</w:t>
            </w:r>
          </w:p>
        </w:tc>
        <w:tc>
          <w:tcPr>
            <w:tcW w:w="1120" w:type="dxa"/>
            <w:vAlign w:val="bottom"/>
          </w:tcPr>
          <w:p>
            <w:pPr>
              <w:spacing w:after="0"/>
              <w:rPr>
                <w:sz w:val="12"/>
                <w:szCs w:val="12"/>
                <w:color w:val="auto"/>
              </w:rPr>
            </w:pP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20" w:type="dxa"/>
            <w:vAlign w:val="bottom"/>
            <w:vMerge w:val="restart"/>
          </w:tcPr>
          <w:p>
            <w:pPr>
              <w:jc w:val="center"/>
              <w:ind w:left="258"/>
              <w:spacing w:after="0"/>
              <w:rPr>
                <w:sz w:val="20"/>
                <w:szCs w:val="20"/>
                <w:color w:val="auto"/>
              </w:rPr>
            </w:pPr>
            <w:r>
              <w:rPr>
                <w:rFonts w:ascii="Times New Roman" w:cs="Times New Roman" w:eastAsia="Times New Roman" w:hAnsi="Times New Roman"/>
                <w:sz w:val="13"/>
                <w:szCs w:val="13"/>
                <w:color w:val="0000FF"/>
              </w:rPr>
              <w:t>5,000</w:t>
            </w: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03/21/2022</w:t>
            </w:r>
          </w:p>
        </w:tc>
        <w:tc>
          <w:tcPr>
            <w:tcW w:w="70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3"/>
                <w:szCs w:val="13"/>
                <w:color w:val="0000FF"/>
                <w:w w:val="90"/>
              </w:rPr>
              <w:t>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10,000</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300" w:firstLine="8"/>
        <w:spacing w:after="0" w:line="275" w:lineRule="auto"/>
        <w:tabs>
          <w:tab w:leader="none" w:pos="174"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$17.65 to $17.77, inclusive. The reporting person undertakes to provide to NN, Inc., any security holder of NN, Inc., or the staff of the Securities and Exchange Commission, upon request, full information regarding the number of shares sold at each separate price within the range set</w:t>
      </w:r>
    </w:p>
    <w:p>
      <w:pPr>
        <w:sectPr>
          <w:pgSz w:w="11900" w:h="16885" w:orient="portrait"/>
          <w:cols w:equalWidth="0" w:num="1">
            <w:col w:w="11520"/>
          </w:cols>
          <w:pgMar w:left="240" w:top="219" w:right="1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forth in footnotes (1) through (4).</w:t>
      </w:r>
    </w:p>
    <w:p>
      <w:pPr>
        <w:spacing w:after="0" w:line="52" w:lineRule="exact"/>
        <w:rPr>
          <w:sz w:val="20"/>
          <w:szCs w:val="20"/>
          <w:color w:val="auto"/>
        </w:rPr>
      </w:pPr>
    </w:p>
    <w:p>
      <w:pPr>
        <w:ind w:left="140" w:hanging="132"/>
        <w:spacing w:after="0"/>
        <w:tabs>
          <w:tab w:leader="none" w:pos="14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$17.65 to $17.70, inclusive.</w:t>
      </w:r>
    </w:p>
    <w:p>
      <w:pPr>
        <w:spacing w:after="0" w:line="51" w:lineRule="exact"/>
        <w:rPr>
          <w:rFonts w:ascii="Times New Roman" w:cs="Times New Roman" w:eastAsia="Times New Roman" w:hAnsi="Times New Roman"/>
          <w:sz w:val="13"/>
          <w:szCs w:val="13"/>
          <w:color w:val="008000"/>
        </w:rPr>
      </w:pPr>
    </w:p>
    <w:p>
      <w:pPr>
        <w:ind w:left="140" w:hanging="132"/>
        <w:spacing w:after="0"/>
        <w:tabs>
          <w:tab w:leader="none" w:pos="14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$17.95 to $18.01, inclusive.</w:t>
      </w:r>
    </w:p>
    <w:p>
      <w:pPr>
        <w:spacing w:after="0" w:line="51" w:lineRule="exact"/>
        <w:rPr>
          <w:rFonts w:ascii="Times New Roman" w:cs="Times New Roman" w:eastAsia="Times New Roman" w:hAnsi="Times New Roman"/>
          <w:sz w:val="13"/>
          <w:szCs w:val="13"/>
          <w:color w:val="008000"/>
        </w:rPr>
      </w:pPr>
    </w:p>
    <w:p>
      <w:pPr>
        <w:ind w:left="140" w:hanging="132"/>
        <w:spacing w:after="0"/>
        <w:tabs>
          <w:tab w:leader="none" w:pos="14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$18.00 to $18.10, inclusive.</w:t>
      </w:r>
    </w:p>
    <w:p>
      <w:pPr>
        <w:spacing w:after="0" w:line="51" w:lineRule="exact"/>
        <w:rPr>
          <w:rFonts w:ascii="Times New Roman" w:cs="Times New Roman" w:eastAsia="Times New Roman" w:hAnsi="Times New Roman"/>
          <w:sz w:val="13"/>
          <w:szCs w:val="13"/>
          <w:color w:val="008000"/>
        </w:rPr>
      </w:pPr>
    </w:p>
    <w:p>
      <w:pPr>
        <w:ind w:left="140" w:hanging="132"/>
        <w:spacing w:after="0"/>
        <w:tabs>
          <w:tab w:leader="none" w:pos="14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became exercisable in three annual installments beginning on May 27, 2008, which was the first anniversary of the date on which the option was granted.</w:t>
      </w:r>
    </w:p>
    <w:p>
      <w:pPr>
        <w:spacing w:after="0" w:line="51" w:lineRule="exact"/>
        <w:rPr>
          <w:rFonts w:ascii="Times New Roman" w:cs="Times New Roman" w:eastAsia="Times New Roman" w:hAnsi="Times New Roman"/>
          <w:sz w:val="13"/>
          <w:szCs w:val="13"/>
          <w:color w:val="008000"/>
        </w:rPr>
      </w:pPr>
    </w:p>
    <w:p>
      <w:pPr>
        <w:ind w:left="140" w:hanging="132"/>
        <w:spacing w:after="0"/>
        <w:tabs>
          <w:tab w:leader="none" w:pos="14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became exercisable in three annual installments beginning on March 6, 2009, which was the first anniversary of the date on which the option was granted.</w:t>
      </w:r>
    </w:p>
    <w:p>
      <w:pPr>
        <w:spacing w:after="0" w:line="51" w:lineRule="exact"/>
        <w:rPr>
          <w:rFonts w:ascii="Times New Roman" w:cs="Times New Roman" w:eastAsia="Times New Roman" w:hAnsi="Times New Roman"/>
          <w:sz w:val="13"/>
          <w:szCs w:val="13"/>
          <w:color w:val="008000"/>
        </w:rPr>
      </w:pPr>
    </w:p>
    <w:p>
      <w:pPr>
        <w:ind w:left="140" w:hanging="132"/>
        <w:spacing w:after="0"/>
        <w:tabs>
          <w:tab w:leader="none" w:pos="14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became exercisable in three annual installments beginning on March 21, 2013, which was the first anniversary of the date on which the option was granted.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40"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William C. Kelly, Jr., by</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11/20/2013</w:t>
            </w: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0000FF"/>
              </w:rPr>
              <w:t>Power of Attorney</w:t>
            </w:r>
          </w:p>
        </w:tc>
        <w:tc>
          <w:tcPr>
            <w:tcW w:w="600" w:type="dxa"/>
            <w:vAlign w:val="bottom"/>
            <w:tcBorders>
              <w:top w:val="single" w:sz="8" w:color="auto"/>
              <w:bottom w:val="single" w:sz="8" w:color="auto"/>
            </w:tcBorders>
            <w:vMerge w:val="restart"/>
          </w:tcPr>
          <w:p>
            <w:pPr>
              <w:spacing w:after="0"/>
              <w:rPr>
                <w:sz w:val="7"/>
                <w:szCs w:val="7"/>
                <w:color w:val="auto"/>
              </w:rPr>
            </w:pPr>
          </w:p>
        </w:tc>
        <w:tc>
          <w:tcPr>
            <w:tcW w:w="4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300" w:type="dxa"/>
            <w:vAlign w:val="bottom"/>
            <w:tcBorders>
              <w:bottom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27"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40"/>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26"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2019-12-17T06:01:23Z</dcterms:created>
  <dcterms:modified xsi:type="dcterms:W3CDTF">2019-12-17T06:01:23Z</dcterms:modified>
</cp:coreProperties>
</file>