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jc w:val="center"/>
        <w:ind w:right="1836"/>
        <w:spacing w:after="0"/>
        <w:rPr>
          <w:sz w:val="20"/>
          <w:szCs w:val="20"/>
          <w:color w:val="auto"/>
        </w:rPr>
      </w:pPr>
      <w:r>
        <w:rPr>
          <w:rFonts w:ascii="Arial" w:cs="Arial" w:eastAsia="Arial" w:hAnsi="Arial"/>
          <w:sz w:val="18"/>
          <w:szCs w:val="18"/>
          <w:b w:val="1"/>
          <w:bCs w:val="1"/>
          <w:color w:val="auto"/>
        </w:rPr>
        <w:t>6210 Ardrey Kell Road</w:t>
      </w:r>
    </w:p>
    <w:p>
      <w:pPr>
        <w:spacing w:after="0" w:line="27" w:lineRule="exact"/>
        <w:rPr>
          <w:sz w:val="24"/>
          <w:szCs w:val="24"/>
          <w:color w:val="auto"/>
        </w:rPr>
      </w:pPr>
    </w:p>
    <w:p>
      <w:pPr>
        <w:jc w:val="center"/>
        <w:ind w:right="1836"/>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28277</w:t>
      </w:r>
    </w:p>
    <w:p>
      <w:pPr>
        <w:spacing w:after="0" w:line="62"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4"/>
          </w:cols>
          <w:pgMar w:left="436" w:top="368" w:right="439" w:bottom="1440" w:gutter="0" w:footer="0" w:header="0"/>
          <w:type w:val="continuous"/>
        </w:sectPr>
      </w:pPr>
    </w:p>
    <w:p>
      <w:pPr>
        <w:spacing w:after="0" w:line="238"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644" w:type="dxa"/>
        <w:tblCellMar>
          <w:top w:w="0" w:type="dxa"/>
          <w:left w:w="0" w:type="dxa"/>
          <w:bottom w:w="0" w:type="dxa"/>
          <w:right w:w="0" w:type="dxa"/>
        </w:tblCellMar>
      </w:tblPr>
      <w:tr>
        <w:trPr>
          <w:trHeight w:val="171"/>
        </w:trPr>
        <w:tc>
          <w:tcPr>
            <w:tcW w:w="680" w:type="dxa"/>
            <w:vAlign w:val="bottom"/>
            <w:vMerge w:val="restart"/>
          </w:tcPr>
          <w:p>
            <w:pPr>
              <w:spacing w:after="0"/>
              <w:rPr>
                <w:sz w:val="20"/>
                <w:szCs w:val="20"/>
                <w:color w:val="auto"/>
              </w:rPr>
            </w:pPr>
            <w:r>
              <w:rPr>
                <w:rFonts w:ascii="Arial" w:cs="Arial" w:eastAsia="Arial" w:hAnsi="Arial"/>
                <w:sz w:val="18"/>
                <w:szCs w:val="18"/>
                <w:b w:val="1"/>
                <w:bCs w:val="1"/>
                <w:color w:val="auto"/>
                <w:w w:val="84"/>
              </w:rPr>
              <w:t>Common</w:t>
            </w:r>
          </w:p>
        </w:tc>
        <w:tc>
          <w:tcPr>
            <w:tcW w:w="1100" w:type="dxa"/>
            <w:vAlign w:val="bottom"/>
          </w:tcPr>
          <w:p>
            <w:pPr>
              <w:spacing w:after="0"/>
              <w:rPr>
                <w:sz w:val="20"/>
                <w:szCs w:val="20"/>
                <w:color w:val="auto"/>
              </w:rPr>
            </w:pPr>
            <w:r>
              <w:rPr>
                <w:rFonts w:ascii="Arial" w:cs="Arial" w:eastAsia="Arial" w:hAnsi="Arial"/>
                <w:sz w:val="14"/>
                <w:szCs w:val="14"/>
                <w:b w:val="1"/>
                <w:bCs w:val="1"/>
                <w:color w:val="auto"/>
                <w:w w:val="89"/>
              </w:rPr>
              <w:t>Title of each class</w:t>
            </w:r>
          </w:p>
        </w:tc>
        <w:tc>
          <w:tcPr>
            <w:tcW w:w="1700" w:type="dxa"/>
            <w:vAlign w:val="bottom"/>
          </w:tcPr>
          <w:p>
            <w:pPr>
              <w:spacing w:after="0"/>
              <w:rPr>
                <w:sz w:val="14"/>
                <w:szCs w:val="14"/>
                <w:color w:val="auto"/>
              </w:rPr>
            </w:pPr>
          </w:p>
        </w:tc>
        <w:tc>
          <w:tcPr>
            <w:tcW w:w="2000" w:type="dxa"/>
            <w:vAlign w:val="bottom"/>
            <w:gridSpan w:val="2"/>
          </w:tcPr>
          <w:p>
            <w:pPr>
              <w:jc w:val="center"/>
              <w:ind w:left="928"/>
              <w:spacing w:after="0"/>
              <w:rPr>
                <w:sz w:val="20"/>
                <w:szCs w:val="20"/>
                <w:color w:val="auto"/>
              </w:rPr>
            </w:pPr>
            <w:r>
              <w:rPr>
                <w:rFonts w:ascii="Arial" w:cs="Arial" w:eastAsia="Arial" w:hAnsi="Arial"/>
                <w:sz w:val="14"/>
                <w:szCs w:val="14"/>
                <w:b w:val="1"/>
                <w:bCs w:val="1"/>
                <w:color w:val="auto"/>
                <w:w w:val="92"/>
              </w:rPr>
              <w:t>Trading symbol</w:t>
            </w:r>
          </w:p>
        </w:tc>
        <w:tc>
          <w:tcPr>
            <w:tcW w:w="4480" w:type="dxa"/>
            <w:vAlign w:val="bottom"/>
            <w:gridSpan w:val="2"/>
          </w:tcPr>
          <w:p>
            <w:pPr>
              <w:jc w:val="center"/>
              <w:ind w:left="1708"/>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680" w:type="dxa"/>
            <w:vAlign w:val="bottom"/>
            <w:vMerge w:val="continue"/>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0" w:type="dxa"/>
            <w:vAlign w:val="bottom"/>
            <w:vMerge w:val="restart"/>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80" w:type="dxa"/>
            <w:vAlign w:val="bottom"/>
            <w:vMerge w:val="continue"/>
          </w:tcPr>
          <w:p>
            <w:pPr>
              <w:spacing w:after="0"/>
              <w:rPr>
                <w:sz w:val="19"/>
                <w:szCs w:val="19"/>
                <w:color w:val="auto"/>
              </w:rPr>
            </w:pPr>
          </w:p>
        </w:tc>
        <w:tc>
          <w:tcPr>
            <w:tcW w:w="2800" w:type="dxa"/>
            <w:vAlign w:val="bottom"/>
            <w:gridSpan w:val="2"/>
          </w:tcPr>
          <w:p>
            <w:pPr>
              <w:ind w:left="80"/>
              <w:spacing w:after="0"/>
              <w:rPr>
                <w:sz w:val="20"/>
                <w:szCs w:val="20"/>
                <w:color w:val="auto"/>
              </w:rPr>
            </w:pPr>
            <w:r>
              <w:rPr>
                <w:rFonts w:ascii="Arial" w:cs="Arial" w:eastAsia="Arial" w:hAnsi="Arial"/>
                <w:sz w:val="18"/>
                <w:szCs w:val="18"/>
                <w:b w:val="1"/>
                <w:bCs w:val="1"/>
                <w:color w:val="auto"/>
              </w:rPr>
              <w:t>Stock, par value $0.01</w:t>
            </w:r>
          </w:p>
        </w:tc>
        <w:tc>
          <w:tcPr>
            <w:tcW w:w="1020" w:type="dxa"/>
            <w:vAlign w:val="bottom"/>
            <w:vMerge w:val="continue"/>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NNBR</w:t>
            </w:r>
          </w:p>
        </w:tc>
        <w:tc>
          <w:tcPr>
            <w:tcW w:w="1800" w:type="dxa"/>
            <w:vAlign w:val="bottom"/>
            <w:vMerge w:val="continue"/>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76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12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4.01.</w:t>
      </w:r>
      <w:r>
        <w:rPr>
          <w:sz w:val="20"/>
          <w:szCs w:val="20"/>
          <w:color w:val="auto"/>
        </w:rPr>
        <w:tab/>
      </w:r>
      <w:r>
        <w:rPr>
          <w:rFonts w:ascii="Arial" w:cs="Arial" w:eastAsia="Arial" w:hAnsi="Arial"/>
          <w:sz w:val="18"/>
          <w:szCs w:val="18"/>
          <w:b w:val="1"/>
          <w:bCs w:val="1"/>
          <w:color w:val="auto"/>
        </w:rPr>
        <w:t>CHANGES IN REGISTRANT’S CERTIFYING ACCOUNTANT.</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Dismissal of Previous Independent Registered Public Accounting Firm</w:t>
      </w:r>
    </w:p>
    <w:p>
      <w:pPr>
        <w:spacing w:after="0" w:line="117" w:lineRule="exact"/>
        <w:rPr>
          <w:sz w:val="20"/>
          <w:szCs w:val="20"/>
          <w:color w:val="auto"/>
        </w:rPr>
      </w:pPr>
    </w:p>
    <w:p>
      <w:pPr>
        <w:ind w:left="4" w:right="580"/>
        <w:spacing w:after="0" w:line="277" w:lineRule="auto"/>
        <w:rPr>
          <w:sz w:val="20"/>
          <w:szCs w:val="20"/>
          <w:color w:val="auto"/>
        </w:rPr>
      </w:pPr>
      <w:r>
        <w:rPr>
          <w:rFonts w:ascii="Arial" w:cs="Arial" w:eastAsia="Arial" w:hAnsi="Arial"/>
          <w:sz w:val="18"/>
          <w:szCs w:val="18"/>
          <w:color w:val="auto"/>
        </w:rPr>
        <w:t>On May 29, 2020 the Audit Committee (the “Audit Committee”) of the Board of Directors of NN, Inc. (“we,” “our,” the “Company”) dismissed PricewaterhouseCoopers LLP (“PwC”) as the Company’s independent registered public accounting firm.</w:t>
      </w:r>
    </w:p>
    <w:p>
      <w:pPr>
        <w:spacing w:after="0" w:line="170"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The reports of PwC on the consolidated financial statements of the Company and its subsidiaries as of and for the fiscal years ended December 31, 2019 and 2018 did not contain an adverse opinion or a disclaimer of opinion and were not qualified or modified as to uncertainty, audit scope, or accounting principles.</w:t>
      </w:r>
    </w:p>
    <w:p>
      <w:pPr>
        <w:spacing w:after="0" w:line="184" w:lineRule="exact"/>
        <w:rPr>
          <w:sz w:val="20"/>
          <w:szCs w:val="20"/>
          <w:color w:val="auto"/>
        </w:rPr>
      </w:pPr>
    </w:p>
    <w:p>
      <w:pPr>
        <w:ind w:left="4" w:right="60"/>
        <w:spacing w:after="0" w:line="301" w:lineRule="auto"/>
        <w:rPr>
          <w:sz w:val="20"/>
          <w:szCs w:val="20"/>
          <w:color w:val="auto"/>
        </w:rPr>
      </w:pPr>
      <w:r>
        <w:rPr>
          <w:rFonts w:ascii="Arial" w:cs="Arial" w:eastAsia="Arial" w:hAnsi="Arial"/>
          <w:sz w:val="16"/>
          <w:szCs w:val="16"/>
          <w:color w:val="auto"/>
        </w:rPr>
        <w:t>During the fiscal years ended December 31, 2019 and 2018 and during the interim period through May 29, 2020 there were (i) no disagreements within the meaning of Item 304(a)(1)(iv) of Regulation S-K between the Company and PwC on any matter of accounting principles or practices, financial statement disclosure, or auditing scope or procedure, any of which, if not resolved to PwC’s satisfaction, would have caused PwC to make reference thereto in their reports, and (ii) no “reportable events” within the meaning of Item 304(a)(1)(v) of Regulation S-K, except as noted below.</w:t>
      </w:r>
    </w:p>
    <w:p>
      <w:pPr>
        <w:spacing w:after="0" w:line="157"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For the fiscal year ended December 31, 2019, the material weaknesses in the Company’s internal control over financial reporting previously reported in Item 9A of the Company’s Annual Report on Form 10-K for the fiscal year ended December 31, 2019 filed on March 16, 2020 related to (a) an ineffective control environment due to a lack of a sufficient complement of personnel with an appropriate level of knowledge, experience and training commensurate with our financial reporting requirements and (b) ineffective design and maintenance of monitoring controls over our Paragon Medical business, and these material weaknesses contributed to additional material weakness in that we (1) did not design and maintain effective internal controls over the accounting for transactions in the revenue and receivables business process within our Paragon Medical business to determine whether the transactions occurred and were complete and accurate, and (2) did not design and maintain effective controls over certain information technology general controls within our Paragon Medical business for information systems that are relevant to the preparation of our financial statements. Additionally, for the fiscal year ended December 31, 2019, we did not maintain effective control activities at one of our smaller foreign subsidiaries in which certain employees intentionally did not operate the controls related to inventory quantities as designed that resulted in the creation of unsupported physical inventory counts and inventory quantity adjustments.</w:t>
      </w:r>
    </w:p>
    <w:p>
      <w:pPr>
        <w:spacing w:after="0" w:line="182"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For the fiscal year ended December 31, 2018, the material weakness in the Company’s internal control over financial reporting previously reported in Item 9A of the Company’s Annual Report on Form 10-K for the fiscal year ended December 31, 2018 filed on March 18, 2019 related to an ineffective control environment due to a lack of a sufficient complement of personnel with an appropriate level of knowledge, experience and training commensurate with our financial reporting requirements.</w:t>
      </w:r>
    </w:p>
    <w:p>
      <w:pPr>
        <w:spacing w:after="0" w:line="187"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The Company provided PwC with a copy of the disclosures it is making in this Current Report on Form 8-K and requested that PwC furnish the Company with a letter addressed to the Securities and Exchange Commission stating whether it agrees with the statements made herein and, if not, stating the respects in which it does not agree. A copy of the letter provided by PwC, dated May 29, 2020, is filed as Exhibit 16.1 to this Current Report on Form 8-K.</w:t>
      </w:r>
    </w:p>
    <w:p>
      <w:pPr>
        <w:spacing w:after="0" w:line="335"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Appointment of New Independent Registered Public Accounting Firm</w:t>
      </w:r>
    </w:p>
    <w:p>
      <w:pPr>
        <w:spacing w:after="0" w:line="117" w:lineRule="exact"/>
        <w:rPr>
          <w:sz w:val="20"/>
          <w:szCs w:val="20"/>
          <w:color w:val="auto"/>
        </w:rPr>
      </w:pPr>
    </w:p>
    <w:p>
      <w:pPr>
        <w:ind w:left="4" w:right="20"/>
        <w:spacing w:after="0" w:line="275" w:lineRule="auto"/>
        <w:rPr>
          <w:sz w:val="20"/>
          <w:szCs w:val="20"/>
          <w:color w:val="auto"/>
        </w:rPr>
      </w:pPr>
      <w:r>
        <w:rPr>
          <w:rFonts w:ascii="Arial" w:cs="Arial" w:eastAsia="Arial" w:hAnsi="Arial"/>
          <w:sz w:val="17"/>
          <w:szCs w:val="17"/>
          <w:color w:val="auto"/>
        </w:rPr>
        <w:t>On May 29, 2020, the Audit Committee approved the engagement of Grant Thornton LLP (“Grant Thornton”) as the Company’s independent registered public accounting firm for the fiscal year ending December 31, 2020, effective immediately. During the Company’s two most recent fiscal years ended December 31, 2019 and 2018, and during the interim period through May 29, 2020, neither the Company nor anyone acting on its behalf consulted with Grant Thornton regarding any of the matters described in Items 304(a)(2)(i) and (ii) of Regulation S-K. Grant Thornton is aware of the material weaknesses described in Item 4.01(a) above and understands it is a reportable event.</w:t>
      </w:r>
    </w:p>
    <w:p>
      <w:pPr>
        <w:sectPr>
          <w:pgSz w:w="11900" w:h="16838" w:orient="portrait"/>
          <w:cols w:equalWidth="0" w:num="1">
            <w:col w:w="10964"/>
          </w:cols>
          <w:pgMar w:left="436" w:top="270" w:right="499" w:bottom="1440" w:gutter="0" w:footer="0" w:header="0"/>
        </w:sectPr>
      </w:pPr>
    </w:p>
    <w:bookmarkStart w:id="2" w:name="page3"/>
    <w:bookmarkEnd w:id="2"/>
    <w:p>
      <w:pPr>
        <w:ind w:left="4"/>
        <w:spacing w:after="0"/>
        <w:tabs>
          <w:tab w:leader="none" w:pos="12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4"/>
        <w:spacing w:after="0"/>
        <w:tabs>
          <w:tab w:leader="none" w:pos="8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16.1</w:t>
      </w:r>
      <w:r>
        <w:rPr>
          <w:sz w:val="20"/>
          <w:szCs w:val="20"/>
          <w:color w:val="auto"/>
        </w:rPr>
        <w:tab/>
      </w:r>
      <w:hyperlink w:anchor="page5">
        <w:r>
          <w:rPr>
            <w:rFonts w:ascii="Arial" w:cs="Arial" w:eastAsia="Arial" w:hAnsi="Arial"/>
            <w:sz w:val="16"/>
            <w:szCs w:val="16"/>
            <w:u w:val="single" w:color="auto"/>
            <w:color w:val="0000EE"/>
          </w:rPr>
          <w:t>Letter from PricewaterhouseCoopers LLP dated May 29, 2020</w:t>
        </w:r>
      </w:hyperlink>
    </w:p>
    <w:p>
      <w:pPr>
        <w:sectPr>
          <w:pgSz w:w="11900" w:h="16838" w:orient="portrait"/>
          <w:cols w:equalWidth="0" w:num="1">
            <w:col w:w="10023"/>
          </w:cols>
          <w:pgMar w:left="436" w:top="270" w:right="1440"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29,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00"/>
          </w:cols>
          <w:pgMar w:left="440" w:top="270"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16.1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We have read the statements made by NN, Inc. (copy attached), which we understand will be filed with the Securities and Exchange Commission, pursuant to Item 4.01 of Form 8-K of NN, Inc. dated May 29, 2020. We agree with the statements concerning our Firm contained in such Form 8-K.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Attachment</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2020-05-29T15:09:08Z</dcterms:created>
  <dcterms:modified xsi:type="dcterms:W3CDTF">2020-05-29T15:09:08Z</dcterms:modified>
</cp:coreProperties>
</file>