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163830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205105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2"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7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222885</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240665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CURRENT REPORT</w:t>
      </w:r>
    </w:p>
    <w:p>
      <w:pPr>
        <w:spacing w:after="0" w:line="12"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PURSUANT TO SECTION 13 OR 15(d)</w:t>
      </w:r>
    </w:p>
    <w:p>
      <w:pPr>
        <w:jc w:val="center"/>
        <w:ind w:right="-17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80"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Date of Report (Date of earliest event reported): August 3, 2016 (August 3,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229870</wp:posOffset>
            </wp:positionV>
            <wp:extent cx="1529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9715"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412750</wp:posOffset>
            </wp:positionV>
            <wp:extent cx="831215" cy="8312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31215" cy="8312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ind w:right="-179"/>
        <w:spacing w:after="0"/>
        <w:rPr>
          <w:sz w:val="20"/>
          <w:szCs w:val="20"/>
          <w:color w:val="auto"/>
        </w:rPr>
      </w:pPr>
      <w:r>
        <w:rPr>
          <w:rFonts w:ascii="Arial" w:cs="Arial" w:eastAsia="Arial" w:hAnsi="Arial"/>
          <w:sz w:val="42"/>
          <w:szCs w:val="42"/>
          <w:b w:val="1"/>
          <w:bCs w:val="1"/>
          <w:color w:val="auto"/>
        </w:rPr>
        <w:t>NN, INC.</w:t>
      </w:r>
    </w:p>
    <w:p>
      <w:pPr>
        <w:spacing w:after="0" w:line="45"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224155</wp:posOffset>
            </wp:positionV>
            <wp:extent cx="1529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tbl>
      <w:tblPr>
        <w:tblLayout w:type="fixed"/>
        <w:tblInd w:w="1120" w:type="dxa"/>
        <w:tblCellMar>
          <w:top w:w="0" w:type="dxa"/>
          <w:left w:w="0" w:type="dxa"/>
          <w:bottom w:w="0" w:type="dxa"/>
          <w:right w:w="0" w:type="dxa"/>
        </w:tblCellMar>
      </w:tblPr>
      <w:tr>
        <w:trPr>
          <w:trHeight w:val="205"/>
        </w:trPr>
        <w:tc>
          <w:tcPr>
            <w:tcW w:w="4100" w:type="dxa"/>
            <w:vAlign w:val="bottom"/>
          </w:tcPr>
          <w:p>
            <w:pPr>
              <w:jc w:val="center"/>
              <w:ind w:right="2361"/>
              <w:spacing w:after="0"/>
              <w:rPr>
                <w:sz w:val="20"/>
                <w:szCs w:val="20"/>
                <w:color w:val="auto"/>
              </w:rPr>
            </w:pPr>
            <w:r>
              <w:rPr>
                <w:rFonts w:ascii="Arial" w:cs="Arial" w:eastAsia="Arial" w:hAnsi="Arial"/>
                <w:sz w:val="17"/>
                <w:szCs w:val="17"/>
                <w:b w:val="1"/>
                <w:bCs w:val="1"/>
                <w:color w:val="auto"/>
                <w:w w:val="93"/>
              </w:rPr>
              <w:t>Delaware</w:t>
            </w:r>
          </w:p>
        </w:tc>
        <w:tc>
          <w:tcPr>
            <w:tcW w:w="2420" w:type="dxa"/>
            <w:vAlign w:val="bottom"/>
          </w:tcPr>
          <w:p>
            <w:pPr>
              <w:ind w:left="240"/>
              <w:spacing w:after="0"/>
              <w:rPr>
                <w:sz w:val="20"/>
                <w:szCs w:val="20"/>
                <w:color w:val="auto"/>
              </w:rPr>
            </w:pPr>
            <w:r>
              <w:rPr>
                <w:rFonts w:ascii="Arial" w:cs="Arial" w:eastAsia="Arial" w:hAnsi="Arial"/>
                <w:sz w:val="17"/>
                <w:szCs w:val="17"/>
                <w:b w:val="1"/>
                <w:bCs w:val="1"/>
                <w:color w:val="auto"/>
              </w:rPr>
              <w:t>000-23486</w:t>
            </w:r>
          </w:p>
        </w:tc>
        <w:tc>
          <w:tcPr>
            <w:tcW w:w="2500" w:type="dxa"/>
            <w:vAlign w:val="bottom"/>
          </w:tcPr>
          <w:p>
            <w:pPr>
              <w:jc w:val="right"/>
              <w:ind w:right="43"/>
              <w:spacing w:after="0"/>
              <w:rPr>
                <w:sz w:val="20"/>
                <w:szCs w:val="20"/>
                <w:color w:val="auto"/>
              </w:rPr>
            </w:pPr>
            <w:r>
              <w:rPr>
                <w:rFonts w:ascii="Arial" w:cs="Arial" w:eastAsia="Arial" w:hAnsi="Arial"/>
                <w:sz w:val="17"/>
                <w:szCs w:val="17"/>
                <w:b w:val="1"/>
                <w:bCs w:val="1"/>
                <w:color w:val="auto"/>
              </w:rPr>
              <w:t>62-1096725</w:t>
            </w:r>
          </w:p>
        </w:tc>
      </w:tr>
      <w:tr>
        <w:trPr>
          <w:trHeight w:val="144"/>
        </w:trPr>
        <w:tc>
          <w:tcPr>
            <w:tcW w:w="4100" w:type="dxa"/>
            <w:vAlign w:val="bottom"/>
          </w:tcPr>
          <w:p>
            <w:pPr>
              <w:jc w:val="center"/>
              <w:ind w:right="2361"/>
              <w:spacing w:after="0" w:line="144" w:lineRule="exact"/>
              <w:rPr>
                <w:sz w:val="20"/>
                <w:szCs w:val="20"/>
                <w:color w:val="auto"/>
              </w:rPr>
            </w:pPr>
            <w:r>
              <w:rPr>
                <w:rFonts w:ascii="Arial" w:cs="Arial" w:eastAsia="Arial" w:hAnsi="Arial"/>
                <w:sz w:val="14"/>
                <w:szCs w:val="14"/>
                <w:b w:val="1"/>
                <w:bCs w:val="1"/>
                <w:color w:val="auto"/>
                <w:w w:val="91"/>
              </w:rPr>
              <w:t>(State or Other Jurisdiction</w:t>
            </w:r>
          </w:p>
        </w:tc>
        <w:tc>
          <w:tcPr>
            <w:tcW w:w="2420" w:type="dxa"/>
            <w:vAlign w:val="bottom"/>
          </w:tcPr>
          <w:p>
            <w:pPr>
              <w:ind w:left="220"/>
              <w:spacing w:after="0" w:line="144" w:lineRule="exact"/>
              <w:rPr>
                <w:sz w:val="20"/>
                <w:szCs w:val="20"/>
                <w:color w:val="auto"/>
              </w:rPr>
            </w:pPr>
            <w:r>
              <w:rPr>
                <w:rFonts w:ascii="Arial" w:cs="Arial" w:eastAsia="Arial" w:hAnsi="Arial"/>
                <w:sz w:val="14"/>
                <w:szCs w:val="14"/>
                <w:b w:val="1"/>
                <w:bCs w:val="1"/>
                <w:color w:val="auto"/>
              </w:rPr>
              <w:t>(Commission</w:t>
            </w:r>
          </w:p>
        </w:tc>
        <w:tc>
          <w:tcPr>
            <w:tcW w:w="2500" w:type="dxa"/>
            <w:vAlign w:val="bottom"/>
          </w:tcPr>
          <w:p>
            <w:pPr>
              <w:jc w:val="center"/>
              <w:ind w:left="1343"/>
              <w:spacing w:after="0" w:line="144" w:lineRule="exact"/>
              <w:rPr>
                <w:sz w:val="20"/>
                <w:szCs w:val="20"/>
                <w:color w:val="auto"/>
              </w:rPr>
            </w:pPr>
            <w:r>
              <w:rPr>
                <w:rFonts w:ascii="Arial" w:cs="Arial" w:eastAsia="Arial" w:hAnsi="Arial"/>
                <w:sz w:val="14"/>
                <w:szCs w:val="14"/>
                <w:b w:val="1"/>
                <w:bCs w:val="1"/>
                <w:color w:val="auto"/>
                <w:w w:val="93"/>
              </w:rPr>
              <w:t>(I.R.S. Employer</w:t>
            </w:r>
          </w:p>
        </w:tc>
      </w:tr>
      <w:tr>
        <w:trPr>
          <w:trHeight w:val="182"/>
        </w:trPr>
        <w:tc>
          <w:tcPr>
            <w:tcW w:w="4100" w:type="dxa"/>
            <w:vAlign w:val="bottom"/>
          </w:tcPr>
          <w:p>
            <w:pPr>
              <w:jc w:val="center"/>
              <w:ind w:right="2381"/>
              <w:spacing w:after="0"/>
              <w:rPr>
                <w:sz w:val="20"/>
                <w:szCs w:val="20"/>
                <w:color w:val="auto"/>
              </w:rPr>
            </w:pPr>
            <w:r>
              <w:rPr>
                <w:rFonts w:ascii="Arial" w:cs="Arial" w:eastAsia="Arial" w:hAnsi="Arial"/>
                <w:sz w:val="14"/>
                <w:szCs w:val="14"/>
                <w:b w:val="1"/>
                <w:bCs w:val="1"/>
                <w:color w:val="auto"/>
                <w:w w:val="92"/>
              </w:rPr>
              <w:t>of Incorporation)</w:t>
            </w:r>
          </w:p>
        </w:tc>
        <w:tc>
          <w:tcPr>
            <w:tcW w:w="2420" w:type="dxa"/>
            <w:vAlign w:val="bottom"/>
          </w:tcPr>
          <w:p>
            <w:pPr>
              <w:ind w:left="220"/>
              <w:spacing w:after="0"/>
              <w:rPr>
                <w:sz w:val="20"/>
                <w:szCs w:val="20"/>
                <w:color w:val="auto"/>
              </w:rPr>
            </w:pPr>
            <w:r>
              <w:rPr>
                <w:rFonts w:ascii="Arial" w:cs="Arial" w:eastAsia="Arial" w:hAnsi="Arial"/>
                <w:sz w:val="14"/>
                <w:szCs w:val="14"/>
                <w:b w:val="1"/>
                <w:bCs w:val="1"/>
                <w:color w:val="auto"/>
              </w:rPr>
              <w:t>File Number)</w:t>
            </w:r>
          </w:p>
        </w:tc>
        <w:tc>
          <w:tcPr>
            <w:tcW w:w="2500" w:type="dxa"/>
            <w:vAlign w:val="bottom"/>
          </w:tcPr>
          <w:p>
            <w:pPr>
              <w:jc w:val="center"/>
              <w:ind w:left="1343"/>
              <w:spacing w:after="0"/>
              <w:rPr>
                <w:sz w:val="20"/>
                <w:szCs w:val="20"/>
                <w:color w:val="auto"/>
              </w:rPr>
            </w:pPr>
            <w:r>
              <w:rPr>
                <w:rFonts w:ascii="Arial" w:cs="Arial" w:eastAsia="Arial" w:hAnsi="Arial"/>
                <w:sz w:val="14"/>
                <w:szCs w:val="14"/>
                <w:b w:val="1"/>
                <w:bCs w:val="1"/>
                <w:color w:val="auto"/>
                <w:w w:val="91"/>
              </w:rPr>
              <w:t>Identification No.)</w:t>
            </w:r>
          </w:p>
        </w:tc>
      </w:tr>
      <w:tr>
        <w:trPr>
          <w:trHeight w:val="398"/>
        </w:trPr>
        <w:tc>
          <w:tcPr>
            <w:tcW w:w="4100" w:type="dxa"/>
            <w:vAlign w:val="bottom"/>
          </w:tcPr>
          <w:p>
            <w:pPr>
              <w:jc w:val="center"/>
              <w:ind w:left="1241"/>
              <w:spacing w:after="0"/>
              <w:rPr>
                <w:sz w:val="20"/>
                <w:szCs w:val="20"/>
                <w:color w:val="auto"/>
              </w:rPr>
            </w:pPr>
            <w:r>
              <w:rPr>
                <w:rFonts w:ascii="Arial" w:cs="Arial" w:eastAsia="Arial" w:hAnsi="Arial"/>
                <w:sz w:val="17"/>
                <w:szCs w:val="17"/>
                <w:b w:val="1"/>
                <w:bCs w:val="1"/>
                <w:color w:val="auto"/>
                <w:w w:val="95"/>
              </w:rPr>
              <w:t>207 Mockingbird Lane</w:t>
            </w:r>
          </w:p>
        </w:tc>
        <w:tc>
          <w:tcPr>
            <w:tcW w:w="24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8"/>
        </w:trPr>
        <w:tc>
          <w:tcPr>
            <w:tcW w:w="4100" w:type="dxa"/>
            <w:vAlign w:val="bottom"/>
          </w:tcPr>
          <w:p>
            <w:pPr>
              <w:jc w:val="center"/>
              <w:ind w:left="1261"/>
              <w:spacing w:after="0"/>
              <w:rPr>
                <w:sz w:val="20"/>
                <w:szCs w:val="20"/>
                <w:color w:val="auto"/>
              </w:rPr>
            </w:pPr>
            <w:r>
              <w:rPr>
                <w:rFonts w:ascii="Arial" w:cs="Arial" w:eastAsia="Arial" w:hAnsi="Arial"/>
                <w:sz w:val="17"/>
                <w:szCs w:val="17"/>
                <w:b w:val="1"/>
                <w:bCs w:val="1"/>
                <w:color w:val="auto"/>
                <w:w w:val="87"/>
              </w:rPr>
              <w:t>Johnson City, Tennessee</w:t>
            </w:r>
          </w:p>
        </w:tc>
        <w:tc>
          <w:tcPr>
            <w:tcW w:w="2420" w:type="dxa"/>
            <w:vAlign w:val="bottom"/>
          </w:tcPr>
          <w:p>
            <w:pPr>
              <w:spacing w:after="0"/>
              <w:rPr>
                <w:sz w:val="18"/>
                <w:szCs w:val="18"/>
                <w:color w:val="auto"/>
              </w:rPr>
            </w:pPr>
          </w:p>
        </w:tc>
        <w:tc>
          <w:tcPr>
            <w:tcW w:w="2500" w:type="dxa"/>
            <w:vAlign w:val="bottom"/>
          </w:tcPr>
          <w:p>
            <w:pPr>
              <w:jc w:val="right"/>
              <w:ind w:right="243"/>
              <w:spacing w:after="0"/>
              <w:rPr>
                <w:sz w:val="20"/>
                <w:szCs w:val="20"/>
                <w:color w:val="auto"/>
              </w:rPr>
            </w:pPr>
            <w:r>
              <w:rPr>
                <w:rFonts w:ascii="Arial" w:cs="Arial" w:eastAsia="Arial" w:hAnsi="Arial"/>
                <w:sz w:val="17"/>
                <w:szCs w:val="17"/>
                <w:b w:val="1"/>
                <w:bCs w:val="1"/>
                <w:color w:val="auto"/>
              </w:rPr>
              <w:t>37604</w:t>
            </w:r>
          </w:p>
        </w:tc>
      </w:tr>
      <w:tr>
        <w:trPr>
          <w:trHeight w:val="182"/>
        </w:trPr>
        <w:tc>
          <w:tcPr>
            <w:tcW w:w="4100" w:type="dxa"/>
            <w:vAlign w:val="bottom"/>
          </w:tcPr>
          <w:p>
            <w:pPr>
              <w:jc w:val="center"/>
              <w:ind w:left="1241"/>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420" w:type="dxa"/>
            <w:vAlign w:val="bottom"/>
          </w:tcPr>
          <w:p>
            <w:pPr>
              <w:spacing w:after="0"/>
              <w:rPr>
                <w:sz w:val="15"/>
                <w:szCs w:val="15"/>
                <w:color w:val="auto"/>
              </w:rPr>
            </w:pPr>
          </w:p>
        </w:tc>
        <w:tc>
          <w:tcPr>
            <w:tcW w:w="2500" w:type="dxa"/>
            <w:vAlign w:val="bottom"/>
          </w:tcPr>
          <w:p>
            <w:pPr>
              <w:jc w:val="center"/>
              <w:ind w:left="1343"/>
              <w:spacing w:after="0"/>
              <w:rPr>
                <w:sz w:val="20"/>
                <w:szCs w:val="20"/>
                <w:color w:val="auto"/>
              </w:rPr>
            </w:pPr>
            <w:r>
              <w:rPr>
                <w:rFonts w:ascii="Arial" w:cs="Arial" w:eastAsia="Arial" w:hAnsi="Arial"/>
                <w:sz w:val="14"/>
                <w:szCs w:val="14"/>
                <w:b w:val="1"/>
                <w:bCs w:val="1"/>
                <w:color w:val="auto"/>
                <w:w w:val="92"/>
              </w:rPr>
              <w:t>(Zip Code)</w:t>
            </w:r>
          </w:p>
        </w:tc>
      </w:tr>
    </w:tbl>
    <w:p>
      <w:pPr>
        <w:spacing w:after="0" w:line="175"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(423) 434-8310</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219710</wp:posOffset>
            </wp:positionV>
            <wp:extent cx="1529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line="289" w:lineRule="auto"/>
        <w:rPr>
          <w:sz w:val="20"/>
          <w:szCs w:val="20"/>
          <w:color w:val="auto"/>
        </w:rPr>
      </w:pPr>
      <w:r>
        <w:rPr>
          <w:rFonts w:ascii="Arial" w:cs="Arial" w:eastAsia="Arial" w:hAnsi="Arial"/>
          <w:sz w:val="17"/>
          <w:szCs w:val="17"/>
          <w:color w:val="auto"/>
        </w:rPr>
        <w:t>Check the appropriate box if the Form 8-K filing is intended to simultaneously satisfy the filing obligation of the registrant under any of the following provisions (see General Instruction A.2. below):</w:t>
      </w:r>
    </w:p>
    <w:p>
      <w:pPr>
        <w:spacing w:after="0" w:line="66"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240.14d- 2(b))</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200025</wp:posOffset>
            </wp:positionV>
            <wp:extent cx="7250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260"/>
          </w:cols>
          <w:pgMar w:left="240" w:top="360" w:right="399" w:bottom="1440" w:gutter="0" w:footer="0" w:header="0"/>
        </w:sectPr>
      </w:pPr>
    </w:p>
    <w:bookmarkStart w:id="1" w:name="page2"/>
    <w:bookmarkEnd w:id="1"/>
    <w:p>
      <w:pPr>
        <w:spacing w:after="0"/>
        <w:tabs>
          <w:tab w:leader="none" w:pos="134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125"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On August 3, 2016, NN, Inc. (the “Company”) issued a press release announcing the Company’s financial results for the quarter ended June 30, 2016. The full text of the press release is furnished as Exhibit 99.1 and is incorporated herein by reference.</w:t>
      </w:r>
    </w:p>
    <w:p>
      <w:pPr>
        <w:spacing w:after="0" w:line="296"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25" w:lineRule="exact"/>
        <w:rPr>
          <w:sz w:val="20"/>
          <w:szCs w:val="20"/>
          <w:color w:val="auto"/>
        </w:rPr>
      </w:pPr>
    </w:p>
    <w:p>
      <w:pPr>
        <w:ind w:right="400" w:firstLine="457"/>
        <w:spacing w:after="0" w:line="289" w:lineRule="auto"/>
        <w:rPr>
          <w:sz w:val="20"/>
          <w:szCs w:val="20"/>
          <w:color w:val="auto"/>
        </w:rPr>
      </w:pPr>
      <w:r>
        <w:rPr>
          <w:rFonts w:ascii="Arial" w:cs="Arial" w:eastAsia="Arial" w:hAnsi="Arial"/>
          <w:sz w:val="17"/>
          <w:szCs w:val="17"/>
          <w:color w:val="auto"/>
        </w:rPr>
        <w:t xml:space="preserve">On August 3, 2016, the Company posted a presentation regarding the Company’s financial results for the quarter ended June 30, 2016 to the Investor Relations section of its website at </w:t>
      </w:r>
      <w:r>
        <w:rPr>
          <w:rFonts w:ascii="Arial" w:cs="Arial" w:eastAsia="Arial" w:hAnsi="Arial"/>
          <w:sz w:val="17"/>
          <w:szCs w:val="17"/>
          <w:i w:val="1"/>
          <w:iCs w:val="1"/>
          <w:color w:val="auto"/>
        </w:rPr>
        <w:t>www.nninc.com</w:t>
      </w:r>
      <w:r>
        <w:rPr>
          <w:rFonts w:ascii="Arial" w:cs="Arial" w:eastAsia="Arial" w:hAnsi="Arial"/>
          <w:sz w:val="17"/>
          <w:szCs w:val="17"/>
          <w:color w:val="auto"/>
        </w:rPr>
        <w:t>. A copy of the presentation is furnished as Exhibit 99.2.</w:t>
      </w:r>
    </w:p>
    <w:p>
      <w:pPr>
        <w:spacing w:after="0" w:line="158"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Pursuant to the rules and regulations of the U.S. Securities and Exchange Commission (the “SEC”), the information furnished pursuant to Item 2.02 and 7.01 of this Current Report on Form 8-K (including Exhibit 99.1 and Exhibit 99.2) is deemed to have been furnished and shall not be deemed to be “filed” for purposes of Section 18 of the Securities Exchange Act of 1934, as amended,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316"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20"/>
        <w:spacing w:after="0"/>
        <w:tabs>
          <w:tab w:leader="none" w:pos="7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2825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75"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Press Release of NN, Inc. dated August 3, 2016.</w:t>
      </w:r>
    </w:p>
    <w:p>
      <w:pPr>
        <w:spacing w:after="0" w:line="119"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99.2</w:t>
      </w:r>
      <w:r>
        <w:rPr>
          <w:sz w:val="20"/>
          <w:szCs w:val="20"/>
          <w:color w:val="auto"/>
        </w:rPr>
        <w:tab/>
      </w:r>
      <w:r>
        <w:rPr>
          <w:rFonts w:ascii="Arial" w:cs="Arial" w:eastAsia="Arial" w:hAnsi="Arial"/>
          <w:sz w:val="15"/>
          <w:szCs w:val="15"/>
          <w:color w:val="auto"/>
        </w:rPr>
        <w:t>Second Quarter 2016 Earnings Release Presentation of NN, Inc. dated as of August 4, 2016.</w:t>
      </w:r>
    </w:p>
    <w:p>
      <w:pPr>
        <w:sectPr>
          <w:pgSz w:w="11900" w:h="16838" w:orient="portrait"/>
          <w:cols w:equalWidth="0" w:num="1">
            <w:col w:w="11260"/>
          </w:cols>
          <w:pgMar w:left="240" w:top="265"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SIGNATURES</w:t>
      </w:r>
    </w:p>
    <w:p>
      <w:pPr>
        <w:spacing w:after="0" w:line="230" w:lineRule="exact"/>
        <w:rPr>
          <w:sz w:val="20"/>
          <w:szCs w:val="20"/>
          <w:color w:val="auto"/>
        </w:rPr>
      </w:pPr>
    </w:p>
    <w:p>
      <w:pPr>
        <w:ind w:right="100" w:firstLine="457"/>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August 3, 2016</w:t>
      </w:r>
    </w:p>
    <w:p>
      <w:pPr>
        <w:spacing w:after="0" w:line="244"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NN, INC.</w:t>
      </w:r>
    </w:p>
    <w:p>
      <w:pPr>
        <w:spacing w:after="0" w:line="230"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Matthew S. Heiter</w:t>
            </w:r>
          </w:p>
        </w:tc>
      </w:tr>
      <w:tr>
        <w:trPr>
          <w:trHeight w:val="204"/>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3960" w:type="dxa"/>
            <w:vAlign w:val="bottom"/>
          </w:tcPr>
          <w:p>
            <w:pPr>
              <w:spacing w:after="0"/>
              <w:rPr>
                <w:sz w:val="20"/>
                <w:szCs w:val="20"/>
                <w:color w:val="auto"/>
              </w:rPr>
            </w:pPr>
            <w:r>
              <w:rPr>
                <w:rFonts w:ascii="Arial" w:cs="Arial" w:eastAsia="Arial" w:hAnsi="Arial"/>
                <w:sz w:val="17"/>
                <w:szCs w:val="17"/>
                <w:color w:val="auto"/>
              </w:rPr>
              <w:t>Matthew S. Heiter</w:t>
            </w:r>
          </w:p>
        </w:tc>
      </w:t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3960" w:type="dxa"/>
            <w:vAlign w:val="bottom"/>
          </w:tcPr>
          <w:p>
            <w:pPr>
              <w:spacing w:after="0"/>
              <w:rPr>
                <w:sz w:val="20"/>
                <w:szCs w:val="20"/>
                <w:color w:val="auto"/>
              </w:rPr>
            </w:pPr>
            <w:r>
              <w:rPr>
                <w:rFonts w:ascii="Arial" w:cs="Arial" w:eastAsia="Arial" w:hAnsi="Arial"/>
                <w:sz w:val="17"/>
                <w:szCs w:val="17"/>
                <w:color w:val="auto"/>
              </w:rPr>
              <w:t>Senior Vice President and General Counsel</w:t>
            </w:r>
          </w:p>
        </w:tc>
      </w:tr>
    </w:tbl>
    <w:p>
      <w:pPr>
        <w:sectPr>
          <w:pgSz w:w="11900" w:h="16838" w:orient="portrait"/>
          <w:cols w:equalWidth="0" w:num="1">
            <w:col w:w="11420"/>
          </w:cols>
          <w:pgMar w:left="240" w:top="265"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740" w:type="dxa"/>
            <w:vAlign w:val="bottom"/>
          </w:tcPr>
          <w:p>
            <w:pPr>
              <w:ind w:left="334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358"/>
        </w:trPr>
        <w:tc>
          <w:tcPr>
            <w:tcW w:w="440" w:type="dxa"/>
            <w:vAlign w:val="bottom"/>
          </w:tcPr>
          <w:p>
            <w:pPr>
              <w:spacing w:after="0"/>
              <w:rPr>
                <w:sz w:val="20"/>
                <w:szCs w:val="20"/>
                <w:color w:val="auto"/>
              </w:rPr>
            </w:pPr>
            <w:r>
              <w:rPr>
                <w:rFonts w:ascii="Arial" w:cs="Arial" w:eastAsia="Arial" w:hAnsi="Arial"/>
                <w:sz w:val="14"/>
                <w:szCs w:val="14"/>
                <w:b w:val="1"/>
                <w:bCs w:val="1"/>
                <w:color w:val="auto"/>
                <w:w w:val="89"/>
              </w:rPr>
              <w:t>Exhibit</w:t>
            </w:r>
          </w:p>
        </w:tc>
        <w:tc>
          <w:tcPr>
            <w:tcW w:w="560" w:type="dxa"/>
            <w:vAlign w:val="bottom"/>
          </w:tcPr>
          <w:p>
            <w:pPr>
              <w:spacing w:after="0"/>
              <w:rPr>
                <w:sz w:val="24"/>
                <w:szCs w:val="24"/>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57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5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440" w:type="dxa"/>
            <w:vAlign w:val="bottom"/>
          </w:tcPr>
          <w:p>
            <w:pPr>
              <w:spacing w:after="0"/>
              <w:rPr>
                <w:sz w:val="20"/>
                <w:szCs w:val="20"/>
                <w:color w:val="auto"/>
              </w:rPr>
            </w:pPr>
            <w:r>
              <w:rPr>
                <w:rFonts w:ascii="Arial" w:cs="Arial" w:eastAsia="Arial" w:hAnsi="Arial"/>
                <w:sz w:val="17"/>
                <w:szCs w:val="17"/>
                <w:color w:val="auto"/>
              </w:rPr>
              <w:t>99.1</w:t>
            </w:r>
          </w:p>
        </w:tc>
        <w:tc>
          <w:tcPr>
            <w:tcW w:w="560" w:type="dxa"/>
            <w:vAlign w:val="bottom"/>
          </w:tcPr>
          <w:p>
            <w:pPr>
              <w:spacing w:after="0"/>
              <w:rPr>
                <w:sz w:val="24"/>
                <w:szCs w:val="24"/>
                <w:color w:val="auto"/>
              </w:rPr>
            </w:pPr>
          </w:p>
        </w:tc>
        <w:tc>
          <w:tcPr>
            <w:tcW w:w="6440" w:type="dxa"/>
            <w:vAlign w:val="bottom"/>
            <w:gridSpan w:val="2"/>
          </w:tcPr>
          <w:p>
            <w:pPr>
              <w:spacing w:after="0"/>
              <w:rPr>
                <w:sz w:val="20"/>
                <w:szCs w:val="20"/>
                <w:color w:val="auto"/>
              </w:rPr>
            </w:pPr>
            <w:r>
              <w:rPr>
                <w:rFonts w:ascii="Arial" w:cs="Arial" w:eastAsia="Arial" w:hAnsi="Arial"/>
                <w:sz w:val="17"/>
                <w:szCs w:val="17"/>
                <w:color w:val="auto"/>
              </w:rPr>
              <w:t>Press Release of NN, Inc. dated August 3, 2016.</w:t>
            </w:r>
          </w:p>
        </w:tc>
        <w:tc>
          <w:tcPr>
            <w:tcW w:w="0" w:type="dxa"/>
            <w:vAlign w:val="bottom"/>
          </w:tcPr>
          <w:p>
            <w:pPr>
              <w:spacing w:after="0"/>
              <w:rPr>
                <w:sz w:val="1"/>
                <w:szCs w:val="1"/>
                <w:color w:val="auto"/>
              </w:rPr>
            </w:pPr>
          </w:p>
        </w:tc>
      </w:tr>
      <w:tr>
        <w:trPr>
          <w:trHeight w:val="314"/>
        </w:trPr>
        <w:tc>
          <w:tcPr>
            <w:tcW w:w="440" w:type="dxa"/>
            <w:vAlign w:val="bottom"/>
          </w:tcPr>
          <w:p>
            <w:pPr>
              <w:spacing w:after="0"/>
              <w:rPr>
                <w:sz w:val="20"/>
                <w:szCs w:val="20"/>
                <w:color w:val="auto"/>
              </w:rPr>
            </w:pPr>
            <w:r>
              <w:rPr>
                <w:rFonts w:ascii="Arial" w:cs="Arial" w:eastAsia="Arial" w:hAnsi="Arial"/>
                <w:sz w:val="17"/>
                <w:szCs w:val="17"/>
                <w:color w:val="auto"/>
              </w:rPr>
              <w:t>99.2</w:t>
            </w:r>
          </w:p>
        </w:tc>
        <w:tc>
          <w:tcPr>
            <w:tcW w:w="560" w:type="dxa"/>
            <w:vAlign w:val="bottom"/>
          </w:tcPr>
          <w:p>
            <w:pPr>
              <w:spacing w:after="0"/>
              <w:rPr>
                <w:sz w:val="24"/>
                <w:szCs w:val="24"/>
                <w:color w:val="auto"/>
              </w:rPr>
            </w:pPr>
          </w:p>
        </w:tc>
        <w:tc>
          <w:tcPr>
            <w:tcW w:w="6440" w:type="dxa"/>
            <w:vAlign w:val="bottom"/>
            <w:gridSpan w:val="2"/>
          </w:tcPr>
          <w:p>
            <w:pPr>
              <w:spacing w:after="0"/>
              <w:rPr>
                <w:sz w:val="20"/>
                <w:szCs w:val="20"/>
                <w:color w:val="auto"/>
              </w:rPr>
            </w:pPr>
            <w:r>
              <w:rPr>
                <w:rFonts w:ascii="Arial" w:cs="Arial" w:eastAsia="Arial" w:hAnsi="Arial"/>
                <w:sz w:val="17"/>
                <w:szCs w:val="17"/>
                <w:color w:val="auto"/>
                <w:w w:val="91"/>
              </w:rPr>
              <w:t>Second Quarter 2016 Earnings Release Presentation of NN, Inc. dated as of August 4, 2016.</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5541010</wp:posOffset>
            </wp:positionH>
            <wp:positionV relativeFrom="paragraph">
              <wp:posOffset>170180</wp:posOffset>
            </wp:positionV>
            <wp:extent cx="1712595" cy="448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2595" cy="4489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1280795" cy="307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0795" cy="30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RE: NN, Inc.</w:t>
      </w:r>
    </w:p>
    <w:p>
      <w:pPr>
        <w:spacing w:after="0" w:line="26"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207 Mockingbird Lane</w:t>
      </w:r>
    </w:p>
    <w:p>
      <w:pPr>
        <w:spacing w:after="0" w:line="1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3</w:t>
      </w:r>
      <w:r>
        <w:rPr>
          <w:rFonts w:ascii="Arial" w:cs="Arial" w:eastAsia="Arial" w:hAnsi="Arial"/>
          <w:sz w:val="14"/>
          <w:szCs w:val="14"/>
          <w:color w:val="auto"/>
        </w:rPr>
        <w:t>rd</w:t>
      </w:r>
      <w:r>
        <w:rPr>
          <w:rFonts w:ascii="Arial" w:cs="Arial" w:eastAsia="Arial" w:hAnsi="Arial"/>
          <w:sz w:val="17"/>
          <w:szCs w:val="17"/>
          <w:color w:val="auto"/>
        </w:rPr>
        <w:t xml:space="preserve"> Floor</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Johnson City, TN 37604</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FOR FURTHER INFORMATION:</w:t>
      </w:r>
    </w:p>
    <w:p>
      <w:pPr>
        <w:sectPr>
          <w:pgSz w:w="11900" w:h="16838" w:orient="portrait"/>
          <w:cols w:equalWidth="0" w:num="1">
            <w:col w:w="11420"/>
          </w:cols>
          <w:pgMar w:left="240" w:top="121" w:right="239" w:bottom="144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AT THE COMPANY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Robbie Atkinson</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VP, Corporate Treasurer &amp; Investor Relations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(423) 434-8398</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AT FINANCIAL RELATIONS BOARD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Marilynn Meek</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(General info)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212-827-3773</w:t>
      </w:r>
    </w:p>
    <w:p>
      <w:pPr>
        <w:spacing w:after="0" w:line="200" w:lineRule="exact"/>
        <w:rPr>
          <w:sz w:val="20"/>
          <w:szCs w:val="20"/>
          <w:color w:val="auto"/>
        </w:rPr>
      </w:pPr>
    </w:p>
    <w:p>
      <w:pPr>
        <w:sectPr>
          <w:pgSz w:w="11900" w:h="16838" w:orient="portrait"/>
          <w:cols w:equalWidth="0" w:num="2">
            <w:col w:w="5160" w:space="720"/>
            <w:col w:w="5540"/>
          </w:cols>
          <w:pgMar w:left="240" w:top="121" w:right="239" w:bottom="1440" w:gutter="0" w:footer="0" w:header="0"/>
          <w:type w:val="continuous"/>
        </w:sectPr>
      </w:pP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IMMEDIATE RELEASE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August 3, 2016</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NN, INC. REPORTS SECOND QUARTER 2016 RESULTS</w:t>
      </w:r>
    </w:p>
    <w:p>
      <w:pPr>
        <w:spacing w:after="0" w:line="224" w:lineRule="exact"/>
        <w:rPr>
          <w:sz w:val="20"/>
          <w:szCs w:val="20"/>
          <w:color w:val="auto"/>
        </w:rPr>
      </w:pPr>
    </w:p>
    <w:p>
      <w:pPr>
        <w:ind w:right="180"/>
        <w:spacing w:after="0" w:line="296" w:lineRule="auto"/>
        <w:rPr>
          <w:sz w:val="20"/>
          <w:szCs w:val="20"/>
          <w:color w:val="auto"/>
        </w:rPr>
      </w:pPr>
      <w:r>
        <w:rPr>
          <w:rFonts w:ascii="Arial" w:cs="Arial" w:eastAsia="Arial" w:hAnsi="Arial"/>
          <w:sz w:val="17"/>
          <w:szCs w:val="17"/>
          <w:b w:val="1"/>
          <w:bCs w:val="1"/>
          <w:color w:val="auto"/>
        </w:rPr>
        <w:t>Johnson City, Tenn, August 3, 2016 –</w:t>
      </w:r>
      <w:r>
        <w:rPr>
          <w:rFonts w:ascii="Arial" w:cs="Arial" w:eastAsia="Arial" w:hAnsi="Arial"/>
          <w:sz w:val="17"/>
          <w:szCs w:val="17"/>
          <w:color w:val="auto"/>
        </w:rPr>
        <w:t>NN, Inc., (NASDAQ: NNBR), a diversified industrial company, today reported its financial results for the second quarter</w:t>
      </w:r>
      <w:r>
        <w:rPr>
          <w:rFonts w:ascii="Arial" w:cs="Arial" w:eastAsia="Arial" w:hAnsi="Arial"/>
          <w:sz w:val="17"/>
          <w:szCs w:val="17"/>
          <w:b w:val="1"/>
          <w:bCs w:val="1"/>
          <w:color w:val="auto"/>
        </w:rPr>
        <w:t xml:space="preserve"> </w:t>
      </w:r>
      <w:r>
        <w:rPr>
          <w:rFonts w:ascii="Arial" w:cs="Arial" w:eastAsia="Arial" w:hAnsi="Arial"/>
          <w:sz w:val="17"/>
          <w:szCs w:val="17"/>
          <w:color w:val="auto"/>
        </w:rPr>
        <w:t>ended June 30, 2016.</w:t>
      </w:r>
    </w:p>
    <w:p>
      <w:pPr>
        <w:spacing w:after="0" w:line="152"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Richard Holder, President and Chief Executive Officer, commented, “Commencing with this quarter and in accordance with updated regulatory guidance we have reformatted our earnings release to report our GAAP results first, followed by our adjusted operating results.”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GAAP Results</w:t>
      </w:r>
    </w:p>
    <w:p>
      <w:pPr>
        <w:spacing w:after="0" w:line="125"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Net sales for the second quarter of 2016 increased $49.4 million, or 30.0% to $214.3 million, compared to $164.9 million for the second quarter of 2015. Acquisitions added $57.8 million in revenue. Sales in the legacy business were negatively impacted $8.4 million primarily from weakness in the industrial end market.</w:t>
      </w:r>
    </w:p>
    <w:p>
      <w:pPr>
        <w:spacing w:after="0" w:line="171" w:lineRule="exact"/>
        <w:rPr>
          <w:sz w:val="20"/>
          <w:szCs w:val="20"/>
          <w:color w:val="auto"/>
        </w:rPr>
      </w:pPr>
    </w:p>
    <w:p>
      <w:pPr>
        <w:jc w:val="both"/>
        <w:ind w:right="160"/>
        <w:spacing w:after="0" w:line="273" w:lineRule="auto"/>
        <w:rPr>
          <w:sz w:val="20"/>
          <w:szCs w:val="20"/>
          <w:color w:val="auto"/>
        </w:rPr>
      </w:pPr>
      <w:r>
        <w:rPr>
          <w:rFonts w:ascii="Arial" w:cs="Arial" w:eastAsia="Arial" w:hAnsi="Arial"/>
          <w:sz w:val="17"/>
          <w:szCs w:val="17"/>
          <w:color w:val="auto"/>
        </w:rPr>
        <w:t>On a GAAP basis, income from operations for the second quarter of 2016 was $16.7 million, compared to $13.6 million for the same period in 2015. Net income on a GAAP basis for second quarter of 2016 was $2.0 million, or $0.07 per diluted share. This compares to net income of $7.0 million, or $0.36 per diluted share in the second quarter of 2015.</w:t>
      </w:r>
    </w:p>
    <w:p>
      <w:pPr>
        <w:spacing w:after="0" w:line="171"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On a GAAP basis, income from operations for second quarter 2016 in the Autocam Precision Components Group was $7.8 million compared to $9.1 million for the same period in 2015.</w:t>
      </w:r>
    </w:p>
    <w:p>
      <w:pPr>
        <w:spacing w:after="0" w:line="158"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On a GAAP basis, income from operations for second quarter 2016 in the Precision Bearing Components Group was $6.5 million compared to $9.4 million for the same period in 2015.</w:t>
      </w:r>
    </w:p>
    <w:p>
      <w:pPr>
        <w:spacing w:after="0" w:line="158"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color w:val="auto"/>
        </w:rPr>
        <w:t>On a GAAP basis, income from operations for second quarter 2016 in the Precision Engineered Products Group was $10.8 million compared to $0.5 million for the same period in 2015.</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Adjusted Second Quarter 2016 Results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Adjusted income from operations for the second quarter of 2016 was $28.7 million, an increase of 89%, compared to $15.2 million for the same period in 2015.</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Adjusted net income was $12.4 million, or $0.46 per diluted share, compared to $8.3 million, or $0.42 per diluted share for the same period in 2015.</w:t>
      </w:r>
    </w:p>
    <w:p>
      <w:pPr>
        <w:spacing w:after="0" w:line="212"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Richard Holder, President and Chief Executive Officer, commented, “The NN Operating System continues to drive solid improvement throughout our business. Our operating performance this quarter is a great example of our ability to drive margin expansion.”</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Group Results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Autocam Precision Components</w:t>
      </w:r>
    </w:p>
    <w:p>
      <w:pPr>
        <w:spacing w:after="0" w:line="1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Net sales for the second quarter of 2016 were $83.0 million, compared to $86.5 million in the second quarter of 2015, a decrease of $3.5 million. Weakness in the industrial end market accounted for the decline. Adjusted income from operations for the quarter increased $0.7 million to $10.7 million, compared to $10.0 million in the second quarter of 2015.</w:t>
      </w:r>
    </w:p>
    <w:p>
      <w:pPr>
        <w:spacing w:after="0" w:line="171"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Holder commented, “Focus on our CAFE Technologies and improvements driven by the NN Operating System continue to drive margin expansion in our APC group.”</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Precision Bearing Components</w:t>
      </w:r>
    </w:p>
    <w:p>
      <w:pPr>
        <w:spacing w:after="0" w:line="1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Net sales for the second quarter of 2016 were $65.2 million, compared to $69.3 million in the second quarter of 2015, a decrease of $4.1 million. Soft industrial market demand accounted for the decline. Adjusted income from operations for the second quarter was $8.2 million, compared to $9.5 million in the second quarter of 2015.</w:t>
      </w:r>
    </w:p>
    <w:p>
      <w:pPr>
        <w:spacing w:after="0" w:line="171"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Holder commented, “Despite continued weakness in the industrial market our PBC team continues to focus on margin expansion driven by the tenets of the NN Operating System.”</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Precision Engineered Products</w:t>
      </w:r>
    </w:p>
    <w:p>
      <w:pPr>
        <w:spacing w:after="0" w:line="125" w:lineRule="exact"/>
        <w:rPr>
          <w:sz w:val="20"/>
          <w:szCs w:val="20"/>
          <w:color w:val="auto"/>
        </w:rPr>
      </w:pPr>
    </w:p>
    <w:p>
      <w:pPr>
        <w:spacing w:after="0" w:line="359" w:lineRule="auto"/>
        <w:rPr>
          <w:sz w:val="20"/>
          <w:szCs w:val="20"/>
          <w:color w:val="auto"/>
        </w:rPr>
      </w:pPr>
      <w:r>
        <w:rPr>
          <w:rFonts w:ascii="Arial" w:cs="Arial" w:eastAsia="Arial" w:hAnsi="Arial"/>
          <w:sz w:val="15"/>
          <w:szCs w:val="15"/>
          <w:color w:val="auto"/>
        </w:rPr>
        <w:t>Net sales for the second quarter of 2016 were $66.1 million, compared to $9.1 million in the second quarter of 2015, an increase of $57.0 million. The acquisition of PEP accounted for $58.4 million of the increase. Adjusted income from operations for the quarter was $16.3 million, compared to $0.5 million in 2015.</w:t>
      </w:r>
    </w:p>
    <w:p>
      <w:pPr>
        <w:spacing w:after="0" w:line="113"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color w:val="auto"/>
        </w:rPr>
        <w:t>Holder commented, “We continue to be pleased with the performance of our PEP group. Our integration efforts are on track and we are beginning to see the benefits of the NN Operating System.”</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Holder concluded, “Driven by the NN Operating System and growth in our non-industrial end markets we continue to deliver solid operating results.”</w:t>
      </w:r>
    </w:p>
    <w:p>
      <w:pPr>
        <w:sectPr>
          <w:pgSz w:w="11900" w:h="16838" w:orient="portrait"/>
          <w:cols w:equalWidth="0" w:num="1">
            <w:col w:w="11300"/>
          </w:cols>
          <w:pgMar w:left="240" w:top="265" w:right="359" w:bottom="1440" w:gutter="0" w:footer="0" w:header="0"/>
        </w:sectPr>
      </w:pPr>
    </w:p>
    <w:bookmarkStart w:id="6" w:name="page7"/>
    <w:bookmarkEnd w:id="6"/>
    <w:p>
      <w:pPr>
        <w:ind w:right="12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The full set of financial guidance for the third quarter and full year 2016 can be found in our supplemental presentation posted in the Investor Relations section of our website at </w:t>
      </w:r>
      <w:r>
        <w:rPr>
          <w:rFonts w:ascii="Arial" w:cs="Arial" w:eastAsia="Arial" w:hAnsi="Arial"/>
          <w:sz w:val="17"/>
          <w:szCs w:val="17"/>
          <w:u w:val="single" w:color="auto"/>
          <w:color w:val="auto"/>
        </w:rPr>
        <w:t>www.nninc.com</w:t>
      </w:r>
      <w:r>
        <w:rPr>
          <w:rFonts w:ascii="Arial" w:cs="Arial" w:eastAsia="Arial" w:hAnsi="Arial"/>
          <w:sz w:val="17"/>
          <w:szCs w:val="17"/>
          <w:color w:val="auto"/>
        </w:rPr>
        <w:t>.</w:t>
      </w:r>
    </w:p>
    <w:p>
      <w:pPr>
        <w:spacing w:after="0" w:line="158" w:lineRule="exact"/>
        <w:rPr>
          <w:sz w:val="20"/>
          <w:szCs w:val="20"/>
          <w:color w:val="auto"/>
        </w:rPr>
      </w:pPr>
    </w:p>
    <w:p>
      <w:pPr>
        <w:ind w:right="80" w:firstLine="5"/>
        <w:spacing w:after="0" w:line="273" w:lineRule="auto"/>
        <w:tabs>
          <w:tab w:leader="none" w:pos="296"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will discuss its results during its quarterly investor conference call tomorrow morning starting at 9:00 a.m. ET. The call and supplemental presentation may be accessed via NN’s website, </w:t>
      </w:r>
      <w:r>
        <w:rPr>
          <w:rFonts w:ascii="Arial" w:cs="Arial" w:eastAsia="Arial" w:hAnsi="Arial"/>
          <w:sz w:val="17"/>
          <w:szCs w:val="17"/>
          <w:u w:val="single" w:color="auto"/>
          <w:color w:val="auto"/>
        </w:rPr>
        <w:t>www.nninc.com</w:t>
      </w:r>
      <w:r>
        <w:rPr>
          <w:rFonts w:ascii="Arial" w:cs="Arial" w:eastAsia="Arial" w:hAnsi="Arial"/>
          <w:sz w:val="17"/>
          <w:szCs w:val="17"/>
          <w:color w:val="auto"/>
        </w:rPr>
        <w:t>. The conference call can also be accessed by dialing 800-723-6575 or 785-830-1997 Conference ID: 7483731. For those who are unavailable to listen to the live broadcast, a replay will be available shortly after the call for 90 days.</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discloses in this press release the non-GAAP financial measures of adjusted income from operations and adjusted net income. Each of adjusted income from operations and adjusted net income provide supplementary information about the impacts of acquisition related expenses, foreign-exchange and other non-operating impacts on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attached financial tables include a reconciliation of adjusted income from operations, adjusted net income and adjusted diluted earnings per share to the U.S.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GAAP financial measures of income from operations, net income and diluted earnings per share.</w:t>
      </w:r>
    </w:p>
    <w:p>
      <w:pPr>
        <w:spacing w:after="0" w:line="212" w:lineRule="exact"/>
        <w:rPr>
          <w:sz w:val="20"/>
          <w:szCs w:val="20"/>
          <w:color w:val="auto"/>
        </w:rPr>
      </w:pPr>
    </w:p>
    <w:p>
      <w:pPr>
        <w:ind w:right="380"/>
        <w:spacing w:after="0" w:line="273" w:lineRule="auto"/>
        <w:rPr>
          <w:sz w:val="20"/>
          <w:szCs w:val="20"/>
          <w:color w:val="auto"/>
        </w:rPr>
      </w:pPr>
      <w:r>
        <w:rPr>
          <w:rFonts w:ascii="Arial" w:cs="Arial" w:eastAsia="Arial" w:hAnsi="Arial"/>
          <w:sz w:val="17"/>
          <w:szCs w:val="17"/>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Johnson City, Tennessee, NN has 41 manufacturing plants in North America, Western Europe, Eastern Europe, South America and China.</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completed acquisitions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w:t>
      </w:r>
    </w:p>
    <w:p>
      <w:pPr>
        <w:spacing w:after="0" w:line="170"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2015. Except as required by law, we undertake no obligation to update or revise any forward-looking statements we make in our press releases, whether as a result of new information, future events or otherwise.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Financial Tables Follow</w:t>
      </w:r>
    </w:p>
    <w:p>
      <w:pPr>
        <w:sectPr>
          <w:pgSz w:w="11900" w:h="16838" w:orient="portrait"/>
          <w:cols w:equalWidth="0" w:num="1">
            <w:col w:w="11420"/>
          </w:cols>
          <w:pgMar w:left="240" w:top="27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NN,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Net Income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16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Six Months ended</w:t>
            </w:r>
          </w:p>
        </w:tc>
        <w:tc>
          <w:tcPr>
            <w:tcW w:w="0" w:type="dxa"/>
            <w:vAlign w:val="bottom"/>
          </w:tcPr>
          <w:p>
            <w:pPr>
              <w:spacing w:after="0"/>
              <w:rPr>
                <w:sz w:val="1"/>
                <w:szCs w:val="1"/>
                <w:color w:val="auto"/>
              </w:rPr>
            </w:pPr>
          </w:p>
        </w:tc>
      </w:tr>
      <w:tr>
        <w:trPr>
          <w:trHeight w:val="157"/>
        </w:trPr>
        <w:tc>
          <w:tcPr>
            <w:tcW w:w="736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6"/>
          </w:tcPr>
          <w:p>
            <w:pPr>
              <w:jc w:val="center"/>
              <w:ind w:right="400"/>
              <w:spacing w:after="0" w:line="157" w:lineRule="exact"/>
              <w:rPr>
                <w:sz w:val="20"/>
                <w:szCs w:val="20"/>
                <w:color w:val="auto"/>
              </w:rPr>
            </w:pPr>
            <w:r>
              <w:rPr>
                <w:rFonts w:ascii="Arial" w:cs="Arial" w:eastAsia="Arial" w:hAnsi="Arial"/>
                <w:sz w:val="14"/>
                <w:szCs w:val="14"/>
                <w:b w:val="1"/>
                <w:bCs w:val="1"/>
                <w:color w:val="auto"/>
                <w:w w:val="87"/>
              </w:rPr>
              <w:t>June 30, 2016</w:t>
            </w:r>
          </w:p>
        </w:tc>
        <w:tc>
          <w:tcPr>
            <w:tcW w:w="100" w:type="dxa"/>
            <w:vAlign w:val="bottom"/>
          </w:tcPr>
          <w:p>
            <w:pPr>
              <w:spacing w:after="0"/>
              <w:rPr>
                <w:sz w:val="13"/>
                <w:szCs w:val="13"/>
                <w:color w:val="auto"/>
              </w:rPr>
            </w:pPr>
          </w:p>
        </w:tc>
        <w:tc>
          <w:tcPr>
            <w:tcW w:w="1660" w:type="dxa"/>
            <w:vAlign w:val="bottom"/>
            <w:gridSpan w:val="5"/>
          </w:tcPr>
          <w:p>
            <w:pPr>
              <w:jc w:val="center"/>
              <w:ind w:right="180"/>
              <w:spacing w:after="0" w:line="157" w:lineRule="exact"/>
              <w:rPr>
                <w:sz w:val="20"/>
                <w:szCs w:val="20"/>
                <w:color w:val="auto"/>
              </w:rPr>
            </w:pPr>
            <w:r>
              <w:rPr>
                <w:rFonts w:ascii="Arial" w:cs="Arial" w:eastAsia="Arial" w:hAnsi="Arial"/>
                <w:sz w:val="14"/>
                <w:szCs w:val="14"/>
                <w:b w:val="1"/>
                <w:bCs w:val="1"/>
                <w:color w:val="auto"/>
                <w:w w:val="87"/>
              </w:rPr>
              <w:t>June 30, 2016</w:t>
            </w:r>
          </w:p>
        </w:tc>
        <w:tc>
          <w:tcPr>
            <w:tcW w:w="0" w:type="dxa"/>
            <w:vAlign w:val="bottom"/>
          </w:tcPr>
          <w:p>
            <w:pPr>
              <w:spacing w:after="0"/>
              <w:rPr>
                <w:sz w:val="1"/>
                <w:szCs w:val="1"/>
                <w:color w:val="auto"/>
              </w:rPr>
            </w:pPr>
          </w:p>
        </w:tc>
      </w:tr>
      <w:tr>
        <w:trPr>
          <w:trHeight w:val="173"/>
        </w:trPr>
        <w:tc>
          <w:tcPr>
            <w:tcW w:w="73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5"/>
              <w:spacing w:after="0" w:line="153"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5"/>
              <w:spacing w:after="0" w:line="153"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Net sales</w:t>
            </w:r>
          </w:p>
        </w:tc>
        <w:tc>
          <w:tcPr>
            <w:tcW w:w="5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214,272</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164,856</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426,498</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328,601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60" w:type="dxa"/>
            <w:vAlign w:val="bottom"/>
            <w:gridSpan w:val="2"/>
          </w:tcPr>
          <w:p>
            <w:pPr>
              <w:spacing w:after="0"/>
              <w:rPr>
                <w:sz w:val="20"/>
                <w:szCs w:val="20"/>
                <w:color w:val="auto"/>
              </w:rPr>
            </w:pPr>
            <w:r>
              <w:rPr>
                <w:rFonts w:ascii="Arial" w:cs="Arial" w:eastAsia="Arial" w:hAnsi="Arial"/>
                <w:sz w:val="17"/>
                <w:szCs w:val="17"/>
                <w:color w:val="auto"/>
              </w:rPr>
              <w:t>Cost of products sold (exclusive of depreciation and amortization shown separately below)</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w w:val="91"/>
              </w:rPr>
              <w:t>156,794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w w:val="91"/>
              </w:rPr>
              <w:t>128,708</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w w:val="91"/>
              </w:rPr>
              <w:t>316,548</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w w:val="91"/>
              </w:rPr>
              <w:t>258,025</w:t>
            </w:r>
          </w:p>
        </w:tc>
        <w:tc>
          <w:tcPr>
            <w:tcW w:w="0" w:type="dxa"/>
            <w:vAlign w:val="bottom"/>
          </w:tcPr>
          <w:p>
            <w:pPr>
              <w:spacing w:after="0"/>
              <w:rPr>
                <w:sz w:val="1"/>
                <w:szCs w:val="1"/>
                <w:color w:val="auto"/>
              </w:rPr>
            </w:pPr>
          </w:p>
        </w:tc>
      </w:tr>
      <w:tr>
        <w:trPr>
          <w:trHeight w:val="210"/>
        </w:trPr>
        <w:tc>
          <w:tcPr>
            <w:tcW w:w="7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21,592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13,962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42,304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25,961</w:t>
            </w:r>
          </w:p>
        </w:tc>
        <w:tc>
          <w:tcPr>
            <w:tcW w:w="0" w:type="dxa"/>
            <w:vAlign w:val="bottom"/>
          </w:tcPr>
          <w:p>
            <w:pPr>
              <w:spacing w:after="0"/>
              <w:rPr>
                <w:sz w:val="1"/>
                <w:szCs w:val="1"/>
                <w:color w:val="auto"/>
              </w:rPr>
            </w:pPr>
          </w:p>
        </w:tc>
      </w:tr>
      <w:tr>
        <w:trPr>
          <w:trHeight w:val="210"/>
        </w:trPr>
        <w:tc>
          <w:tcPr>
            <w:tcW w:w="7360" w:type="dxa"/>
            <w:vAlign w:val="bottom"/>
            <w:gridSpan w:val="2"/>
          </w:tcPr>
          <w:p>
            <w:pPr>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15,136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8,597</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32,484</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17,091</w:t>
            </w:r>
          </w:p>
        </w:tc>
        <w:tc>
          <w:tcPr>
            <w:tcW w:w="0" w:type="dxa"/>
            <w:vAlign w:val="bottom"/>
          </w:tcPr>
          <w:p>
            <w:pPr>
              <w:spacing w:after="0"/>
              <w:rPr>
                <w:sz w:val="1"/>
                <w:szCs w:val="1"/>
                <w:color w:val="auto"/>
              </w:rPr>
            </w:pPr>
          </w:p>
        </w:tc>
      </w:tr>
      <w:tr>
        <w:trPr>
          <w:trHeight w:val="210"/>
        </w:trPr>
        <w:tc>
          <w:tcPr>
            <w:tcW w:w="7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Restructuring and impairment charges</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6,585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gridSpan w:val="2"/>
          </w:tcPr>
          <w:p>
            <w:pPr>
              <w:spacing w:after="0"/>
              <w:rPr>
                <w:sz w:val="20"/>
                <w:szCs w:val="20"/>
                <w:color w:val="auto"/>
              </w:rPr>
            </w:pPr>
            <w:r>
              <w:rPr>
                <w:rFonts w:ascii="Arial" w:cs="Arial" w:eastAsia="Arial" w:hAnsi="Arial"/>
                <w:sz w:val="17"/>
                <w:szCs w:val="17"/>
                <w:color w:val="auto"/>
              </w:rPr>
              <w:t>Income from operations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16,703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13,589</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28,577</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27,524</w:t>
            </w:r>
          </w:p>
        </w:tc>
        <w:tc>
          <w:tcPr>
            <w:tcW w:w="0" w:type="dxa"/>
            <w:vAlign w:val="bottom"/>
          </w:tcPr>
          <w:p>
            <w:pPr>
              <w:spacing w:after="0"/>
              <w:rPr>
                <w:sz w:val="1"/>
                <w:szCs w:val="1"/>
                <w:color w:val="auto"/>
              </w:rPr>
            </w:pPr>
          </w:p>
        </w:tc>
      </w:tr>
      <w:tr>
        <w:trPr>
          <w:trHeight w:val="105"/>
        </w:trPr>
        <w:tc>
          <w:tcPr>
            <w:tcW w:w="204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7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16,165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6,021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32,587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11,959</w:t>
            </w:r>
          </w:p>
        </w:tc>
        <w:tc>
          <w:tcPr>
            <w:tcW w:w="0" w:type="dxa"/>
            <w:vAlign w:val="bottom"/>
          </w:tcPr>
          <w:p>
            <w:pPr>
              <w:spacing w:after="0"/>
              <w:rPr>
                <w:sz w:val="1"/>
                <w:szCs w:val="1"/>
                <w:color w:val="auto"/>
              </w:rPr>
            </w:pPr>
          </w:p>
        </w:tc>
      </w:tr>
      <w:tr>
        <w:trPr>
          <w:trHeight w:val="210"/>
        </w:trPr>
        <w:tc>
          <w:tcPr>
            <w:tcW w:w="7360" w:type="dxa"/>
            <w:vAlign w:val="bottom"/>
            <w:gridSpan w:val="2"/>
          </w:tcPr>
          <w:p>
            <w:pPr>
              <w:spacing w:after="0"/>
              <w:rPr>
                <w:sz w:val="20"/>
                <w:szCs w:val="20"/>
                <w:color w:val="auto"/>
              </w:rPr>
            </w:pPr>
            <w:r>
              <w:rPr>
                <w:rFonts w:ascii="Arial" w:cs="Arial" w:eastAsia="Arial" w:hAnsi="Arial"/>
                <w:sz w:val="17"/>
                <w:szCs w:val="17"/>
                <w:color w:val="auto"/>
              </w:rPr>
              <w:t>Other (income) expense, net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(824)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(1,953)</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1,419</w:t>
            </w:r>
          </w:p>
        </w:tc>
        <w:tc>
          <w:tcPr>
            <w:tcW w:w="0" w:type="dxa"/>
            <w:vAlign w:val="bottom"/>
          </w:tcPr>
          <w:p>
            <w:pPr>
              <w:spacing w:after="0"/>
              <w:rPr>
                <w:sz w:val="1"/>
                <w:szCs w:val="1"/>
                <w:color w:val="auto"/>
              </w:rPr>
            </w:pPr>
          </w:p>
        </w:tc>
      </w:tr>
      <w:tr>
        <w:trPr>
          <w:trHeight w:val="26"/>
        </w:trPr>
        <w:tc>
          <w:tcPr>
            <w:tcW w:w="20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8"/>
              </w:rPr>
              <w:t>Income (loss) before provision (benefit) for income taxes and share of net income from joint venture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(2,057)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14,146</w:t>
            </w:r>
          </w:p>
        </w:tc>
        <w:tc>
          <w:tcPr>
            <w:tcW w:w="0" w:type="dxa"/>
            <w:vAlign w:val="bottom"/>
          </w:tcPr>
          <w:p>
            <w:pPr>
              <w:spacing w:after="0"/>
              <w:rPr>
                <w:sz w:val="1"/>
                <w:szCs w:val="1"/>
                <w:color w:val="auto"/>
              </w:rPr>
            </w:pPr>
          </w:p>
        </w:tc>
      </w:tr>
      <w:tr>
        <w:trPr>
          <w:trHeight w:val="210"/>
        </w:trPr>
        <w:tc>
          <w:tcPr>
            <w:tcW w:w="7360" w:type="dxa"/>
            <w:vAlign w:val="bottom"/>
            <w:gridSpan w:val="2"/>
          </w:tcPr>
          <w:p>
            <w:pPr>
              <w:spacing w:after="0"/>
              <w:rPr>
                <w:sz w:val="20"/>
                <w:szCs w:val="20"/>
                <w:color w:val="auto"/>
              </w:rPr>
            </w:pPr>
            <w:r>
              <w:rPr>
                <w:rFonts w:ascii="Arial" w:cs="Arial" w:eastAsia="Arial" w:hAnsi="Arial"/>
                <w:sz w:val="17"/>
                <w:szCs w:val="17"/>
                <w:color w:val="auto"/>
              </w:rPr>
              <w:t>Provision (benefit) expense for income taxes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674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1,617</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3,073</w:t>
            </w:r>
          </w:p>
        </w:tc>
        <w:tc>
          <w:tcPr>
            <w:tcW w:w="0" w:type="dxa"/>
            <w:vAlign w:val="bottom"/>
          </w:tcPr>
          <w:p>
            <w:pPr>
              <w:spacing w:after="0"/>
              <w:rPr>
                <w:sz w:val="1"/>
                <w:szCs w:val="1"/>
                <w:color w:val="auto"/>
              </w:rPr>
            </w:pPr>
          </w:p>
        </w:tc>
      </w:tr>
      <w:tr>
        <w:trPr>
          <w:trHeight w:val="210"/>
        </w:trPr>
        <w:tc>
          <w:tcPr>
            <w:tcW w:w="7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 of net income from joint venture</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6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2,031</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6,953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732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12,955</w:t>
            </w:r>
          </w:p>
        </w:tc>
        <w:tc>
          <w:tcPr>
            <w:tcW w:w="0" w:type="dxa"/>
            <w:vAlign w:val="bottom"/>
          </w:tcPr>
          <w:p>
            <w:pPr>
              <w:spacing w:after="0"/>
              <w:rPr>
                <w:sz w:val="1"/>
                <w:szCs w:val="1"/>
                <w:color w:val="auto"/>
              </w:rPr>
            </w:pPr>
          </w:p>
        </w:tc>
      </w:tr>
      <w:tr>
        <w:trPr>
          <w:trHeight w:val="210"/>
        </w:trPr>
        <w:tc>
          <w:tcPr>
            <w:tcW w:w="7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Basic income per share:</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0.</w:t>
            </w:r>
            <w:r>
              <w:rPr>
                <w:rFonts w:ascii="Arial" w:cs="Arial" w:eastAsia="Arial" w:hAnsi="Arial"/>
                <w:sz w:val="17"/>
                <w:szCs w:val="17"/>
                <w:u w:val="single" w:color="auto"/>
                <w:color w:val="auto"/>
              </w:rPr>
              <w:t>08</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0.36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0.03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0.</w:t>
            </w:r>
            <w:r>
              <w:rPr>
                <w:rFonts w:ascii="Arial" w:cs="Arial" w:eastAsia="Arial" w:hAnsi="Arial"/>
                <w:sz w:val="17"/>
                <w:szCs w:val="17"/>
                <w:u w:val="single" w:color="auto"/>
                <w:color w:val="auto"/>
              </w:rPr>
              <w:t>68</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shares outstanding</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27,024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19,215</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26,923</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19,064</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7"/>
                <w:szCs w:val="17"/>
                <w:color w:val="auto"/>
              </w:rPr>
              <w:t>Diluted income per share:</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36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0.36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0.67</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7"/>
                <w:szCs w:val="17"/>
                <w:color w:val="auto"/>
              </w:rPr>
              <w:t>Weighted average shares outstanding</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36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27,187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19,582</w:t>
            </w:r>
          </w:p>
        </w:tc>
        <w:tc>
          <w:tcPr>
            <w:tcW w:w="10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27,050</w:t>
            </w:r>
          </w:p>
        </w:tc>
        <w:tc>
          <w:tcPr>
            <w:tcW w:w="1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19,416</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dividends per common share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0.14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6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NN,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3"/>
        </w:trPr>
        <w:tc>
          <w:tcPr>
            <w:tcW w:w="6560" w:type="dxa"/>
            <w:vAlign w:val="bottom"/>
            <w:gridSpan w:val="2"/>
            <w:vMerge w:val="continue"/>
          </w:tcPr>
          <w:p>
            <w:pPr>
              <w:spacing w:after="0"/>
              <w:rPr>
                <w:sz w:val="15"/>
                <w:szCs w:val="15"/>
                <w:color w:val="auto"/>
              </w:rPr>
            </w:pPr>
          </w:p>
        </w:tc>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3"/>
              <w:spacing w:after="0" w:line="153"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Assets</w:t>
            </w:r>
          </w:p>
        </w:tc>
        <w:tc>
          <w:tcPr>
            <w:tcW w:w="4520" w:type="dxa"/>
            <w:vAlign w:val="bottom"/>
            <w:tcBorders>
              <w:top w:val="single" w:sz="8" w:color="CCEEFF"/>
            </w:tcBorders>
            <w:shd w:val="clear" w:color="auto" w:fill="CCEEFF"/>
          </w:tcPr>
          <w:p>
            <w:pPr>
              <w:spacing w:after="0"/>
              <w:rPr>
                <w:sz w:val="15"/>
                <w:szCs w:val="15"/>
                <w:color w:val="auto"/>
              </w:rPr>
            </w:pPr>
          </w:p>
        </w:tc>
        <w:tc>
          <w:tcPr>
            <w:tcW w:w="28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6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Cash</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15,080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15,087</w:t>
            </w:r>
          </w:p>
        </w:tc>
        <w:tc>
          <w:tcPr>
            <w:tcW w:w="0" w:type="dxa"/>
            <w:vAlign w:val="bottom"/>
          </w:tcPr>
          <w:p>
            <w:pPr>
              <w:spacing w:after="0"/>
              <w:rPr>
                <w:sz w:val="1"/>
                <w:szCs w:val="1"/>
                <w:color w:val="auto"/>
              </w:rPr>
            </w:pPr>
          </w:p>
        </w:tc>
      </w:tr>
      <w:tr>
        <w:trPr>
          <w:trHeight w:val="210"/>
        </w:trPr>
        <w:tc>
          <w:tcPr>
            <w:tcW w:w="6560" w:type="dxa"/>
            <w:vAlign w:val="bottom"/>
            <w:gridSpan w:val="2"/>
          </w:tcPr>
          <w:p>
            <w:pPr>
              <w:ind w:left="360"/>
              <w:spacing w:after="0"/>
              <w:rPr>
                <w:sz w:val="20"/>
                <w:szCs w:val="20"/>
                <w:color w:val="auto"/>
              </w:rPr>
            </w:pPr>
            <w:r>
              <w:rPr>
                <w:rFonts w:ascii="Arial" w:cs="Arial" w:eastAsia="Arial" w:hAnsi="Arial"/>
                <w:sz w:val="17"/>
                <w:szCs w:val="17"/>
                <w:color w:val="auto"/>
              </w:rPr>
              <w:t>Accounts receivable, net</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147,053</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123,005</w:t>
            </w: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Inventories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118,784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119,836</w:t>
            </w:r>
          </w:p>
        </w:tc>
        <w:tc>
          <w:tcPr>
            <w:tcW w:w="0" w:type="dxa"/>
            <w:vAlign w:val="bottom"/>
          </w:tcPr>
          <w:p>
            <w:pPr>
              <w:spacing w:after="0"/>
              <w:rPr>
                <w:sz w:val="1"/>
                <w:szCs w:val="1"/>
                <w:color w:val="auto"/>
              </w:rPr>
            </w:pPr>
          </w:p>
        </w:tc>
      </w:tr>
      <w:tr>
        <w:trPr>
          <w:trHeight w:val="210"/>
        </w:trPr>
        <w:tc>
          <w:tcPr>
            <w:tcW w:w="6560" w:type="dxa"/>
            <w:vAlign w:val="bottom"/>
            <w:gridSpan w:val="2"/>
          </w:tcPr>
          <w:p>
            <w:pPr>
              <w:ind w:left="360"/>
              <w:spacing w:after="0"/>
              <w:rPr>
                <w:sz w:val="20"/>
                <w:szCs w:val="20"/>
                <w:color w:val="auto"/>
              </w:rPr>
            </w:pPr>
            <w:r>
              <w:rPr>
                <w:rFonts w:ascii="Arial" w:cs="Arial" w:eastAsia="Arial" w:hAnsi="Arial"/>
                <w:sz w:val="17"/>
                <w:szCs w:val="17"/>
                <w:color w:val="auto"/>
              </w:rPr>
              <w:t>Income tax receivable</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4,046</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3,989</w:t>
            </w: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Current deferred tax assets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6,696</w:t>
            </w:r>
          </w:p>
        </w:tc>
        <w:tc>
          <w:tcPr>
            <w:tcW w:w="0" w:type="dxa"/>
            <w:vAlign w:val="bottom"/>
          </w:tcPr>
          <w:p>
            <w:pPr>
              <w:spacing w:after="0"/>
              <w:rPr>
                <w:sz w:val="1"/>
                <w:szCs w:val="1"/>
                <w:color w:val="auto"/>
              </w:rPr>
            </w:pPr>
          </w:p>
        </w:tc>
      </w:tr>
      <w:tr>
        <w:trPr>
          <w:trHeight w:val="210"/>
        </w:trPr>
        <w:tc>
          <w:tcPr>
            <w:tcW w:w="6560" w:type="dxa"/>
            <w:vAlign w:val="bottom"/>
            <w:gridSpan w:val="2"/>
          </w:tcPr>
          <w:p>
            <w:pPr>
              <w:ind w:left="360"/>
              <w:spacing w:after="0"/>
              <w:rPr>
                <w:sz w:val="20"/>
                <w:szCs w:val="20"/>
                <w:color w:val="auto"/>
              </w:rPr>
            </w:pPr>
            <w:r>
              <w:rPr>
                <w:rFonts w:ascii="Arial" w:cs="Arial" w:eastAsia="Arial" w:hAnsi="Arial"/>
                <w:sz w:val="17"/>
                <w:szCs w:val="17"/>
                <w:color w:val="auto"/>
              </w:rPr>
              <w:t>Other current assets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12,920</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11,568</w:t>
            </w:r>
          </w:p>
        </w:tc>
        <w:tc>
          <w:tcPr>
            <w:tcW w:w="0" w:type="dxa"/>
            <w:vAlign w:val="bottom"/>
          </w:tcPr>
          <w:p>
            <w:pPr>
              <w:spacing w:after="0"/>
              <w:rPr>
                <w:sz w:val="1"/>
                <w:szCs w:val="1"/>
                <w:color w:val="auto"/>
              </w:rPr>
            </w:pPr>
          </w:p>
        </w:tc>
      </w:tr>
      <w:tr>
        <w:trPr>
          <w:trHeight w:val="26"/>
        </w:trPr>
        <w:tc>
          <w:tcPr>
            <w:tcW w:w="20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Total current assets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297,883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280,181</w:t>
            </w:r>
          </w:p>
        </w:tc>
        <w:tc>
          <w:tcPr>
            <w:tcW w:w="0" w:type="dxa"/>
            <w:vAlign w:val="bottom"/>
          </w:tcPr>
          <w:p>
            <w:pPr>
              <w:spacing w:after="0"/>
              <w:rPr>
                <w:sz w:val="1"/>
                <w:szCs w:val="1"/>
                <w:color w:val="auto"/>
              </w:rPr>
            </w:pPr>
          </w:p>
        </w:tc>
      </w:tr>
      <w:tr>
        <w:trPr>
          <w:trHeight w:val="314"/>
        </w:trPr>
        <w:tc>
          <w:tcPr>
            <w:tcW w:w="6560" w:type="dxa"/>
            <w:vAlign w:val="bottom"/>
            <w:gridSpan w:val="2"/>
          </w:tcPr>
          <w:p>
            <w:pPr>
              <w:spacing w:after="0"/>
              <w:rPr>
                <w:sz w:val="20"/>
                <w:szCs w:val="20"/>
                <w:color w:val="auto"/>
              </w:rPr>
            </w:pPr>
            <w:r>
              <w:rPr>
                <w:rFonts w:ascii="Arial" w:cs="Arial" w:eastAsia="Arial" w:hAnsi="Arial"/>
                <w:sz w:val="17"/>
                <w:szCs w:val="17"/>
                <w:color w:val="auto"/>
              </w:rPr>
              <w:t>Property, plant and equipment, net</w:t>
            </w: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323,244</w:t>
            </w:r>
          </w:p>
        </w:tc>
        <w:tc>
          <w:tcPr>
            <w:tcW w:w="10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318,968</w:t>
            </w: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Goodwill, net</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448,690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449,898</w:t>
            </w:r>
          </w:p>
        </w:tc>
        <w:tc>
          <w:tcPr>
            <w:tcW w:w="0" w:type="dxa"/>
            <w:vAlign w:val="bottom"/>
          </w:tcPr>
          <w:p>
            <w:pPr>
              <w:spacing w:after="0"/>
              <w:rPr>
                <w:sz w:val="1"/>
                <w:szCs w:val="1"/>
                <w:color w:val="auto"/>
              </w:rPr>
            </w:pPr>
          </w:p>
        </w:tc>
      </w:tr>
      <w:tr>
        <w:trPr>
          <w:trHeight w:val="210"/>
        </w:trPr>
        <w:tc>
          <w:tcPr>
            <w:tcW w:w="6560" w:type="dxa"/>
            <w:vAlign w:val="bottom"/>
            <w:gridSpan w:val="2"/>
          </w:tcPr>
          <w:p>
            <w:pPr>
              <w:spacing w:after="0"/>
              <w:rPr>
                <w:sz w:val="20"/>
                <w:szCs w:val="20"/>
                <w:color w:val="auto"/>
              </w:rPr>
            </w:pPr>
            <w:r>
              <w:rPr>
                <w:rFonts w:ascii="Arial" w:cs="Arial" w:eastAsia="Arial" w:hAnsi="Arial"/>
                <w:sz w:val="17"/>
                <w:szCs w:val="17"/>
                <w:color w:val="auto"/>
              </w:rPr>
              <w:t>Intangible assets, net</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267,769</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282,169</w:t>
            </w: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Non-current deferred tax assets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742</w:t>
            </w:r>
          </w:p>
        </w:tc>
        <w:tc>
          <w:tcPr>
            <w:tcW w:w="0" w:type="dxa"/>
            <w:vAlign w:val="bottom"/>
          </w:tcPr>
          <w:p>
            <w:pPr>
              <w:spacing w:after="0"/>
              <w:rPr>
                <w:sz w:val="1"/>
                <w:szCs w:val="1"/>
                <w:color w:val="auto"/>
              </w:rPr>
            </w:pPr>
          </w:p>
        </w:tc>
      </w:tr>
      <w:tr>
        <w:trPr>
          <w:trHeight w:val="210"/>
        </w:trPr>
        <w:tc>
          <w:tcPr>
            <w:tcW w:w="6560" w:type="dxa"/>
            <w:vAlign w:val="bottom"/>
            <w:gridSpan w:val="2"/>
          </w:tcPr>
          <w:p>
            <w:pPr>
              <w:spacing w:after="0"/>
              <w:rPr>
                <w:sz w:val="20"/>
                <w:szCs w:val="20"/>
                <w:color w:val="auto"/>
              </w:rPr>
            </w:pPr>
            <w:r>
              <w:rPr>
                <w:rFonts w:ascii="Arial" w:cs="Arial" w:eastAsia="Arial" w:hAnsi="Arial"/>
                <w:sz w:val="17"/>
                <w:szCs w:val="17"/>
                <w:color w:val="auto"/>
              </w:rPr>
              <w:t>Investment in joint venture</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41,205</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38,462</w:t>
            </w: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non-current assets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10,950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10,147</w:t>
            </w:r>
          </w:p>
        </w:tc>
        <w:tc>
          <w:tcPr>
            <w:tcW w:w="0" w:type="dxa"/>
            <w:vAlign w:val="bottom"/>
          </w:tcPr>
          <w:p>
            <w:pPr>
              <w:spacing w:after="0"/>
              <w:rPr>
                <w:sz w:val="1"/>
                <w:szCs w:val="1"/>
                <w:color w:val="auto"/>
              </w:rPr>
            </w:pPr>
          </w:p>
        </w:tc>
      </w:tr>
      <w:tr>
        <w:trPr>
          <w:trHeight w:val="216"/>
        </w:trPr>
        <w:tc>
          <w:tcPr>
            <w:tcW w:w="6560" w:type="dxa"/>
            <w:vAlign w:val="bottom"/>
            <w:gridSpan w:val="2"/>
          </w:tcPr>
          <w:p>
            <w:pPr>
              <w:ind w:left="700"/>
              <w:spacing w:after="0"/>
              <w:rPr>
                <w:sz w:val="20"/>
                <w:szCs w:val="20"/>
                <w:color w:val="auto"/>
              </w:rPr>
            </w:pPr>
            <w:r>
              <w:rPr>
                <w:rFonts w:ascii="Arial" w:cs="Arial" w:eastAsia="Arial" w:hAnsi="Arial"/>
                <w:sz w:val="17"/>
                <w:szCs w:val="17"/>
                <w:color w:val="auto"/>
              </w:rPr>
              <w:t>Total assets</w:t>
            </w:r>
          </w:p>
        </w:tc>
        <w:tc>
          <w:tcPr>
            <w:tcW w:w="28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1,389,741</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1,380,567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5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2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6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Accounts payable</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65,862</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69,101</w:t>
            </w:r>
          </w:p>
        </w:tc>
        <w:tc>
          <w:tcPr>
            <w:tcW w:w="0" w:type="dxa"/>
            <w:vAlign w:val="bottom"/>
          </w:tcPr>
          <w:p>
            <w:pPr>
              <w:spacing w:after="0"/>
              <w:rPr>
                <w:sz w:val="1"/>
                <w:szCs w:val="1"/>
                <w:color w:val="auto"/>
              </w:rPr>
            </w:pPr>
          </w:p>
        </w:tc>
      </w:tr>
      <w:tr>
        <w:trPr>
          <w:trHeight w:val="210"/>
        </w:trPr>
        <w:tc>
          <w:tcPr>
            <w:tcW w:w="6560" w:type="dxa"/>
            <w:vAlign w:val="bottom"/>
            <w:gridSpan w:val="2"/>
          </w:tcPr>
          <w:p>
            <w:pPr>
              <w:ind w:left="360"/>
              <w:spacing w:after="0"/>
              <w:rPr>
                <w:sz w:val="20"/>
                <w:szCs w:val="20"/>
                <w:color w:val="auto"/>
              </w:rPr>
            </w:pPr>
            <w:r>
              <w:rPr>
                <w:rFonts w:ascii="Arial" w:cs="Arial" w:eastAsia="Arial" w:hAnsi="Arial"/>
                <w:sz w:val="17"/>
                <w:szCs w:val="17"/>
                <w:color w:val="auto"/>
              </w:rPr>
              <w:t>Accrued salaries, wages and benefits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23,392</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21,125</w:t>
            </w: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Income taxes payable</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2,042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5,350</w:t>
            </w:r>
          </w:p>
        </w:tc>
        <w:tc>
          <w:tcPr>
            <w:tcW w:w="0" w:type="dxa"/>
            <w:vAlign w:val="bottom"/>
          </w:tcPr>
          <w:p>
            <w:pPr>
              <w:spacing w:after="0"/>
              <w:rPr>
                <w:sz w:val="1"/>
                <w:szCs w:val="1"/>
                <w:color w:val="auto"/>
              </w:rPr>
            </w:pPr>
          </w:p>
        </w:tc>
      </w:tr>
      <w:tr>
        <w:trPr>
          <w:trHeight w:val="210"/>
        </w:trPr>
        <w:tc>
          <w:tcPr>
            <w:tcW w:w="6560" w:type="dxa"/>
            <w:vAlign w:val="bottom"/>
            <w:gridSpan w:val="2"/>
          </w:tcPr>
          <w:p>
            <w:pPr>
              <w:ind w:left="360"/>
              <w:spacing w:after="0"/>
              <w:rPr>
                <w:sz w:val="20"/>
                <w:szCs w:val="20"/>
                <w:color w:val="auto"/>
              </w:rPr>
            </w:pPr>
            <w:r>
              <w:rPr>
                <w:rFonts w:ascii="Arial" w:cs="Arial" w:eastAsia="Arial" w:hAnsi="Arial"/>
                <w:sz w:val="17"/>
                <w:szCs w:val="17"/>
                <w:color w:val="auto"/>
              </w:rPr>
              <w:t>Current maturities of long-term debt</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19,537</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11,714</w:t>
            </w: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Current portion of obligation under capital lease</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4,101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4,786</w:t>
            </w:r>
          </w:p>
        </w:tc>
        <w:tc>
          <w:tcPr>
            <w:tcW w:w="0" w:type="dxa"/>
            <w:vAlign w:val="bottom"/>
          </w:tcPr>
          <w:p>
            <w:pPr>
              <w:spacing w:after="0"/>
              <w:rPr>
                <w:sz w:val="1"/>
                <w:szCs w:val="1"/>
                <w:color w:val="auto"/>
              </w:rPr>
            </w:pPr>
          </w:p>
        </w:tc>
      </w:tr>
      <w:tr>
        <w:trPr>
          <w:trHeight w:val="210"/>
        </w:trPr>
        <w:tc>
          <w:tcPr>
            <w:tcW w:w="6560" w:type="dxa"/>
            <w:vAlign w:val="bottom"/>
            <w:gridSpan w:val="2"/>
          </w:tcPr>
          <w:p>
            <w:pPr>
              <w:ind w:left="360"/>
              <w:spacing w:after="0"/>
              <w:rPr>
                <w:sz w:val="20"/>
                <w:szCs w:val="20"/>
                <w:color w:val="auto"/>
              </w:rPr>
            </w:pPr>
            <w:r>
              <w:rPr>
                <w:rFonts w:ascii="Arial" w:cs="Arial" w:eastAsia="Arial" w:hAnsi="Arial"/>
                <w:sz w:val="17"/>
                <w:szCs w:val="17"/>
                <w:color w:val="auto"/>
              </w:rPr>
              <w:t>Other current liabilities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23,941</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21,275</w:t>
            </w:r>
          </w:p>
        </w:tc>
        <w:tc>
          <w:tcPr>
            <w:tcW w:w="0" w:type="dxa"/>
            <w:vAlign w:val="bottom"/>
          </w:tcPr>
          <w:p>
            <w:pPr>
              <w:spacing w:after="0"/>
              <w:rPr>
                <w:sz w:val="1"/>
                <w:szCs w:val="1"/>
                <w:color w:val="auto"/>
              </w:rPr>
            </w:pPr>
          </w:p>
        </w:tc>
      </w:tr>
      <w:tr>
        <w:trPr>
          <w:trHeight w:val="26"/>
        </w:trPr>
        <w:tc>
          <w:tcPr>
            <w:tcW w:w="20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Total current liabilities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138,875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133,351</w:t>
            </w:r>
          </w:p>
        </w:tc>
        <w:tc>
          <w:tcPr>
            <w:tcW w:w="0" w:type="dxa"/>
            <w:vAlign w:val="bottom"/>
          </w:tcPr>
          <w:p>
            <w:pPr>
              <w:spacing w:after="0"/>
              <w:rPr>
                <w:sz w:val="1"/>
                <w:szCs w:val="1"/>
                <w:color w:val="auto"/>
              </w:rPr>
            </w:pPr>
          </w:p>
        </w:tc>
      </w:tr>
      <w:tr>
        <w:trPr>
          <w:trHeight w:val="314"/>
        </w:trPr>
        <w:tc>
          <w:tcPr>
            <w:tcW w:w="6560" w:type="dxa"/>
            <w:vAlign w:val="bottom"/>
            <w:gridSpan w:val="2"/>
          </w:tcPr>
          <w:p>
            <w:pPr>
              <w:spacing w:after="0"/>
              <w:rPr>
                <w:sz w:val="20"/>
                <w:szCs w:val="20"/>
                <w:color w:val="auto"/>
              </w:rPr>
            </w:pPr>
            <w:r>
              <w:rPr>
                <w:rFonts w:ascii="Arial" w:cs="Arial" w:eastAsia="Arial" w:hAnsi="Arial"/>
                <w:sz w:val="17"/>
                <w:szCs w:val="17"/>
                <w:color w:val="auto"/>
              </w:rPr>
              <w:t>Non-current deferred tax liabilities</w:t>
            </w: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112,256</w:t>
            </w:r>
          </w:p>
        </w:tc>
        <w:tc>
          <w:tcPr>
            <w:tcW w:w="10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117,459</w:t>
            </w: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 net of current portion</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801,213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795,400</w:t>
            </w:r>
          </w:p>
        </w:tc>
        <w:tc>
          <w:tcPr>
            <w:tcW w:w="0" w:type="dxa"/>
            <w:vAlign w:val="bottom"/>
          </w:tcPr>
          <w:p>
            <w:pPr>
              <w:spacing w:after="0"/>
              <w:rPr>
                <w:sz w:val="1"/>
                <w:szCs w:val="1"/>
                <w:color w:val="auto"/>
              </w:rPr>
            </w:pPr>
          </w:p>
        </w:tc>
      </w:tr>
      <w:tr>
        <w:trPr>
          <w:trHeight w:val="210"/>
        </w:trPr>
        <w:tc>
          <w:tcPr>
            <w:tcW w:w="6560" w:type="dxa"/>
            <w:vAlign w:val="bottom"/>
            <w:gridSpan w:val="2"/>
          </w:tcPr>
          <w:p>
            <w:pPr>
              <w:spacing w:after="0"/>
              <w:rPr>
                <w:sz w:val="20"/>
                <w:szCs w:val="20"/>
                <w:color w:val="auto"/>
              </w:rPr>
            </w:pPr>
            <w:r>
              <w:rPr>
                <w:rFonts w:ascii="Arial" w:cs="Arial" w:eastAsia="Arial" w:hAnsi="Arial"/>
                <w:sz w:val="17"/>
                <w:szCs w:val="17"/>
                <w:color w:val="auto"/>
              </w:rPr>
              <w:t>Accrued post-employment benefits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6,045</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6,157</w:t>
            </w: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Obligation under capital lease, net of current portion</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7,656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9,573</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7"/>
                <w:szCs w:val="17"/>
                <w:color w:val="auto"/>
              </w:rPr>
              <w:t>Other</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6,290</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4,746</w:t>
            </w: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Total liabilities</w:t>
            </w:r>
          </w:p>
        </w:tc>
        <w:tc>
          <w:tcPr>
            <w:tcW w:w="2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1,072,335</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1,066,686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7"/>
                <w:szCs w:val="17"/>
                <w:color w:val="auto"/>
              </w:rPr>
              <w:t>Total stockholders’ equity</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317,406</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313,881</w:t>
            </w: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Total liabilities and stockholders’ equity</w:t>
            </w:r>
          </w:p>
        </w:tc>
        <w:tc>
          <w:tcPr>
            <w:tcW w:w="28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1,389,741</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1,380,567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65"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Reconciliation of GAAP net income to Non-GAAP adjusted net income:</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20" w:type="dxa"/>
            <w:vAlign w:val="bottom"/>
          </w:tcPr>
          <w:p>
            <w:pPr>
              <w:spacing w:after="0"/>
              <w:rPr>
                <w:sz w:val="20"/>
                <w:szCs w:val="20"/>
                <w:color w:val="auto"/>
              </w:rPr>
            </w:pPr>
            <w:r>
              <w:rPr>
                <w:rFonts w:ascii="Arial" w:cs="Arial" w:eastAsia="Arial" w:hAnsi="Arial"/>
                <w:sz w:val="14"/>
                <w:szCs w:val="14"/>
                <w:b w:val="1"/>
                <w:bCs w:val="1"/>
                <w:color w:val="auto"/>
              </w:rPr>
              <w:t>NN, Inc - Total Company</w:t>
            </w:r>
          </w:p>
        </w:tc>
        <w:tc>
          <w:tcPr>
            <w:tcW w:w="180" w:type="dxa"/>
            <w:vAlign w:val="bottom"/>
          </w:tcPr>
          <w:p>
            <w:pPr>
              <w:spacing w:after="0"/>
              <w:rPr>
                <w:sz w:val="14"/>
                <w:szCs w:val="14"/>
                <w:color w:val="auto"/>
              </w:rPr>
            </w:pPr>
          </w:p>
        </w:tc>
        <w:tc>
          <w:tcPr>
            <w:tcW w:w="28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w w:val="93"/>
              </w:rPr>
              <w:t>Three Months Ended June 30, 2016</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3"/>
              </w:rPr>
              <w:t>Three Months Ended June 30, 2015</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5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gridSpan w:val="3"/>
          </w:tcPr>
          <w:p>
            <w:pPr>
              <w:jc w:val="right"/>
              <w:ind w:right="420"/>
              <w:spacing w:after="0" w:line="144" w:lineRule="exact"/>
              <w:rPr>
                <w:sz w:val="20"/>
                <w:szCs w:val="20"/>
                <w:color w:val="auto"/>
              </w:rPr>
            </w:pPr>
            <w:r>
              <w:rPr>
                <w:rFonts w:ascii="Arial" w:cs="Arial" w:eastAsia="Arial" w:hAnsi="Arial"/>
                <w:sz w:val="14"/>
                <w:szCs w:val="14"/>
                <w:b w:val="1"/>
                <w:bCs w:val="1"/>
                <w:color w:val="auto"/>
                <w:w w:val="93"/>
              </w:rPr>
              <w:t>Diluted Earnings</w:t>
            </w:r>
          </w:p>
        </w:tc>
        <w:tc>
          <w:tcPr>
            <w:tcW w:w="340" w:type="dxa"/>
            <w:vAlign w:val="bottom"/>
          </w:tcPr>
          <w:p>
            <w:pPr>
              <w:spacing w:after="0"/>
              <w:rPr>
                <w:sz w:val="12"/>
                <w:szCs w:val="12"/>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1180" w:type="dxa"/>
            <w:vAlign w:val="bottom"/>
            <w:gridSpan w:val="3"/>
          </w:tcPr>
          <w:p>
            <w:pPr>
              <w:jc w:val="right"/>
              <w:ind w:right="120"/>
              <w:spacing w:after="0" w:line="144" w:lineRule="exact"/>
              <w:rPr>
                <w:sz w:val="20"/>
                <w:szCs w:val="20"/>
                <w:color w:val="auto"/>
              </w:rPr>
            </w:pPr>
            <w:r>
              <w:rPr>
                <w:rFonts w:ascii="Arial" w:cs="Arial" w:eastAsia="Arial" w:hAnsi="Arial"/>
                <w:sz w:val="14"/>
                <w:szCs w:val="14"/>
                <w:b w:val="1"/>
                <w:bCs w:val="1"/>
                <w:color w:val="auto"/>
                <w:w w:val="93"/>
              </w:rPr>
              <w:t>Diluted Earnings</w:t>
            </w:r>
          </w:p>
        </w:tc>
        <w:tc>
          <w:tcPr>
            <w:tcW w:w="0" w:type="dxa"/>
            <w:vAlign w:val="bottom"/>
          </w:tcPr>
          <w:p>
            <w:pPr>
              <w:spacing w:after="0"/>
              <w:rPr>
                <w:sz w:val="1"/>
                <w:szCs w:val="1"/>
                <w:color w:val="auto"/>
              </w:rPr>
            </w:pPr>
          </w:p>
        </w:tc>
      </w:tr>
      <w:tr>
        <w:trPr>
          <w:trHeight w:val="167"/>
        </w:trPr>
        <w:tc>
          <w:tcPr>
            <w:tcW w:w="43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7"/>
              </w:rPr>
              <w:t>Per Share</w:t>
            </w:r>
          </w:p>
        </w:tc>
        <w:tc>
          <w:tcPr>
            <w:tcW w:w="3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Per Share</w:t>
            </w:r>
          </w:p>
        </w:tc>
        <w:tc>
          <w:tcPr>
            <w:tcW w:w="0" w:type="dxa"/>
            <w:vAlign w:val="bottom"/>
          </w:tcPr>
          <w:p>
            <w:pPr>
              <w:spacing w:after="0"/>
              <w:rPr>
                <w:sz w:val="1"/>
                <w:szCs w:val="1"/>
                <w:color w:val="auto"/>
              </w:rPr>
            </w:pPr>
          </w:p>
        </w:tc>
      </w:tr>
      <w:tr>
        <w:trPr>
          <w:trHeight w:val="203"/>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GAAP Net income</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2,031</w:t>
            </w: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0.07</w:t>
            </w: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6,953</w:t>
            </w: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7"/>
                <w:szCs w:val="17"/>
                <w:color w:val="auto"/>
              </w:rPr>
              <w:t>After-tax acquisition and integration costs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1,285</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7"/>
                <w:szCs w:val="17"/>
                <w:color w:val="auto"/>
              </w:rPr>
              <w:t>0.05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7"/>
                <w:szCs w:val="17"/>
                <w:color w:val="auto"/>
              </w:rPr>
              <w:t>436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197"/>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After-tax foreign exchange gain on inter-company</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loans</w:t>
            </w:r>
          </w:p>
        </w:tc>
        <w:tc>
          <w:tcPr>
            <w:tcW w:w="18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680"/>
              <w:spacing w:after="0"/>
              <w:rPr>
                <w:sz w:val="20"/>
                <w:szCs w:val="20"/>
                <w:color w:val="auto"/>
              </w:rPr>
            </w:pPr>
            <w:r>
              <w:rPr>
                <w:rFonts w:ascii="Arial" w:cs="Arial" w:eastAsia="Arial" w:hAnsi="Arial"/>
                <w:sz w:val="17"/>
                <w:szCs w:val="17"/>
                <w:color w:val="auto"/>
              </w:rPr>
              <w:t>(700)</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(0.02)</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(232)</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7"/>
                <w:szCs w:val="17"/>
                <w:color w:val="auto"/>
              </w:rPr>
              <w:t>After-tax restructuring and impairment charges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5,174</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7"/>
                <w:szCs w:val="17"/>
                <w:color w:val="auto"/>
              </w:rPr>
              <w:t>0.19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intangibles &amp; deferred financing</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4,642</w:t>
            </w: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0.17</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w:t>
            </w:r>
          </w:p>
        </w:tc>
        <w:tc>
          <w:tcPr>
            <w:tcW w:w="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7"/>
                <w:szCs w:val="17"/>
                <w:color w:val="auto"/>
              </w:rPr>
              <w:t>Non-GAAP Adjusted net income (b)</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12,432</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400"/>
              <w:spacing w:after="0"/>
              <w:rPr>
                <w:sz w:val="20"/>
                <w:szCs w:val="20"/>
                <w:color w:val="auto"/>
              </w:rPr>
            </w:pPr>
            <w:r>
              <w:rPr>
                <w:rFonts w:ascii="Arial" w:cs="Arial" w:eastAsia="Arial" w:hAnsi="Arial"/>
                <w:sz w:val="17"/>
                <w:szCs w:val="17"/>
                <w:color w:val="auto"/>
              </w:rPr>
              <w:t>0.46</w:t>
            </w:r>
          </w:p>
        </w:tc>
        <w:tc>
          <w:tcPr>
            <w:tcW w:w="54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8,305</w:t>
            </w:r>
          </w:p>
        </w:tc>
        <w:tc>
          <w:tcPr>
            <w:tcW w:w="400" w:type="dxa"/>
            <w:vAlign w:val="bottom"/>
          </w:tcPr>
          <w:p>
            <w:pPr>
              <w:spacing w:after="0"/>
              <w:rPr>
                <w:sz w:val="18"/>
                <w:szCs w:val="18"/>
                <w:color w:val="auto"/>
              </w:rPr>
            </w:pPr>
          </w:p>
        </w:tc>
        <w:tc>
          <w:tcPr>
            <w:tcW w:w="520" w:type="dxa"/>
            <w:vAlign w:val="bottom"/>
            <w:gridSpan w:val="2"/>
          </w:tcPr>
          <w:p>
            <w:pPr>
              <w:jc w:val="right"/>
              <w:ind w:right="1"/>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0.42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60"/>
          </w:cols>
          <w:pgMar w:left="240" w:top="265" w:right="69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Reconciliation of GAAP income from operations to Non-GAAP adjusted income from operations: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NN, Inc - Total Company</w:t>
            </w: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2016</w:t>
            </w:r>
          </w:p>
        </w:tc>
        <w:tc>
          <w:tcPr>
            <w:tcW w:w="196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91"/>
              </w:rPr>
              <w:t>Three Months Ended June 30,</w:t>
            </w:r>
          </w:p>
        </w:tc>
        <w:tc>
          <w:tcPr>
            <w:tcW w:w="4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2"/>
            <w:vMerge w:val="continue"/>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700"/>
              <w:spacing w:after="0" w:line="137" w:lineRule="exact"/>
              <w:rPr>
                <w:sz w:val="20"/>
                <w:szCs w:val="20"/>
                <w:color w:val="auto"/>
              </w:rPr>
            </w:pPr>
            <w:r>
              <w:rPr>
                <w:rFonts w:ascii="Arial" w:cs="Arial" w:eastAsia="Arial" w:hAnsi="Arial"/>
                <w:sz w:val="14"/>
                <w:szCs w:val="14"/>
                <w:b w:val="1"/>
                <w:bCs w:val="1"/>
                <w:color w:val="auto"/>
              </w:rPr>
              <w:t>$’000</w:t>
            </w:r>
          </w:p>
        </w:tc>
        <w:tc>
          <w:tcPr>
            <w:tcW w:w="620" w:type="dxa"/>
            <w:vAlign w:val="bottom"/>
          </w:tcPr>
          <w:p>
            <w:pPr>
              <w:spacing w:after="0" w:line="137" w:lineRule="exact"/>
              <w:rPr>
                <w:sz w:val="20"/>
                <w:szCs w:val="20"/>
                <w:color w:val="auto"/>
              </w:rPr>
            </w:pPr>
            <w:r>
              <w:rPr>
                <w:rFonts w:ascii="Arial" w:cs="Arial" w:eastAsia="Arial" w:hAnsi="Arial"/>
                <w:sz w:val="14"/>
                <w:szCs w:val="14"/>
                <w:b w:val="1"/>
                <w:bCs w:val="1"/>
                <w:color w:val="auto"/>
                <w:w w:val="85"/>
              </w:rPr>
              <w:t>% of Sales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ind w:left="40"/>
              <w:spacing w:after="0" w:line="137" w:lineRule="exact"/>
              <w:rPr>
                <w:sz w:val="20"/>
                <w:szCs w:val="20"/>
                <w:color w:val="auto"/>
              </w:rPr>
            </w:pPr>
            <w:r>
              <w:rPr>
                <w:rFonts w:ascii="Arial" w:cs="Arial" w:eastAsia="Arial" w:hAnsi="Arial"/>
                <w:sz w:val="14"/>
                <w:szCs w:val="14"/>
                <w:b w:val="1"/>
                <w:bCs w:val="1"/>
                <w:color w:val="auto"/>
              </w:rPr>
              <w:t>$’000</w:t>
            </w:r>
          </w:p>
        </w:tc>
        <w:tc>
          <w:tcPr>
            <w:tcW w:w="480" w:type="dxa"/>
            <w:vAlign w:val="bottom"/>
          </w:tcPr>
          <w:p>
            <w:pPr>
              <w:spacing w:after="0"/>
              <w:rPr>
                <w:sz w:val="11"/>
                <w:szCs w:val="11"/>
                <w:color w:val="auto"/>
              </w:rPr>
            </w:pPr>
          </w:p>
        </w:tc>
        <w:tc>
          <w:tcPr>
            <w:tcW w:w="620" w:type="dxa"/>
            <w:vAlign w:val="bottom"/>
          </w:tcPr>
          <w:p>
            <w:pPr>
              <w:spacing w:after="0" w:line="137" w:lineRule="exact"/>
              <w:rPr>
                <w:sz w:val="20"/>
                <w:szCs w:val="20"/>
                <w:color w:val="auto"/>
              </w:rPr>
            </w:pPr>
            <w:r>
              <w:rPr>
                <w:rFonts w:ascii="Arial" w:cs="Arial" w:eastAsia="Arial" w:hAnsi="Arial"/>
                <w:sz w:val="14"/>
                <w:szCs w:val="14"/>
                <w:b w:val="1"/>
                <w:bCs w:val="1"/>
                <w:color w:val="auto"/>
                <w:w w:val="85"/>
              </w:rPr>
              <w:t>% of Sales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GAAP Income from operations</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w w:val="99"/>
              </w:rPr>
              <w:t>16,703</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7.8%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13,589</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Restructuring &amp; impairment charges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7"/>
                <w:szCs w:val="17"/>
                <w:color w:val="auto"/>
              </w:rPr>
              <w:t>4,745</w:t>
            </w:r>
          </w:p>
        </w:tc>
        <w:tc>
          <w:tcPr>
            <w:tcW w:w="1240" w:type="dxa"/>
            <w:vAlign w:val="bottom"/>
            <w:gridSpan w:val="2"/>
          </w:tcPr>
          <w:p>
            <w:pPr>
              <w:jc w:val="right"/>
              <w:ind w:right="480"/>
              <w:spacing w:after="0"/>
              <w:rPr>
                <w:sz w:val="20"/>
                <w:szCs w:val="20"/>
                <w:color w:val="auto"/>
              </w:rPr>
            </w:pPr>
            <w:r>
              <w:rPr>
                <w:rFonts w:ascii="Arial" w:cs="Arial" w:eastAsia="Arial" w:hAnsi="Arial"/>
                <w:sz w:val="17"/>
                <w:szCs w:val="17"/>
                <w:color w:val="auto"/>
              </w:rPr>
              <w:t>2.2%</w:t>
            </w:r>
          </w:p>
        </w:tc>
        <w:tc>
          <w:tcPr>
            <w:tcW w:w="1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300" w:type="dxa"/>
            <w:vAlign w:val="bottom"/>
            <w:gridSpan w:val="3"/>
          </w:tcPr>
          <w:p>
            <w:pPr>
              <w:jc w:val="right"/>
              <w:ind w:right="40"/>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Acquisition &amp; integration expenses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1,178</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0.5%</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681</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Amortization of intangibles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7"/>
                <w:szCs w:val="17"/>
                <w:color w:val="auto"/>
              </w:rPr>
              <w:t>6,101</w:t>
            </w:r>
          </w:p>
        </w:tc>
        <w:tc>
          <w:tcPr>
            <w:tcW w:w="1240" w:type="dxa"/>
            <w:vAlign w:val="bottom"/>
            <w:gridSpan w:val="2"/>
          </w:tcPr>
          <w:p>
            <w:pPr>
              <w:jc w:val="right"/>
              <w:ind w:right="480"/>
              <w:spacing w:after="0"/>
              <w:rPr>
                <w:sz w:val="20"/>
                <w:szCs w:val="20"/>
                <w:color w:val="auto"/>
              </w:rPr>
            </w:pPr>
            <w:r>
              <w:rPr>
                <w:rFonts w:ascii="Arial" w:cs="Arial" w:eastAsia="Arial" w:hAnsi="Arial"/>
                <w:sz w:val="17"/>
                <w:szCs w:val="17"/>
                <w:color w:val="auto"/>
              </w:rPr>
              <w:t>2.8%</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962</w:t>
            </w:r>
          </w:p>
        </w:tc>
        <w:tc>
          <w:tcPr>
            <w:tcW w:w="1300" w:type="dxa"/>
            <w:vAlign w:val="bottom"/>
            <w:gridSpan w:val="3"/>
          </w:tcPr>
          <w:p>
            <w:pPr>
              <w:jc w:val="right"/>
              <w:ind w:right="40"/>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Non-GAAP Adjusted income from operations (a)</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w w:val="99"/>
              </w:rPr>
              <w:t>28,727</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13.4%</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15,232</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GAAP Total Sales</w:t>
            </w:r>
          </w:p>
        </w:tc>
        <w:tc>
          <w:tcPr>
            <w:tcW w:w="1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840" w:type="dxa"/>
            <w:vAlign w:val="bottom"/>
            <w:gridSpan w:val="2"/>
            <w:vMerge w:val="continue"/>
          </w:tcPr>
          <w:p>
            <w:pPr>
              <w:spacing w:after="0"/>
              <w:rPr>
                <w:sz w:val="17"/>
                <w:szCs w:val="17"/>
                <w:color w:val="auto"/>
              </w:rPr>
            </w:pPr>
          </w:p>
        </w:tc>
        <w:tc>
          <w:tcPr>
            <w:tcW w:w="2400" w:type="dxa"/>
            <w:vAlign w:val="bottom"/>
            <w:gridSpan w:val="4"/>
          </w:tcPr>
          <w:p>
            <w:pPr>
              <w:jc w:val="right"/>
              <w:ind w:right="540"/>
              <w:spacing w:after="0"/>
              <w:rPr>
                <w:sz w:val="20"/>
                <w:szCs w:val="20"/>
                <w:color w:val="auto"/>
              </w:rPr>
            </w:pPr>
            <w:r>
              <w:rPr>
                <w:rFonts w:ascii="Arial" w:cs="Arial" w:eastAsia="Arial" w:hAnsi="Arial"/>
                <w:sz w:val="17"/>
                <w:szCs w:val="17"/>
                <w:color w:val="auto"/>
              </w:rPr>
              <w:t>$214,272</w:t>
            </w: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7"/>
                <w:szCs w:val="17"/>
                <w:color w:val="auto"/>
                <w:w w:val="93"/>
              </w:rPr>
              <w:t>$164,856</w:t>
            </w: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GAAP income from operations to Non-GAAP adjusted income from operations: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NN, Inc - Autocam Precision Components Group</w:t>
            </w: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1940" w:type="dxa"/>
            <w:vAlign w:val="bottom"/>
            <w:gridSpan w:val="5"/>
          </w:tcPr>
          <w:p>
            <w:pPr>
              <w:ind w:left="60"/>
              <w:spacing w:after="0"/>
              <w:rPr>
                <w:sz w:val="20"/>
                <w:szCs w:val="20"/>
                <w:color w:val="auto"/>
              </w:rPr>
            </w:pPr>
            <w:r>
              <w:rPr>
                <w:rFonts w:ascii="Arial" w:cs="Arial" w:eastAsia="Arial" w:hAnsi="Arial"/>
                <w:sz w:val="14"/>
                <w:szCs w:val="14"/>
                <w:b w:val="1"/>
                <w:bCs w:val="1"/>
                <w:color w:val="auto"/>
                <w:w w:val="93"/>
              </w:rPr>
              <w:t>Three Months Ended June 30,</w:t>
            </w:r>
          </w:p>
        </w:tc>
        <w:tc>
          <w:tcPr>
            <w:tcW w:w="46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1100" w:type="dxa"/>
            <w:vAlign w:val="bottom"/>
            <w:tcBorders>
              <w:bottom w:val="single" w:sz="8" w:color="auto"/>
            </w:tcBorders>
            <w:gridSpan w:val="2"/>
            <w:vMerge w:val="continue"/>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1100" w:type="dxa"/>
            <w:vAlign w:val="bottom"/>
            <w:gridSpan w:val="2"/>
          </w:tcPr>
          <w:p>
            <w:pPr>
              <w:jc w:val="right"/>
              <w:ind w:right="660"/>
              <w:spacing w:after="0" w:line="137" w:lineRule="exact"/>
              <w:rPr>
                <w:sz w:val="20"/>
                <w:szCs w:val="20"/>
                <w:color w:val="auto"/>
              </w:rPr>
            </w:pPr>
            <w:r>
              <w:rPr>
                <w:rFonts w:ascii="Arial" w:cs="Arial" w:eastAsia="Arial" w:hAnsi="Arial"/>
                <w:sz w:val="14"/>
                <w:szCs w:val="14"/>
                <w:b w:val="1"/>
                <w:bCs w:val="1"/>
                <w:color w:val="auto"/>
              </w:rPr>
              <w:t>$’000</w:t>
            </w:r>
          </w:p>
        </w:tc>
        <w:tc>
          <w:tcPr>
            <w:tcW w:w="620" w:type="dxa"/>
            <w:vAlign w:val="bottom"/>
          </w:tcPr>
          <w:p>
            <w:pPr>
              <w:spacing w:after="0" w:line="137" w:lineRule="exact"/>
              <w:rPr>
                <w:sz w:val="20"/>
                <w:szCs w:val="20"/>
                <w:color w:val="auto"/>
              </w:rPr>
            </w:pPr>
            <w:r>
              <w:rPr>
                <w:rFonts w:ascii="Arial" w:cs="Arial" w:eastAsia="Arial" w:hAnsi="Arial"/>
                <w:sz w:val="14"/>
                <w:szCs w:val="14"/>
                <w:b w:val="1"/>
                <w:bCs w:val="1"/>
                <w:color w:val="auto"/>
                <w:w w:val="85"/>
              </w:rPr>
              <w:t>% of Sales</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ind w:left="20"/>
              <w:spacing w:after="0" w:line="137" w:lineRule="exact"/>
              <w:rPr>
                <w:sz w:val="20"/>
                <w:szCs w:val="20"/>
                <w:color w:val="auto"/>
              </w:rPr>
            </w:pPr>
            <w:r>
              <w:rPr>
                <w:rFonts w:ascii="Arial" w:cs="Arial" w:eastAsia="Arial" w:hAnsi="Arial"/>
                <w:sz w:val="14"/>
                <w:szCs w:val="14"/>
                <w:b w:val="1"/>
                <w:bCs w:val="1"/>
                <w:color w:val="auto"/>
              </w:rPr>
              <w:t>$’000</w:t>
            </w:r>
          </w:p>
        </w:tc>
        <w:tc>
          <w:tcPr>
            <w:tcW w:w="460" w:type="dxa"/>
            <w:vAlign w:val="bottom"/>
          </w:tcPr>
          <w:p>
            <w:pPr>
              <w:spacing w:after="0"/>
              <w:rPr>
                <w:sz w:val="11"/>
                <w:szCs w:val="11"/>
                <w:color w:val="auto"/>
              </w:rPr>
            </w:pPr>
          </w:p>
        </w:tc>
        <w:tc>
          <w:tcPr>
            <w:tcW w:w="620" w:type="dxa"/>
            <w:vAlign w:val="bottom"/>
          </w:tcPr>
          <w:p>
            <w:pPr>
              <w:spacing w:after="0" w:line="137" w:lineRule="exact"/>
              <w:rPr>
                <w:sz w:val="20"/>
                <w:szCs w:val="20"/>
                <w:color w:val="auto"/>
              </w:rPr>
            </w:pPr>
            <w:r>
              <w:rPr>
                <w:rFonts w:ascii="Arial" w:cs="Arial" w:eastAsia="Arial" w:hAnsi="Arial"/>
                <w:sz w:val="14"/>
                <w:szCs w:val="14"/>
                <w:b w:val="1"/>
                <w:bCs w:val="1"/>
                <w:color w:val="auto"/>
                <w:w w:val="85"/>
              </w:rPr>
              <w:t>% of Sales</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GAAP Income from operations</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8"/>
              </w:rPr>
              <w:t>$ 7,770</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9,095</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7"/>
                <w:szCs w:val="17"/>
                <w:color w:val="auto"/>
              </w:rPr>
              <w:t>Restructuring &amp; impairment Charges</w:t>
            </w:r>
          </w:p>
        </w:tc>
        <w:tc>
          <w:tcPr>
            <w:tcW w:w="1100" w:type="dxa"/>
            <w:vAlign w:val="bottom"/>
            <w:gridSpan w:val="2"/>
          </w:tcPr>
          <w:p>
            <w:pPr>
              <w:jc w:val="right"/>
              <w:ind w:right="520"/>
              <w:spacing w:after="0"/>
              <w:rPr>
                <w:sz w:val="20"/>
                <w:szCs w:val="20"/>
                <w:color w:val="auto"/>
              </w:rPr>
            </w:pPr>
            <w:r>
              <w:rPr>
                <w:rFonts w:ascii="Arial" w:cs="Arial" w:eastAsia="Arial" w:hAnsi="Arial"/>
                <w:sz w:val="17"/>
                <w:szCs w:val="17"/>
                <w:color w:val="auto"/>
              </w:rPr>
              <w:t>2,085</w:t>
            </w:r>
          </w:p>
        </w:tc>
        <w:tc>
          <w:tcPr>
            <w:tcW w:w="1280" w:type="dxa"/>
            <w:vAlign w:val="bottom"/>
            <w:gridSpan w:val="2"/>
          </w:tcPr>
          <w:p>
            <w:pPr>
              <w:jc w:val="right"/>
              <w:ind w:right="500"/>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300" w:type="dxa"/>
            <w:vAlign w:val="bottom"/>
            <w:gridSpan w:val="3"/>
          </w:tcPr>
          <w:p>
            <w:pPr>
              <w:jc w:val="right"/>
              <w:ind w:right="80"/>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Acquisition &amp; integration expenses</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0.0%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7"/>
                <w:szCs w:val="17"/>
                <w:color w:val="auto"/>
              </w:rPr>
              <w:t>Amortization of intangibles</w:t>
            </w:r>
          </w:p>
        </w:tc>
        <w:tc>
          <w:tcPr>
            <w:tcW w:w="580" w:type="dxa"/>
            <w:vAlign w:val="bottom"/>
          </w:tcPr>
          <w:p>
            <w:pPr>
              <w:jc w:val="right"/>
              <w:spacing w:after="0"/>
              <w:rPr>
                <w:sz w:val="20"/>
                <w:szCs w:val="20"/>
                <w:color w:val="auto"/>
              </w:rPr>
            </w:pPr>
            <w:r>
              <w:rPr>
                <w:rFonts w:ascii="Arial" w:cs="Arial" w:eastAsia="Arial" w:hAnsi="Arial"/>
                <w:sz w:val="17"/>
                <w:szCs w:val="17"/>
                <w:color w:val="auto"/>
              </w:rPr>
              <w:t>885</w:t>
            </w:r>
          </w:p>
        </w:tc>
        <w:tc>
          <w:tcPr>
            <w:tcW w:w="5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885</w:t>
            </w:r>
          </w:p>
        </w:tc>
        <w:tc>
          <w:tcPr>
            <w:tcW w:w="1300" w:type="dxa"/>
            <w:vAlign w:val="bottom"/>
            <w:gridSpan w:val="3"/>
          </w:tcPr>
          <w:p>
            <w:pPr>
              <w:jc w:val="right"/>
              <w:ind w:right="8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Non-GAAP Adjusted income from operations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10,740</w:t>
            </w: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9,980</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7"/>
                <w:szCs w:val="17"/>
                <w:color w:val="auto"/>
              </w:rPr>
              <w:t>China JV Contribution</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160" w:type="dxa"/>
            <w:vAlign w:val="bottom"/>
            <w:gridSpan w:val="2"/>
            <w:vMerge w:val="continue"/>
          </w:tcPr>
          <w:p>
            <w:pPr>
              <w:spacing w:after="0"/>
              <w:rPr>
                <w:sz w:val="17"/>
                <w:szCs w:val="17"/>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7"/>
                <w:szCs w:val="17"/>
                <w:color w:val="auto"/>
              </w:rPr>
              <w:t>1,343</w:t>
            </w: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1,021</w:t>
            </w: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Non-GAAP Adjusted income from operations</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b w:val="1"/>
                <w:bCs w:val="1"/>
                <w:color w:val="auto"/>
                <w:w w:val="91"/>
              </w:rPr>
              <w:t>$12,083</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b w:val="1"/>
                <w:bCs w:val="1"/>
                <w:color w:val="auto"/>
              </w:rPr>
              <w:t>14.6%</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b w:val="1"/>
                <w:bCs w:val="1"/>
                <w:color w:val="auto"/>
                <w:w w:val="84"/>
              </w:rPr>
              <w:t>$ 11,001</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12.7%</w:t>
            </w:r>
          </w:p>
        </w:tc>
        <w:tc>
          <w:tcPr>
            <w:tcW w:w="0" w:type="dxa"/>
            <w:vAlign w:val="bottom"/>
          </w:tcPr>
          <w:p>
            <w:pPr>
              <w:spacing w:after="0"/>
              <w:rPr>
                <w:sz w:val="1"/>
                <w:szCs w:val="1"/>
                <w:color w:val="auto"/>
              </w:rPr>
            </w:pPr>
          </w:p>
        </w:tc>
      </w:tr>
      <w:tr>
        <w:trPr>
          <w:trHeight w:val="419"/>
        </w:trPr>
        <w:tc>
          <w:tcPr>
            <w:tcW w:w="6160" w:type="dxa"/>
            <w:vAlign w:val="bottom"/>
            <w:gridSpan w:val="2"/>
          </w:tcPr>
          <w:p>
            <w:pPr>
              <w:spacing w:after="0"/>
              <w:rPr>
                <w:sz w:val="20"/>
                <w:szCs w:val="20"/>
                <w:color w:val="auto"/>
              </w:rPr>
            </w:pPr>
            <w:r>
              <w:rPr>
                <w:rFonts w:ascii="Arial" w:cs="Arial" w:eastAsia="Arial" w:hAnsi="Arial"/>
                <w:sz w:val="17"/>
                <w:szCs w:val="17"/>
                <w:b w:val="1"/>
                <w:bCs w:val="1"/>
                <w:color w:val="auto"/>
              </w:rPr>
              <w:t>GAAP Total Sales</w:t>
            </w:r>
          </w:p>
        </w:tc>
        <w:tc>
          <w:tcPr>
            <w:tcW w:w="1100" w:type="dxa"/>
            <w:vAlign w:val="bottom"/>
            <w:gridSpan w:val="2"/>
          </w:tcPr>
          <w:p>
            <w:pPr>
              <w:jc w:val="right"/>
              <w:ind w:right="520"/>
              <w:spacing w:after="0"/>
              <w:rPr>
                <w:sz w:val="20"/>
                <w:szCs w:val="20"/>
                <w:color w:val="auto"/>
              </w:rPr>
            </w:pPr>
            <w:r>
              <w:rPr>
                <w:rFonts w:ascii="Arial" w:cs="Arial" w:eastAsia="Arial" w:hAnsi="Arial"/>
                <w:sz w:val="17"/>
                <w:szCs w:val="17"/>
                <w:color w:val="auto"/>
                <w:w w:val="91"/>
              </w:rPr>
              <w:t>$82,991</w:t>
            </w: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7"/>
                <w:szCs w:val="17"/>
                <w:color w:val="auto"/>
                <w:w w:val="91"/>
              </w:rPr>
              <w:t>$86,471</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265" w:right="69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Reconciliation of GAAP income from operations to Non-GAAP adjusted income from operations: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4800" w:type="dxa"/>
            <w:vAlign w:val="bottom"/>
          </w:tcPr>
          <w:p>
            <w:pPr>
              <w:spacing w:after="0"/>
              <w:rPr>
                <w:sz w:val="20"/>
                <w:szCs w:val="20"/>
                <w:color w:val="auto"/>
              </w:rPr>
            </w:pPr>
            <w:r>
              <w:rPr>
                <w:rFonts w:ascii="Arial" w:cs="Arial" w:eastAsia="Arial" w:hAnsi="Arial"/>
                <w:sz w:val="14"/>
                <w:szCs w:val="14"/>
                <w:b w:val="1"/>
                <w:bCs w:val="1"/>
                <w:color w:val="auto"/>
              </w:rPr>
              <w:t>NN, Inc - Precision Bearing Components Group</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192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92"/>
              </w:rPr>
              <w:t>Three Months Ended June 30,</w:t>
            </w:r>
          </w:p>
        </w:tc>
        <w:tc>
          <w:tcPr>
            <w:tcW w:w="46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8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2"/>
            <w:vMerge w:val="continue"/>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8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660"/>
              <w:spacing w:after="0" w:line="137" w:lineRule="exact"/>
              <w:rPr>
                <w:sz w:val="20"/>
                <w:szCs w:val="20"/>
                <w:color w:val="auto"/>
              </w:rPr>
            </w:pPr>
            <w:r>
              <w:rPr>
                <w:rFonts w:ascii="Arial" w:cs="Arial" w:eastAsia="Arial" w:hAnsi="Arial"/>
                <w:sz w:val="14"/>
                <w:szCs w:val="14"/>
                <w:b w:val="1"/>
                <w:bCs w:val="1"/>
                <w:color w:val="auto"/>
                <w:w w:val="91"/>
              </w:rPr>
              <w:t>$’000</w:t>
            </w:r>
          </w:p>
        </w:tc>
        <w:tc>
          <w:tcPr>
            <w:tcW w:w="640" w:type="dxa"/>
            <w:vAlign w:val="bottom"/>
          </w:tcPr>
          <w:p>
            <w:pPr>
              <w:ind w:left="20"/>
              <w:spacing w:after="0" w:line="137" w:lineRule="exact"/>
              <w:rPr>
                <w:sz w:val="20"/>
                <w:szCs w:val="20"/>
                <w:color w:val="auto"/>
              </w:rPr>
            </w:pPr>
            <w:r>
              <w:rPr>
                <w:rFonts w:ascii="Arial" w:cs="Arial" w:eastAsia="Arial" w:hAnsi="Arial"/>
                <w:sz w:val="14"/>
                <w:szCs w:val="14"/>
                <w:b w:val="1"/>
                <w:bCs w:val="1"/>
                <w:color w:val="auto"/>
                <w:w w:val="85"/>
              </w:rPr>
              <w:t>% of Sales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200"/>
              <w:spacing w:after="0" w:line="137" w:lineRule="exact"/>
              <w:rPr>
                <w:sz w:val="20"/>
                <w:szCs w:val="20"/>
                <w:color w:val="auto"/>
              </w:rPr>
            </w:pPr>
            <w:r>
              <w:rPr>
                <w:rFonts w:ascii="Arial" w:cs="Arial" w:eastAsia="Arial" w:hAnsi="Arial"/>
                <w:sz w:val="14"/>
                <w:szCs w:val="14"/>
                <w:b w:val="1"/>
                <w:bCs w:val="1"/>
                <w:color w:val="auto"/>
                <w:w w:val="91"/>
              </w:rPr>
              <w:t>$’000</w:t>
            </w:r>
          </w:p>
        </w:tc>
        <w:tc>
          <w:tcPr>
            <w:tcW w:w="460" w:type="dxa"/>
            <w:vAlign w:val="bottom"/>
          </w:tcPr>
          <w:p>
            <w:pPr>
              <w:spacing w:after="0"/>
              <w:rPr>
                <w:sz w:val="11"/>
                <w:szCs w:val="11"/>
                <w:color w:val="auto"/>
              </w:rPr>
            </w:pPr>
          </w:p>
        </w:tc>
        <w:tc>
          <w:tcPr>
            <w:tcW w:w="620" w:type="dxa"/>
            <w:vAlign w:val="bottom"/>
          </w:tcPr>
          <w:p>
            <w:pPr>
              <w:spacing w:after="0" w:line="137" w:lineRule="exact"/>
              <w:rPr>
                <w:sz w:val="20"/>
                <w:szCs w:val="20"/>
                <w:color w:val="auto"/>
              </w:rPr>
            </w:pPr>
            <w:r>
              <w:rPr>
                <w:rFonts w:ascii="Arial" w:cs="Arial" w:eastAsia="Arial" w:hAnsi="Arial"/>
                <w:sz w:val="14"/>
                <w:szCs w:val="14"/>
                <w:b w:val="1"/>
                <w:bCs w:val="1"/>
                <w:color w:val="auto"/>
                <w:w w:val="85"/>
              </w:rPr>
              <w:t>% of Sales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GAAP Income from operations</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6,474</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9.9%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9,403</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7"/>
                <w:szCs w:val="17"/>
                <w:color w:val="auto"/>
              </w:rPr>
              <w:t>Restructuring &amp; impairment Charges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7"/>
                <w:szCs w:val="17"/>
                <w:color w:val="auto"/>
              </w:rPr>
              <w:t>1,651</w:t>
            </w:r>
          </w:p>
        </w:tc>
        <w:tc>
          <w:tcPr>
            <w:tcW w:w="1260" w:type="dxa"/>
            <w:vAlign w:val="bottom"/>
            <w:gridSpan w:val="2"/>
          </w:tcPr>
          <w:p>
            <w:pPr>
              <w:jc w:val="right"/>
              <w:ind w:right="480"/>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gridSpan w:val="3"/>
          </w:tcPr>
          <w:p>
            <w:pPr>
              <w:jc w:val="right"/>
              <w:ind w:right="40"/>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intangibles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7"/>
                <w:szCs w:val="17"/>
                <w:b w:val="1"/>
                <w:bCs w:val="1"/>
                <w:color w:val="auto"/>
              </w:rPr>
              <w:t>Non-GAAP Adjusted income from operations</w:t>
            </w:r>
          </w:p>
        </w:tc>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00" w:type="dxa"/>
            <w:vAlign w:val="bottom"/>
            <w:vMerge w:val="continue"/>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7"/>
                <w:szCs w:val="17"/>
                <w:color w:val="auto"/>
              </w:rPr>
              <w:t>8,182</w:t>
            </w:r>
          </w:p>
        </w:tc>
        <w:tc>
          <w:tcPr>
            <w:tcW w:w="1260" w:type="dxa"/>
            <w:vAlign w:val="bottom"/>
            <w:gridSpan w:val="2"/>
          </w:tcPr>
          <w:p>
            <w:pPr>
              <w:jc w:val="right"/>
              <w:ind w:right="480"/>
              <w:spacing w:after="0"/>
              <w:rPr>
                <w:sz w:val="20"/>
                <w:szCs w:val="20"/>
                <w:color w:val="auto"/>
              </w:rPr>
            </w:pPr>
            <w:r>
              <w:rPr>
                <w:rFonts w:ascii="Arial" w:cs="Arial" w:eastAsia="Arial" w:hAnsi="Arial"/>
                <w:sz w:val="17"/>
                <w:szCs w:val="17"/>
                <w:color w:val="auto"/>
              </w:rPr>
              <w:t>12.6%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9,460</w:t>
            </w:r>
          </w:p>
        </w:tc>
        <w:tc>
          <w:tcPr>
            <w:tcW w:w="1280" w:type="dxa"/>
            <w:vAlign w:val="bottom"/>
            <w:gridSpan w:val="3"/>
          </w:tcPr>
          <w:p>
            <w:pPr>
              <w:jc w:val="right"/>
              <w:ind w:right="40"/>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GAAP Total Sales</w:t>
            </w:r>
          </w:p>
        </w:tc>
        <w:tc>
          <w:tcPr>
            <w:tcW w:w="2500" w:type="dxa"/>
            <w:vAlign w:val="bottom"/>
            <w:gridSpan w:val="4"/>
            <w:shd w:val="clear" w:color="auto" w:fill="CCEEFF"/>
          </w:tcPr>
          <w:p>
            <w:pPr>
              <w:jc w:val="right"/>
              <w:ind w:right="520"/>
              <w:spacing w:after="0"/>
              <w:rPr>
                <w:sz w:val="20"/>
                <w:szCs w:val="20"/>
                <w:color w:val="auto"/>
              </w:rPr>
            </w:pPr>
            <w:r>
              <w:rPr>
                <w:rFonts w:ascii="Arial" w:cs="Arial" w:eastAsia="Arial" w:hAnsi="Arial"/>
                <w:sz w:val="17"/>
                <w:szCs w:val="17"/>
                <w:color w:val="auto"/>
              </w:rPr>
              <w:t>$65,157</w:t>
            </w: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1"/>
              </w:rPr>
              <w:t>$69,261</w:t>
            </w: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GAAP income from operations to Non-GAAP adjusted income from operations: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6300" w:type="dxa"/>
            <w:vAlign w:val="bottom"/>
          </w:tcPr>
          <w:p>
            <w:pPr>
              <w:spacing w:after="0"/>
              <w:rPr>
                <w:sz w:val="20"/>
                <w:szCs w:val="20"/>
                <w:color w:val="auto"/>
              </w:rPr>
            </w:pPr>
            <w:r>
              <w:rPr>
                <w:rFonts w:ascii="Arial" w:cs="Arial" w:eastAsia="Arial" w:hAnsi="Arial"/>
                <w:sz w:val="14"/>
                <w:szCs w:val="14"/>
                <w:b w:val="1"/>
                <w:bCs w:val="1"/>
                <w:color w:val="auto"/>
              </w:rPr>
              <w:t>NN, Inc - Precision Engineered Components Group</w:t>
            </w: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1880" w:type="dxa"/>
            <w:vAlign w:val="bottom"/>
            <w:gridSpan w:val="5"/>
          </w:tcPr>
          <w:p>
            <w:pPr>
              <w:spacing w:after="0"/>
              <w:rPr>
                <w:sz w:val="20"/>
                <w:szCs w:val="20"/>
                <w:color w:val="auto"/>
              </w:rPr>
            </w:pPr>
            <w:r>
              <w:rPr>
                <w:rFonts w:ascii="Arial" w:cs="Arial" w:eastAsia="Arial" w:hAnsi="Arial"/>
                <w:sz w:val="14"/>
                <w:szCs w:val="14"/>
                <w:b w:val="1"/>
                <w:bCs w:val="1"/>
                <w:color w:val="auto"/>
                <w:w w:val="93"/>
              </w:rPr>
              <w:t>Three Months Ended June 30,</w:t>
            </w: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300" w:type="dxa"/>
            <w:vAlign w:val="bottom"/>
          </w:tcPr>
          <w:p>
            <w:pPr>
              <w:spacing w:after="0"/>
              <w:rPr>
                <w:sz w:val="11"/>
                <w:szCs w:val="11"/>
                <w:color w:val="auto"/>
              </w:rPr>
            </w:pPr>
          </w:p>
        </w:tc>
        <w:tc>
          <w:tcPr>
            <w:tcW w:w="1100" w:type="dxa"/>
            <w:vAlign w:val="bottom"/>
            <w:tcBorders>
              <w:bottom w:val="single" w:sz="8" w:color="auto"/>
            </w:tcBorders>
            <w:gridSpan w:val="2"/>
            <w:vMerge w:val="continue"/>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300" w:type="dxa"/>
            <w:vAlign w:val="bottom"/>
          </w:tcPr>
          <w:p>
            <w:pPr>
              <w:spacing w:after="0"/>
              <w:rPr>
                <w:sz w:val="11"/>
                <w:szCs w:val="11"/>
                <w:color w:val="auto"/>
              </w:rPr>
            </w:pPr>
          </w:p>
        </w:tc>
        <w:tc>
          <w:tcPr>
            <w:tcW w:w="1100" w:type="dxa"/>
            <w:vAlign w:val="bottom"/>
            <w:gridSpan w:val="2"/>
          </w:tcPr>
          <w:p>
            <w:pPr>
              <w:jc w:val="right"/>
              <w:ind w:right="640"/>
              <w:spacing w:after="0" w:line="137" w:lineRule="exact"/>
              <w:rPr>
                <w:sz w:val="20"/>
                <w:szCs w:val="20"/>
                <w:color w:val="auto"/>
              </w:rPr>
            </w:pPr>
            <w:r>
              <w:rPr>
                <w:rFonts w:ascii="Arial" w:cs="Arial" w:eastAsia="Arial" w:hAnsi="Arial"/>
                <w:sz w:val="14"/>
                <w:szCs w:val="14"/>
                <w:b w:val="1"/>
                <w:bCs w:val="1"/>
                <w:color w:val="auto"/>
              </w:rPr>
              <w:t>$’000</w:t>
            </w:r>
          </w:p>
        </w:tc>
        <w:tc>
          <w:tcPr>
            <w:tcW w:w="640" w:type="dxa"/>
            <w:vAlign w:val="bottom"/>
          </w:tcPr>
          <w:p>
            <w:pPr>
              <w:spacing w:after="0" w:line="137" w:lineRule="exact"/>
              <w:rPr>
                <w:sz w:val="20"/>
                <w:szCs w:val="20"/>
                <w:color w:val="auto"/>
              </w:rPr>
            </w:pPr>
            <w:r>
              <w:rPr>
                <w:rFonts w:ascii="Arial" w:cs="Arial" w:eastAsia="Arial" w:hAnsi="Arial"/>
                <w:sz w:val="14"/>
                <w:szCs w:val="14"/>
                <w:b w:val="1"/>
                <w:bCs w:val="1"/>
                <w:color w:val="auto"/>
                <w:w w:val="88"/>
              </w:rPr>
              <w:t>% of Sales</w:t>
            </w:r>
          </w:p>
        </w:tc>
        <w:tc>
          <w:tcPr>
            <w:tcW w:w="620" w:type="dxa"/>
            <w:vAlign w:val="bottom"/>
          </w:tcPr>
          <w:p>
            <w:pPr>
              <w:spacing w:after="0"/>
              <w:rPr>
                <w:sz w:val="11"/>
                <w:szCs w:val="11"/>
                <w:color w:val="auto"/>
              </w:rPr>
            </w:pPr>
          </w:p>
        </w:tc>
        <w:tc>
          <w:tcPr>
            <w:tcW w:w="620" w:type="dxa"/>
            <w:vAlign w:val="bottom"/>
            <w:gridSpan w:val="3"/>
          </w:tcPr>
          <w:p>
            <w:pPr>
              <w:jc w:val="right"/>
              <w:ind w:right="220"/>
              <w:spacing w:after="0" w:line="137" w:lineRule="exact"/>
              <w:rPr>
                <w:sz w:val="20"/>
                <w:szCs w:val="20"/>
                <w:color w:val="auto"/>
              </w:rPr>
            </w:pPr>
            <w:r>
              <w:rPr>
                <w:rFonts w:ascii="Arial" w:cs="Arial" w:eastAsia="Arial" w:hAnsi="Arial"/>
                <w:sz w:val="14"/>
                <w:szCs w:val="14"/>
                <w:b w:val="1"/>
                <w:bCs w:val="1"/>
                <w:color w:val="auto"/>
              </w:rPr>
              <w:t>$’000</w:t>
            </w:r>
          </w:p>
        </w:tc>
        <w:tc>
          <w:tcPr>
            <w:tcW w:w="400" w:type="dxa"/>
            <w:vAlign w:val="bottom"/>
          </w:tcPr>
          <w:p>
            <w:pPr>
              <w:spacing w:after="0"/>
              <w:rPr>
                <w:sz w:val="11"/>
                <w:szCs w:val="11"/>
                <w:color w:val="auto"/>
              </w:rPr>
            </w:pPr>
          </w:p>
        </w:tc>
        <w:tc>
          <w:tcPr>
            <w:tcW w:w="620" w:type="dxa"/>
            <w:vAlign w:val="bottom"/>
          </w:tcPr>
          <w:p>
            <w:pPr>
              <w:spacing w:after="0" w:line="137" w:lineRule="exact"/>
              <w:rPr>
                <w:sz w:val="20"/>
                <w:szCs w:val="20"/>
                <w:color w:val="auto"/>
              </w:rPr>
            </w:pPr>
            <w:r>
              <w:rPr>
                <w:rFonts w:ascii="Arial" w:cs="Arial" w:eastAsia="Arial" w:hAnsi="Arial"/>
                <w:sz w:val="14"/>
                <w:szCs w:val="14"/>
                <w:b w:val="1"/>
                <w:bCs w:val="1"/>
                <w:color w:val="auto"/>
                <w:w w:val="85"/>
              </w:rPr>
              <w:t>% of Sales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GAAP Income from operations</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1"/>
              </w:rPr>
              <w:t>$10,782</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16.3%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501</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10"/>
        </w:trPr>
        <w:tc>
          <w:tcPr>
            <w:tcW w:w="6300" w:type="dxa"/>
            <w:vAlign w:val="bottom"/>
          </w:tcPr>
          <w:p>
            <w:pPr>
              <w:spacing w:after="0"/>
              <w:rPr>
                <w:sz w:val="20"/>
                <w:szCs w:val="20"/>
                <w:color w:val="auto"/>
              </w:rPr>
            </w:pPr>
            <w:r>
              <w:rPr>
                <w:rFonts w:ascii="Arial" w:cs="Arial" w:eastAsia="Arial" w:hAnsi="Arial"/>
                <w:sz w:val="17"/>
                <w:szCs w:val="17"/>
                <w:color w:val="auto"/>
              </w:rPr>
              <w:t>Acquisition &amp; integration expenses</w:t>
            </w:r>
          </w:p>
        </w:tc>
        <w:tc>
          <w:tcPr>
            <w:tcW w:w="1100" w:type="dxa"/>
            <w:vAlign w:val="bottom"/>
            <w:gridSpan w:val="2"/>
          </w:tcPr>
          <w:p>
            <w:pPr>
              <w:jc w:val="right"/>
              <w:ind w:right="520"/>
              <w:spacing w:after="0"/>
              <w:rPr>
                <w:sz w:val="20"/>
                <w:szCs w:val="20"/>
                <w:color w:val="auto"/>
              </w:rPr>
            </w:pPr>
            <w:r>
              <w:rPr>
                <w:rFonts w:ascii="Arial" w:cs="Arial" w:eastAsia="Arial" w:hAnsi="Arial"/>
                <w:sz w:val="17"/>
                <w:szCs w:val="17"/>
                <w:color w:val="auto"/>
              </w:rPr>
              <w:t>311</w:t>
            </w:r>
          </w:p>
        </w:tc>
        <w:tc>
          <w:tcPr>
            <w:tcW w:w="1260" w:type="dxa"/>
            <w:vAlign w:val="bottom"/>
            <w:gridSpan w:val="2"/>
          </w:tcPr>
          <w:p>
            <w:pPr>
              <w:jc w:val="right"/>
              <w:ind w:right="480"/>
              <w:spacing w:after="0"/>
              <w:rPr>
                <w:sz w:val="20"/>
                <w:szCs w:val="20"/>
                <w:color w:val="auto"/>
              </w:rPr>
            </w:pPr>
            <w:r>
              <w:rPr>
                <w:rFonts w:ascii="Arial" w:cs="Arial" w:eastAsia="Arial" w:hAnsi="Arial"/>
                <w:sz w:val="17"/>
                <w:szCs w:val="17"/>
                <w:color w:val="auto"/>
              </w:rPr>
              <w:t>0.5%</w:t>
            </w:r>
          </w:p>
        </w:tc>
        <w:tc>
          <w:tcPr>
            <w:tcW w:w="16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40"/>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intangibles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5,159</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7.8%</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7"/>
                <w:szCs w:val="17"/>
                <w:b w:val="1"/>
                <w:bCs w:val="1"/>
                <w:color w:val="auto"/>
              </w:rPr>
              <w:t>Non-GAAP Adjusted income from operations (a)</w:t>
            </w: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16,252</w:t>
            </w:r>
          </w:p>
        </w:tc>
        <w:tc>
          <w:tcPr>
            <w:tcW w:w="52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7"/>
                <w:szCs w:val="17"/>
                <w:color w:val="auto"/>
              </w:rPr>
              <w:t>24.6%</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521</w:t>
            </w:r>
          </w:p>
        </w:tc>
        <w:tc>
          <w:tcPr>
            <w:tcW w:w="1220" w:type="dxa"/>
            <w:vAlign w:val="bottom"/>
            <w:gridSpan w:val="3"/>
          </w:tcPr>
          <w:p>
            <w:pPr>
              <w:jc w:val="right"/>
              <w:ind w:right="40"/>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GAAP Total Sales</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1"/>
              </w:rPr>
              <w:t>$66,124</w:t>
            </w: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w w:val="88"/>
              </w:rPr>
              <w:t>$9,124</w:t>
            </w: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265" w:right="699" w:bottom="1440" w:gutter="0" w:footer="0" w:header="0"/>
        </w:sectPr>
      </w:pPr>
    </w:p>
    <w:bookmarkStart w:id="12" w:name="page13"/>
    <w:bookmarkEnd w:id="12"/>
    <w:p>
      <w:pPr>
        <w:ind w:right="20"/>
        <w:spacing w:after="0" w:line="301"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Company discloses in this presentation the non-GAAP financial measures of adjusted income from operations, adjusted net income and adjusted diluted earnings per share. Each of these non-GAAP financial measures provide supplementary information about the impacts of acquisition related expenses and foreign-exchange impacts on inter-company loans. Over the past three years, we have completed six acquisitions, two of which were transformative for the Company. The costs we incurred in completing such acquisitions, including the amortization of intangibles and deferred financing costs,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We believe the presentation of adjusted income from operations, adjusted net income and adjusted diluted earnings per share provide useful information in assessing our underlying business trends and facilitates comparison of our long-term performance over given periods</w:t>
      </w:r>
    </w:p>
    <w:p>
      <w:pPr>
        <w:spacing w:after="0" w:line="155"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net income growth derived from income amounts presented in accordance with GAAP. The Company does not consider these non-GAAP financial measures to be a substitute for, or superior to, the information provided by GAAP financial results.</w:t>
      </w:r>
    </w:p>
    <w:p>
      <w:pPr>
        <w:spacing w:after="0" w:line="178" w:lineRule="exact"/>
        <w:rPr>
          <w:sz w:val="20"/>
          <w:szCs w:val="20"/>
          <w:color w:val="auto"/>
        </w:rPr>
      </w:pPr>
    </w:p>
    <w:p>
      <w:pPr>
        <w:ind w:firstLine="5"/>
        <w:spacing w:after="0" w:line="262" w:lineRule="auto"/>
        <w:tabs>
          <w:tab w:leader="none" w:pos="237" w:val="left"/>
        </w:tabs>
        <w:numPr>
          <w:ilvl w:val="0"/>
          <w:numId w:val="3"/>
        </w:numPr>
        <w:rPr>
          <w:rFonts w:ascii="Arial" w:cs="Arial" w:eastAsia="Arial" w:hAnsi="Arial"/>
          <w:sz w:val="17"/>
          <w:szCs w:val="17"/>
          <w:color w:val="auto"/>
        </w:rPr>
      </w:pPr>
      <w:r>
        <w:rPr>
          <w:rFonts w:ascii="Arial" w:cs="Arial" w:eastAsia="Arial" w:hAnsi="Arial"/>
          <w:sz w:val="17"/>
          <w:szCs w:val="17"/>
          <w:color w:val="auto"/>
        </w:rPr>
        <w:t>Non-GAAP Adjusted income from operations, represents GAAP income from operations, adjusted to exclude the effects of restructuring and non-cash impairment charges (related to plant closures and other charges incurred to implement our strategic goals, that do not necessarily represent a major strategic shift in operations), one-time charges related to acquisition and integration costs, intangible amortization costs for fair value step-up in values related to acquisitions,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from operations, is not a measure of financial performance under GAAP and should not be considered as a measure of liquidity or as an alternative to GAAP income from operations.</w:t>
      </w:r>
    </w:p>
    <w:p>
      <w:pPr>
        <w:spacing w:after="0" w:line="182" w:lineRule="exact"/>
        <w:rPr>
          <w:rFonts w:ascii="Arial" w:cs="Arial" w:eastAsia="Arial" w:hAnsi="Arial"/>
          <w:sz w:val="17"/>
          <w:szCs w:val="17"/>
          <w:color w:val="auto"/>
        </w:rPr>
      </w:pPr>
    </w:p>
    <w:p>
      <w:pPr>
        <w:ind w:right="40" w:firstLine="5"/>
        <w:spacing w:after="0" w:line="302" w:lineRule="auto"/>
        <w:tabs>
          <w:tab w:leader="none" w:pos="247" w:val="left"/>
        </w:tabs>
        <w:numPr>
          <w:ilvl w:val="0"/>
          <w:numId w:val="3"/>
        </w:numPr>
        <w:rPr>
          <w:rFonts w:ascii="Arial" w:cs="Arial" w:eastAsia="Arial" w:hAnsi="Arial"/>
          <w:sz w:val="15"/>
          <w:szCs w:val="15"/>
          <w:color w:val="auto"/>
        </w:rPr>
      </w:pPr>
      <w:r>
        <w:rPr>
          <w:rFonts w:ascii="Arial" w:cs="Arial" w:eastAsia="Arial" w:hAnsi="Arial"/>
          <w:sz w:val="15"/>
          <w:szCs w:val="15"/>
          <w:color w:val="auto"/>
        </w:rPr>
        <w:t>Non-GAAP adjusted net income and adjusted diluted earnings per share, represents GAAP net income, adjusted to exclude the tax-affected effects of restructuring and non-cash impairment charges (related to plant closures and other charges incurred to implement our strategic goals, that do not necessarily represent a major strategic shift in operations), one-time charges related to acquisition and integration costs, amortization of intangibles costs for fair value step-up in values related to acquisitions and amortization of deferred financing costs, and foreign exchange gain (loss) on inter-company loans.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net income and adjusted diluted earnings per share, is not a measure of financial performance under GAAP and should not be considered as a measure of liquidity or as an alternative to GAAP net income.</w:t>
      </w:r>
    </w:p>
    <w:p>
      <w:pPr>
        <w:sectPr>
          <w:pgSz w:w="11900" w:h="16838" w:orient="portrait"/>
          <w:cols w:equalWidth="0" w:num="1">
            <w:col w:w="11420"/>
          </w:cols>
          <w:pgMar w:left="240" w:top="271"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166370</wp:posOffset>
            </wp:positionV>
            <wp:extent cx="7312025" cy="41160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2025" cy="411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color w:val="FFFFFF"/>
        </w:rPr>
        <w:t>Second Quarter 2016 Earnings Release</w:t>
      </w:r>
    </w:p>
    <w:p>
      <w:pPr>
        <w:spacing w:after="0"/>
        <w:rPr>
          <w:sz w:val="20"/>
          <w:szCs w:val="20"/>
          <w:color w:val="auto"/>
        </w:rPr>
      </w:pPr>
      <w:r>
        <w:rPr>
          <w:rFonts w:ascii="Arial" w:cs="Arial" w:eastAsia="Arial" w:hAnsi="Arial"/>
          <w:sz w:val="13"/>
          <w:szCs w:val="13"/>
          <w:color w:val="FFFFFF"/>
        </w:rPr>
        <w:t>August 4, 2016</w:t>
      </w:r>
    </w:p>
    <w:p>
      <w:pPr>
        <w:sectPr>
          <w:pgSz w:w="11900" w:h="16838" w:orient="portrait"/>
          <w:cols w:equalWidth="0" w:num="1">
            <w:col w:w="11520"/>
          </w:cols>
          <w:pgMar w:left="240" w:top="127" w:right="1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0" w:type="dxa"/>
            <w:vAlign w:val="bottom"/>
          </w:tcPr>
          <w:p>
            <w:pPr>
              <w:spacing w:after="0"/>
              <w:rPr>
                <w:sz w:val="12"/>
                <w:szCs w:val="12"/>
                <w:color w:val="auto"/>
              </w:rPr>
            </w:pPr>
          </w:p>
        </w:tc>
        <w:tc>
          <w:tcPr>
            <w:tcW w:w="3640" w:type="dxa"/>
            <w:vAlign w:val="bottom"/>
          </w:tcPr>
          <w:p>
            <w:pPr>
              <w:ind w:left="80"/>
              <w:spacing w:after="0"/>
              <w:rPr>
                <w:sz w:val="20"/>
                <w:szCs w:val="20"/>
                <w:color w:val="auto"/>
              </w:rPr>
            </w:pPr>
            <w:r>
              <w:rPr>
                <w:rFonts w:ascii="Arial" w:cs="Arial" w:eastAsia="Arial" w:hAnsi="Arial"/>
                <w:sz w:val="13"/>
                <w:szCs w:val="13"/>
                <w:color w:val="FFFFFF"/>
              </w:rPr>
              <w:t>s &amp; Disclosures</w:t>
            </w:r>
          </w:p>
        </w:tc>
        <w:tc>
          <w:tcPr>
            <w:tcW w:w="6300" w:type="dxa"/>
            <w:vAlign w:val="bottom"/>
            <w:vMerge w:val="restart"/>
          </w:tcPr>
          <w:p>
            <w:pPr>
              <w:ind w:left="640"/>
              <w:spacing w:after="0"/>
              <w:rPr>
                <w:sz w:val="20"/>
                <w:szCs w:val="20"/>
                <w:color w:val="auto"/>
              </w:rPr>
            </w:pPr>
            <w:r>
              <w:rPr>
                <w:rFonts w:ascii="Arial" w:cs="Arial" w:eastAsia="Arial" w:hAnsi="Arial"/>
                <w:sz w:val="13"/>
                <w:szCs w:val="13"/>
                <w:color w:val="FFFFFF"/>
                <w:w w:val="91"/>
              </w:rPr>
              <w:t>the matters described herein contain forward-looking statements that are made pursuant to the safe harbor</w:t>
            </w:r>
          </w:p>
        </w:tc>
        <w:tc>
          <w:tcPr>
            <w:tcW w:w="0" w:type="dxa"/>
            <w:vAlign w:val="bottom"/>
          </w:tcPr>
          <w:p>
            <w:pPr>
              <w:spacing w:after="0"/>
              <w:rPr>
                <w:sz w:val="1"/>
                <w:szCs w:val="1"/>
                <w:color w:val="auto"/>
              </w:rPr>
            </w:pPr>
          </w:p>
        </w:tc>
      </w:tr>
      <w:tr>
        <w:trPr>
          <w:trHeight w:val="39"/>
        </w:trPr>
        <w:tc>
          <w:tcPr>
            <w:tcW w:w="5040" w:type="dxa"/>
            <w:vAlign w:val="bottom"/>
            <w:gridSpan w:val="2"/>
          </w:tcPr>
          <w:p>
            <w:pPr>
              <w:spacing w:after="0" w:line="40" w:lineRule="exact"/>
              <w:rPr>
                <w:sz w:val="20"/>
                <w:szCs w:val="20"/>
                <w:color w:val="auto"/>
              </w:rPr>
            </w:pPr>
            <w:r>
              <w:rPr>
                <w:rFonts w:ascii="Arial" w:cs="Arial" w:eastAsia="Arial" w:hAnsi="Arial"/>
                <w:sz w:val="4"/>
                <w:szCs w:val="4"/>
                <w:color w:val="FFFFFF"/>
              </w:rPr>
              <w:t>Forward Looking Statement: With the exception of the historical information contained in this</w:t>
            </w:r>
          </w:p>
        </w:tc>
        <w:tc>
          <w:tcPr>
            <w:tcW w:w="63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340" w:type="dxa"/>
            <w:vAlign w:val="bottom"/>
            <w:gridSpan w:val="3"/>
          </w:tcPr>
          <w:p>
            <w:pPr>
              <w:spacing w:after="0" w:line="40" w:lineRule="exact"/>
              <w:rPr>
                <w:sz w:val="20"/>
                <w:szCs w:val="20"/>
                <w:color w:val="auto"/>
              </w:rPr>
            </w:pPr>
            <w:r>
              <w:rPr>
                <w:rFonts w:ascii="Arial" w:cs="Arial" w:eastAsia="Arial" w:hAnsi="Arial"/>
                <w:sz w:val="4"/>
                <w:szCs w:val="4"/>
                <w:color w:val="FFFFFF"/>
              </w:rPr>
              <w:t>provisions of the Private Se urities Litigation Reform Act of 1995. Forward-looking statementspresentation,involvenumber of risks and uncertainties that may cause actual results to be materially different from such forward-</w:t>
            </w:r>
          </w:p>
        </w:tc>
        <w:tc>
          <w:tcPr>
            <w:tcW w:w="0" w:type="dxa"/>
            <w:vAlign w:val="bottom"/>
          </w:tcPr>
          <w:p>
            <w:pPr>
              <w:spacing w:after="0" w:line="20" w:lineRule="exact"/>
              <w:rPr>
                <w:sz w:val="1"/>
                <w:szCs w:val="1"/>
                <w:color w:val="auto"/>
              </w:rPr>
            </w:pPr>
          </w:p>
        </w:tc>
      </w:tr>
      <w:tr>
        <w:trPr>
          <w:trHeight w:val="39"/>
        </w:trPr>
        <w:tc>
          <w:tcPr>
            <w:tcW w:w="11340" w:type="dxa"/>
            <w:vAlign w:val="bottom"/>
            <w:gridSpan w:val="3"/>
          </w:tcPr>
          <w:p>
            <w:pPr>
              <w:spacing w:after="0" w:line="40" w:lineRule="exact"/>
              <w:rPr>
                <w:sz w:val="20"/>
                <w:szCs w:val="20"/>
                <w:color w:val="auto"/>
              </w:rPr>
            </w:pPr>
            <w:r>
              <w:rPr>
                <w:rFonts w:ascii="Arial" w:cs="Arial" w:eastAsia="Arial" w:hAnsi="Arial"/>
                <w:sz w:val="4"/>
                <w:szCs w:val="4"/>
                <w:color w:val="FFFFFF"/>
              </w:rPr>
              <w:t>looking statements. Such factors include, among others, general economic conditions and economic conditio s in the industrial sector, competitive influences, risks that current customers will commence or increase</w:t>
            </w:r>
          </w:p>
        </w:tc>
        <w:tc>
          <w:tcPr>
            <w:tcW w:w="0" w:type="dxa"/>
            <w:vAlign w:val="bottom"/>
          </w:tcPr>
          <w:p>
            <w:pPr>
              <w:spacing w:after="0" w:line="20" w:lineRule="exact"/>
              <w:rPr>
                <w:sz w:val="1"/>
                <w:szCs w:val="1"/>
                <w:color w:val="auto"/>
              </w:rPr>
            </w:pPr>
          </w:p>
        </w:tc>
      </w:tr>
      <w:tr>
        <w:trPr>
          <w:trHeight w:val="39"/>
        </w:trPr>
        <w:tc>
          <w:tcPr>
            <w:tcW w:w="5040" w:type="dxa"/>
            <w:vAlign w:val="bottom"/>
            <w:gridSpan w:val="2"/>
          </w:tcPr>
          <w:p>
            <w:pPr>
              <w:spacing w:after="0" w:line="40" w:lineRule="exact"/>
              <w:rPr>
                <w:sz w:val="20"/>
                <w:szCs w:val="20"/>
                <w:color w:val="auto"/>
              </w:rPr>
            </w:pPr>
            <w:r>
              <w:rPr>
                <w:rFonts w:ascii="Arial" w:cs="Arial" w:eastAsia="Arial" w:hAnsi="Arial"/>
                <w:sz w:val="4"/>
                <w:szCs w:val="4"/>
                <w:color w:val="FFFFFF"/>
              </w:rPr>
              <w:t>captive production, risks of capacity und rutilization, quality issues, availability of raw</w:t>
            </w:r>
          </w:p>
        </w:tc>
        <w:tc>
          <w:tcPr>
            <w:tcW w:w="6300" w:type="dxa"/>
            <w:vAlign w:val="bottom"/>
          </w:tcPr>
          <w:p>
            <w:pPr>
              <w:ind w:left="100"/>
              <w:spacing w:after="0" w:line="40" w:lineRule="exact"/>
              <w:rPr>
                <w:sz w:val="20"/>
                <w:szCs w:val="20"/>
                <w:color w:val="auto"/>
              </w:rPr>
            </w:pPr>
            <w:r>
              <w:rPr>
                <w:rFonts w:ascii="Arial" w:cs="Arial" w:eastAsia="Arial" w:hAnsi="Arial"/>
                <w:sz w:val="4"/>
                <w:szCs w:val="4"/>
                <w:color w:val="FFFFFF"/>
              </w:rPr>
              <w:t>currency and other risks associated with international trade, the Company’s dependence on certain major</w:t>
            </w:r>
          </w:p>
        </w:tc>
        <w:tc>
          <w:tcPr>
            <w:tcW w:w="0" w:type="dxa"/>
            <w:vAlign w:val="bottom"/>
          </w:tcPr>
          <w:p>
            <w:pPr>
              <w:spacing w:after="0" w:line="20" w:lineRule="exact"/>
              <w:rPr>
                <w:sz w:val="1"/>
                <w:szCs w:val="1"/>
                <w:color w:val="auto"/>
              </w:rPr>
            </w:pPr>
          </w:p>
        </w:tc>
      </w:tr>
      <w:tr>
        <w:trPr>
          <w:trHeight w:val="39"/>
        </w:trPr>
        <w:tc>
          <w:tcPr>
            <w:tcW w:w="1400" w:type="dxa"/>
            <w:vAlign w:val="bottom"/>
          </w:tcPr>
          <w:p>
            <w:pPr>
              <w:spacing w:after="0" w:line="40" w:lineRule="exact"/>
              <w:rPr>
                <w:sz w:val="20"/>
                <w:szCs w:val="20"/>
                <w:color w:val="auto"/>
              </w:rPr>
            </w:pPr>
            <w:r>
              <w:rPr>
                <w:rFonts w:ascii="Arial" w:cs="Arial" w:eastAsia="Arial" w:hAnsi="Arial"/>
                <w:sz w:val="4"/>
                <w:szCs w:val="4"/>
                <w:color w:val="FFFFFF"/>
              </w:rPr>
              <w:t>and other risk factors and</w:t>
            </w:r>
          </w:p>
        </w:tc>
        <w:tc>
          <w:tcPr>
            <w:tcW w:w="9940" w:type="dxa"/>
            <w:vAlign w:val="bottom"/>
            <w:gridSpan w:val="2"/>
          </w:tcPr>
          <w:p>
            <w:pPr>
              <w:ind w:left="80"/>
              <w:spacing w:after="0" w:line="40" w:lineRule="exact"/>
              <w:rPr>
                <w:sz w:val="20"/>
                <w:szCs w:val="20"/>
                <w:color w:val="auto"/>
              </w:rPr>
            </w:pPr>
            <w:r>
              <w:rPr>
                <w:rFonts w:ascii="Arial" w:cs="Arial" w:eastAsia="Arial" w:hAnsi="Arial"/>
                <w:sz w:val="4"/>
                <w:szCs w:val="4"/>
                <w:color w:val="FFFFFF"/>
              </w:rPr>
              <w:t>utionary statements listed from time to time in the Company’materials,periodic reports filed with the Securities and Exchange Commission, including, but not limited to, the Company’customers,Annual</w:t>
            </w:r>
          </w:p>
        </w:tc>
        <w:tc>
          <w:tcPr>
            <w:tcW w:w="0" w:type="dxa"/>
            <w:vAlign w:val="bottom"/>
          </w:tcPr>
          <w:p>
            <w:pPr>
              <w:spacing w:after="0" w:line="20" w:lineRule="exact"/>
              <w:rPr>
                <w:sz w:val="1"/>
                <w:szCs w:val="1"/>
                <w:color w:val="auto"/>
              </w:rPr>
            </w:pPr>
          </w:p>
        </w:tc>
      </w:tr>
      <w:tr>
        <w:trPr>
          <w:trHeight w:val="39"/>
        </w:trPr>
        <w:tc>
          <w:tcPr>
            <w:tcW w:w="5040" w:type="dxa"/>
            <w:vAlign w:val="bottom"/>
            <w:gridSpan w:val="2"/>
          </w:tcPr>
          <w:p>
            <w:pPr>
              <w:spacing w:after="0" w:line="40" w:lineRule="exact"/>
              <w:rPr>
                <w:sz w:val="20"/>
                <w:szCs w:val="20"/>
                <w:color w:val="auto"/>
              </w:rPr>
            </w:pPr>
            <w:r>
              <w:rPr>
                <w:rFonts w:ascii="Arial" w:cs="Arial" w:eastAsia="Arial" w:hAnsi="Arial"/>
                <w:sz w:val="4"/>
                <w:szCs w:val="4"/>
                <w:color w:val="FFFFFF"/>
              </w:rPr>
              <w:t>Report on 10-K for the fiscal year ended December 31, 2015.</w:t>
            </w:r>
          </w:p>
        </w:tc>
        <w:tc>
          <w:tcPr>
            <w:tcW w:w="6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340" w:type="dxa"/>
            <w:vAlign w:val="bottom"/>
            <w:gridSpan w:val="3"/>
          </w:tcPr>
          <w:p>
            <w:pPr>
              <w:spacing w:after="0" w:line="40" w:lineRule="exact"/>
              <w:rPr>
                <w:sz w:val="20"/>
                <w:szCs w:val="20"/>
                <w:color w:val="auto"/>
              </w:rPr>
            </w:pPr>
            <w:r>
              <w:rPr>
                <w:rFonts w:ascii="Arial" w:cs="Arial" w:eastAsia="Arial" w:hAnsi="Arial"/>
                <w:sz w:val="4"/>
                <w:szCs w:val="4"/>
                <w:color w:val="FFFFFF"/>
              </w:rPr>
              <w:t>With respect to any non-GAAP financial measures included in the following presentation, the accompanying information required by SEC Regulation G can be found at the back of this presentation or in the “Investor</w:t>
            </w:r>
          </w:p>
        </w:tc>
        <w:tc>
          <w:tcPr>
            <w:tcW w:w="0" w:type="dxa"/>
            <w:vAlign w:val="bottom"/>
          </w:tcPr>
          <w:p>
            <w:pPr>
              <w:spacing w:after="0" w:line="20" w:lineRule="exact"/>
              <w:rPr>
                <w:sz w:val="1"/>
                <w:szCs w:val="1"/>
                <w:color w:val="auto"/>
              </w:rPr>
            </w:pPr>
          </w:p>
        </w:tc>
      </w:tr>
      <w:tr>
        <w:trPr>
          <w:trHeight w:val="0"/>
        </w:trPr>
        <w:tc>
          <w:tcPr>
            <w:tcW w:w="1400" w:type="dxa"/>
            <w:vAlign w:val="bottom"/>
          </w:tcPr>
          <w:p>
            <w:pPr>
              <w:spacing w:after="0" w:line="78" w:lineRule="exact"/>
              <w:rPr>
                <w:sz w:val="20"/>
                <w:szCs w:val="20"/>
                <w:color w:val="auto"/>
              </w:rPr>
            </w:pPr>
            <w:r>
              <w:rPr>
                <w:rFonts w:ascii="Arial" w:cs="Arial" w:eastAsia="Arial" w:hAnsi="Arial"/>
                <w:sz w:val="8"/>
                <w:szCs w:val="8"/>
                <w:color w:val="FFFFFF"/>
              </w:rPr>
              <w:t>Relations” section of the</w:t>
            </w:r>
          </w:p>
        </w:tc>
        <w:tc>
          <w:tcPr>
            <w:tcW w:w="9940" w:type="dxa"/>
            <w:vAlign w:val="bottom"/>
            <w:gridSpan w:val="2"/>
          </w:tcPr>
          <w:p>
            <w:pPr>
              <w:ind w:left="480"/>
              <w:spacing w:after="0" w:line="78" w:lineRule="exact"/>
              <w:rPr>
                <w:sz w:val="20"/>
                <w:szCs w:val="20"/>
                <w:color w:val="auto"/>
              </w:rPr>
            </w:pPr>
            <w:r>
              <w:rPr>
                <w:rFonts w:ascii="Arial" w:cs="Arial" w:eastAsia="Arial" w:hAnsi="Arial"/>
                <w:sz w:val="8"/>
                <w:szCs w:val="8"/>
                <w:color w:val="FFFFFF"/>
              </w:rPr>
              <w:t>s web site, www.nninc.com, under the heading “News &amp; Events” and subheading “Presentations.”</w:t>
            </w:r>
          </w:p>
        </w:tc>
        <w:tc>
          <w:tcPr>
            <w:tcW w:w="0" w:type="dxa"/>
            <w:vAlign w:val="bottom"/>
          </w:tcPr>
          <w:p>
            <w:pPr>
              <w:spacing w:after="0" w:line="20" w:lineRule="exact"/>
              <w:rPr>
                <w:sz w:val="1"/>
                <w:szCs w:val="1"/>
                <w:color w:val="auto"/>
              </w:rPr>
            </w:pPr>
          </w:p>
        </w:tc>
      </w:tr>
    </w:tbl>
    <w:p>
      <w:pPr>
        <w:ind w:right="220"/>
        <w:spacing w:after="0" w:line="211" w:lineRule="auto"/>
        <w:rPr>
          <w:sz w:val="20"/>
          <w:szCs w:val="20"/>
          <w:color w:val="auto"/>
        </w:rPr>
      </w:pPr>
      <w:r>
        <w:rPr>
          <w:rFonts w:ascii="Arial" w:cs="Arial" w:eastAsia="Arial" w:hAnsi="Arial"/>
          <w:sz w:val="4"/>
          <w:szCs w:val="4"/>
          <w:color w:val="FFFFFF"/>
        </w:rPr>
        <w:t>Disclaimer: NN disclaimsCompany’obligation to update any such factors or to publicly announce the result of any revisions to any of the forward-looking statements included herein or therein to reflect future events or developments.</w:t>
      </w:r>
    </w:p>
    <w:p>
      <w:pPr>
        <w:spacing w:after="0"/>
        <w:rPr>
          <w:sz w:val="20"/>
          <w:szCs w:val="20"/>
          <w:color w:val="auto"/>
        </w:rPr>
      </w:pPr>
      <w:r>
        <w:rPr>
          <w:rFonts w:ascii="Arial" w:cs="Arial" w:eastAsia="Arial" w:hAnsi="Arial"/>
          <w:sz w:val="13"/>
          <w:szCs w:val="13"/>
          <w:color w:val="FFFFFF"/>
        </w:rPr>
        <w:t>2</w:t>
      </w:r>
    </w:p>
    <w:p>
      <w:pPr>
        <w:sectPr>
          <w:pgSz w:w="11900" w:h="16838" w:orient="portrait"/>
          <w:cols w:equalWidth="0" w:num="1">
            <w:col w:w="11340"/>
          </w:cols>
          <w:pgMar w:left="240" w:top="1440" w:right="31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1"/>
          <w:szCs w:val="11"/>
          <w:color w:val="FFFFFF"/>
        </w:rPr>
        <w:t>Second Quarter</w:t>
      </w:r>
    </w:p>
    <w:p>
      <w:pPr>
        <w:sectPr>
          <w:pgSz w:w="11900" w:h="16838" w:orient="portrait"/>
          <w:cols w:equalWidth="0" w:num="1">
            <w:col w:w="10219"/>
          </w:cols>
          <w:pgMar w:left="2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Highlights of 2nd</w:t>
      </w:r>
    </w:p>
    <w:p>
      <w:pPr>
        <w:spacing w:after="0" w:line="182" w:lineRule="auto"/>
        <w:rPr>
          <w:sz w:val="20"/>
          <w:szCs w:val="20"/>
          <w:color w:val="auto"/>
        </w:rPr>
      </w:pPr>
      <w:r>
        <w:rPr>
          <w:rFonts w:ascii="Arial" w:cs="Arial" w:eastAsia="Arial" w:hAnsi="Arial"/>
          <w:sz w:val="9"/>
          <w:szCs w:val="9"/>
          <w:color w:val="FFFFFF"/>
        </w:rPr>
        <w:t>SalesQuarterof 2016$214.3M</w:t>
      </w:r>
    </w:p>
    <w:p>
      <w:pPr>
        <w:spacing w:after="0" w:line="205" w:lineRule="auto"/>
        <w:rPr>
          <w:sz w:val="20"/>
          <w:szCs w:val="20"/>
          <w:color w:val="auto"/>
        </w:rPr>
      </w:pPr>
      <w:r>
        <w:rPr>
          <w:rFonts w:ascii="Arial" w:cs="Arial" w:eastAsia="Arial" w:hAnsi="Arial"/>
          <w:sz w:val="4"/>
          <w:szCs w:val="4"/>
          <w:color w:val="FFFFFF"/>
        </w:rPr>
        <w:t>PEP acquisitionDilutedcontributedEarningsPer$58.4MShare of $0.46</w:t>
      </w:r>
    </w:p>
    <w:p>
      <w:pPr>
        <w:spacing w:after="0" w:line="182" w:lineRule="auto"/>
        <w:rPr>
          <w:sz w:val="20"/>
          <w:szCs w:val="20"/>
          <w:color w:val="auto"/>
        </w:rPr>
      </w:pPr>
      <w:r>
        <w:rPr>
          <w:rFonts w:ascii="Arial" w:cs="Arial" w:eastAsia="Arial" w:hAnsi="Arial"/>
          <w:sz w:val="9"/>
          <w:szCs w:val="9"/>
          <w:color w:val="FFFFFF"/>
          <w:vertAlign w:val="subscript"/>
        </w:rPr>
        <w:t>Adjusted</w:t>
      </w:r>
      <w:r>
        <w:rPr>
          <w:rFonts w:ascii="Arial" w:cs="Arial" w:eastAsia="Arial" w:hAnsi="Arial"/>
          <w:sz w:val="7"/>
          <w:szCs w:val="7"/>
          <w:color w:val="FFFFFF"/>
        </w:rPr>
        <w:t xml:space="preserve"> EBITDA of $40.8M</w:t>
      </w:r>
    </w:p>
    <w:p>
      <w:pPr>
        <w:spacing w:after="0" w:line="205" w:lineRule="auto"/>
        <w:rPr>
          <w:sz w:val="20"/>
          <w:szCs w:val="20"/>
          <w:color w:val="auto"/>
        </w:rPr>
      </w:pPr>
      <w:r>
        <w:rPr>
          <w:rFonts w:ascii="Arial" w:cs="Arial" w:eastAsia="Arial" w:hAnsi="Arial"/>
          <w:sz w:val="4"/>
          <w:szCs w:val="4"/>
          <w:color w:val="FFFFFF"/>
        </w:rPr>
        <w:t>Free CashOperatingFlowcontinuesMarginsto increasedexceedexpectations420bpsto 13.4% compared to Q2 2015</w:t>
      </w:r>
    </w:p>
    <w:p>
      <w:pPr>
        <w:spacing w:after="0"/>
        <w:rPr>
          <w:sz w:val="20"/>
          <w:szCs w:val="20"/>
          <w:color w:val="auto"/>
        </w:rPr>
      </w:pPr>
      <w:r>
        <w:rPr>
          <w:rFonts w:ascii="Arial" w:cs="Arial" w:eastAsia="Arial" w:hAnsi="Arial"/>
          <w:sz w:val="13"/>
          <w:szCs w:val="13"/>
          <w:color w:val="FFFFFF"/>
        </w:rPr>
        <w:t>4</w:t>
      </w:r>
    </w:p>
    <w:p>
      <w:pPr>
        <w:sectPr>
          <w:pgSz w:w="11900" w:h="16838" w:orient="portrait"/>
          <w:cols w:equalWidth="0" w:num="1">
            <w:col w:w="10219"/>
          </w:cols>
          <w:pgMar w:left="2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40" w:type="dxa"/>
            <w:vAlign w:val="bottom"/>
            <w:gridSpan w:val="4"/>
          </w:tcPr>
          <w:p>
            <w:pPr>
              <w:spacing w:after="0"/>
              <w:rPr>
                <w:sz w:val="20"/>
                <w:szCs w:val="20"/>
                <w:color w:val="auto"/>
              </w:rPr>
            </w:pPr>
            <w:r>
              <w:rPr>
                <w:rFonts w:ascii="Arial" w:cs="Arial" w:eastAsia="Arial" w:hAnsi="Arial"/>
                <w:sz w:val="13"/>
                <w:szCs w:val="13"/>
                <w:color w:val="FFFFFF"/>
              </w:rPr>
              <w:t>2nd Quarter 2016 Financial Summary</w:t>
            </w:r>
          </w:p>
        </w:tc>
        <w:tc>
          <w:tcPr>
            <w:tcW w:w="0" w:type="dxa"/>
            <w:vAlign w:val="bottom"/>
          </w:tcPr>
          <w:p>
            <w:pPr>
              <w:spacing w:after="0"/>
              <w:rPr>
                <w:sz w:val="1"/>
                <w:szCs w:val="1"/>
                <w:color w:val="auto"/>
              </w:rPr>
            </w:pPr>
          </w:p>
        </w:tc>
      </w:tr>
      <w:tr>
        <w:trPr>
          <w:trHeight w:val="39"/>
        </w:trPr>
        <w:tc>
          <w:tcPr>
            <w:tcW w:w="1300" w:type="dxa"/>
            <w:vAlign w:val="bottom"/>
            <w:gridSpan w:val="3"/>
          </w:tcPr>
          <w:p>
            <w:pPr>
              <w:spacing w:after="0" w:line="40" w:lineRule="exact"/>
              <w:rPr>
                <w:sz w:val="20"/>
                <w:szCs w:val="20"/>
                <w:color w:val="auto"/>
              </w:rPr>
            </w:pPr>
            <w:r>
              <w:rPr>
                <w:rFonts w:ascii="Arial" w:cs="Arial" w:eastAsia="Arial" w:hAnsi="Arial"/>
                <w:sz w:val="4"/>
                <w:szCs w:val="4"/>
                <w:color w:val="FFFFFF"/>
              </w:rPr>
              <w:t>Adjusted Diluted</w:t>
            </w:r>
          </w:p>
        </w:tc>
        <w:tc>
          <w:tcPr>
            <w:tcW w:w="2340" w:type="dxa"/>
            <w:vAlign w:val="bottom"/>
          </w:tcPr>
          <w:p>
            <w:pPr>
              <w:ind w:left="140"/>
              <w:spacing w:after="0" w:line="40" w:lineRule="exact"/>
              <w:rPr>
                <w:sz w:val="20"/>
                <w:szCs w:val="20"/>
                <w:color w:val="auto"/>
              </w:rPr>
            </w:pPr>
            <w:r>
              <w:rPr>
                <w:rFonts w:ascii="Arial" w:cs="Arial" w:eastAsia="Arial" w:hAnsi="Arial"/>
                <w:sz w:val="4"/>
                <w:szCs w:val="4"/>
                <w:color w:val="FFFFFF"/>
              </w:rPr>
              <w:t>Per Share  Net Sales</w:t>
            </w:r>
          </w:p>
        </w:tc>
        <w:tc>
          <w:tcPr>
            <w:tcW w:w="0" w:type="dxa"/>
            <w:vAlign w:val="bottom"/>
          </w:tcPr>
          <w:p>
            <w:pPr>
              <w:spacing w:after="0" w:line="20" w:lineRule="exact"/>
              <w:rPr>
                <w:sz w:val="1"/>
                <w:szCs w:val="1"/>
                <w:color w:val="auto"/>
              </w:rPr>
            </w:pPr>
          </w:p>
        </w:tc>
      </w:tr>
      <w:tr>
        <w:trPr>
          <w:trHeight w:val="39"/>
        </w:trPr>
        <w:tc>
          <w:tcPr>
            <w:tcW w:w="3640" w:type="dxa"/>
            <w:vAlign w:val="bottom"/>
            <w:gridSpan w:val="4"/>
          </w:tcPr>
          <w:p>
            <w:pPr>
              <w:ind w:left="180"/>
              <w:spacing w:after="0" w:line="40" w:lineRule="exact"/>
              <w:rPr>
                <w:sz w:val="20"/>
                <w:szCs w:val="20"/>
                <w:color w:val="auto"/>
              </w:rPr>
            </w:pPr>
            <w:r>
              <w:rPr>
                <w:rFonts w:ascii="Arial" w:cs="Arial" w:eastAsia="Arial" w:hAnsi="Arial"/>
                <w:sz w:val="4"/>
                <w:szCs w:val="4"/>
                <w:color w:val="FFFFFF"/>
              </w:rPr>
              <w:t>ssued 7.6M sharesEarningsQ3 201530% growth compared to prior year</w:t>
            </w:r>
          </w:p>
        </w:tc>
        <w:tc>
          <w:tcPr>
            <w:tcW w:w="0" w:type="dxa"/>
            <w:vAlign w:val="bottom"/>
          </w:tcPr>
          <w:p>
            <w:pPr>
              <w:spacing w:after="0" w:line="20" w:lineRule="exact"/>
              <w:rPr>
                <w:sz w:val="1"/>
                <w:szCs w:val="1"/>
                <w:color w:val="auto"/>
              </w:rPr>
            </w:pPr>
          </w:p>
        </w:tc>
      </w:tr>
      <w:tr>
        <w:trPr>
          <w:trHeight w:val="39"/>
        </w:trPr>
        <w:tc>
          <w:tcPr>
            <w:tcW w:w="1300" w:type="dxa"/>
            <w:vAlign w:val="bottom"/>
            <w:gridSpan w:val="3"/>
          </w:tcPr>
          <w:p>
            <w:pPr>
              <w:ind w:left="140"/>
              <w:spacing w:after="0" w:line="40" w:lineRule="exact"/>
              <w:rPr>
                <w:sz w:val="20"/>
                <w:szCs w:val="20"/>
                <w:color w:val="auto"/>
              </w:rPr>
            </w:pPr>
            <w:r>
              <w:rPr>
                <w:rFonts w:ascii="Arial" w:cs="Arial" w:eastAsia="Arial" w:hAnsi="Arial"/>
                <w:sz w:val="4"/>
                <w:szCs w:val="4"/>
                <w:color w:val="FFFFFF"/>
              </w:rPr>
              <w:t>In Millions</w:t>
            </w:r>
          </w:p>
        </w:tc>
        <w:tc>
          <w:tcPr>
            <w:tcW w:w="2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40" w:type="dxa"/>
            <w:vAlign w:val="bottom"/>
          </w:tcPr>
          <w:p>
            <w:pPr>
              <w:jc w:val="right"/>
              <w:ind w:right="13"/>
              <w:spacing w:after="0" w:line="40" w:lineRule="exact"/>
              <w:rPr>
                <w:sz w:val="20"/>
                <w:szCs w:val="20"/>
                <w:color w:val="auto"/>
              </w:rPr>
            </w:pPr>
            <w:r>
              <w:rPr>
                <w:rFonts w:ascii="Arial" w:cs="Arial" w:eastAsia="Arial" w:hAnsi="Arial"/>
                <w:sz w:val="4"/>
                <w:szCs w:val="4"/>
                <w:color w:val="FFFFFF"/>
              </w:rPr>
              <w:t>50</w:t>
            </w:r>
          </w:p>
        </w:tc>
        <w:tc>
          <w:tcPr>
            <w:tcW w:w="200" w:type="dxa"/>
            <w:vAlign w:val="bottom"/>
          </w:tcPr>
          <w:p>
            <w:pPr>
              <w:spacing w:after="0"/>
              <w:rPr>
                <w:sz w:val="3"/>
                <w:szCs w:val="3"/>
                <w:color w:val="auto"/>
              </w:rPr>
            </w:pPr>
          </w:p>
        </w:tc>
        <w:tc>
          <w:tcPr>
            <w:tcW w:w="760" w:type="dxa"/>
            <w:vAlign w:val="bottom"/>
          </w:tcPr>
          <w:p>
            <w:pPr>
              <w:ind w:left="60"/>
              <w:spacing w:after="0" w:line="40" w:lineRule="exact"/>
              <w:rPr>
                <w:sz w:val="20"/>
                <w:szCs w:val="20"/>
                <w:color w:val="auto"/>
              </w:rPr>
            </w:pPr>
            <w:r>
              <w:rPr>
                <w:rFonts w:ascii="Arial" w:cs="Arial" w:eastAsia="Arial" w:hAnsi="Arial"/>
                <w:sz w:val="4"/>
                <w:szCs w:val="4"/>
                <w:color w:val="FFFFFF"/>
              </w:rPr>
              <w:t>30</w:t>
            </w:r>
          </w:p>
        </w:tc>
        <w:tc>
          <w:tcPr>
            <w:tcW w:w="2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300" w:type="dxa"/>
            <w:vAlign w:val="bottom"/>
            <w:gridSpan w:val="3"/>
          </w:tcPr>
          <w:p>
            <w:pPr>
              <w:jc w:val="right"/>
              <w:ind w:right="453"/>
              <w:spacing w:after="0" w:line="79" w:lineRule="exact"/>
              <w:rPr>
                <w:sz w:val="20"/>
                <w:szCs w:val="20"/>
                <w:color w:val="auto"/>
              </w:rPr>
            </w:pPr>
            <w:r>
              <w:rPr>
                <w:rFonts w:ascii="Arial" w:cs="Arial" w:eastAsia="Arial" w:hAnsi="Arial"/>
                <w:sz w:val="7"/>
                <w:szCs w:val="7"/>
                <w:color w:val="FFFFFF"/>
              </w:rPr>
              <w:t>$0.45</w:t>
            </w:r>
            <w:r>
              <w:rPr>
                <w:rFonts w:ascii="Arial" w:cs="Arial" w:eastAsia="Arial" w:hAnsi="Arial"/>
                <w:sz w:val="9"/>
                <w:szCs w:val="9"/>
                <w:color w:val="FFFFFF"/>
                <w:vertAlign w:val="subscript"/>
              </w:rPr>
              <w:t>.46</w:t>
            </w:r>
            <w:r>
              <w:rPr>
                <w:rFonts w:ascii="Arial" w:cs="Arial" w:eastAsia="Arial" w:hAnsi="Arial"/>
                <w:sz w:val="7"/>
                <w:szCs w:val="7"/>
                <w:color w:val="FFFFFF"/>
              </w:rPr>
              <w:t xml:space="preserve"> $220.0</w:t>
            </w:r>
          </w:p>
        </w:tc>
        <w:tc>
          <w:tcPr>
            <w:tcW w:w="2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1300" w:type="dxa"/>
            <w:vAlign w:val="bottom"/>
            <w:gridSpan w:val="3"/>
          </w:tcPr>
          <w:p>
            <w:pPr>
              <w:ind w:left="140"/>
              <w:spacing w:after="0" w:line="40" w:lineRule="exact"/>
              <w:rPr>
                <w:sz w:val="20"/>
                <w:szCs w:val="20"/>
                <w:color w:val="auto"/>
              </w:rPr>
            </w:pPr>
            <w:r>
              <w:rPr>
                <w:rFonts w:ascii="Arial" w:cs="Arial" w:eastAsia="Arial" w:hAnsi="Arial"/>
                <w:sz w:val="4"/>
                <w:szCs w:val="4"/>
                <w:color w:val="FFFFFF"/>
              </w:rPr>
              <w:t>$210.0$214.3</w:t>
            </w:r>
          </w:p>
        </w:tc>
        <w:tc>
          <w:tcPr>
            <w:tcW w:w="2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40" w:type="dxa"/>
            <w:vAlign w:val="bottom"/>
          </w:tcPr>
          <w:p>
            <w:pPr>
              <w:jc w:val="right"/>
              <w:ind w:right="13"/>
              <w:spacing w:after="0" w:line="40" w:lineRule="exact"/>
              <w:rPr>
                <w:sz w:val="20"/>
                <w:szCs w:val="20"/>
                <w:color w:val="auto"/>
              </w:rPr>
            </w:pPr>
            <w:r>
              <w:rPr>
                <w:rFonts w:ascii="Arial" w:cs="Arial" w:eastAsia="Arial" w:hAnsi="Arial"/>
                <w:sz w:val="4"/>
                <w:szCs w:val="4"/>
                <w:color w:val="FFFFFF"/>
              </w:rPr>
              <w:t>40</w:t>
            </w:r>
          </w:p>
        </w:tc>
        <w:tc>
          <w:tcPr>
            <w:tcW w:w="960" w:type="dxa"/>
            <w:vAlign w:val="bottom"/>
            <w:gridSpan w:val="2"/>
          </w:tcPr>
          <w:p>
            <w:pPr>
              <w:jc w:val="right"/>
              <w:ind w:right="193"/>
              <w:spacing w:after="0" w:line="40" w:lineRule="exact"/>
              <w:rPr>
                <w:sz w:val="20"/>
                <w:szCs w:val="20"/>
                <w:color w:val="auto"/>
              </w:rPr>
            </w:pPr>
            <w:r>
              <w:rPr>
                <w:rFonts w:ascii="Arial" w:cs="Arial" w:eastAsia="Arial" w:hAnsi="Arial"/>
                <w:sz w:val="4"/>
                <w:szCs w:val="4"/>
                <w:color w:val="FFFFFF"/>
              </w:rPr>
              <w:t>$0.42$200.0</w:t>
            </w:r>
          </w:p>
        </w:tc>
        <w:tc>
          <w:tcPr>
            <w:tcW w:w="2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40" w:type="dxa"/>
            <w:vAlign w:val="bottom"/>
          </w:tcPr>
          <w:p>
            <w:pPr>
              <w:jc w:val="right"/>
              <w:ind w:right="13"/>
              <w:spacing w:after="0" w:line="40" w:lineRule="exact"/>
              <w:rPr>
                <w:sz w:val="20"/>
                <w:szCs w:val="20"/>
                <w:color w:val="auto"/>
              </w:rPr>
            </w:pPr>
            <w:r>
              <w:rPr>
                <w:rFonts w:ascii="Arial" w:cs="Arial" w:eastAsia="Arial" w:hAnsi="Arial"/>
                <w:sz w:val="4"/>
                <w:szCs w:val="4"/>
                <w:color w:val="FFFFFF"/>
              </w:rPr>
              <w:t>5</w:t>
            </w:r>
          </w:p>
        </w:tc>
        <w:tc>
          <w:tcPr>
            <w:tcW w:w="200" w:type="dxa"/>
            <w:vAlign w:val="bottom"/>
          </w:tcPr>
          <w:p>
            <w:pPr>
              <w:spacing w:after="0"/>
              <w:rPr>
                <w:sz w:val="3"/>
                <w:szCs w:val="3"/>
                <w:color w:val="auto"/>
              </w:rPr>
            </w:pPr>
          </w:p>
        </w:tc>
        <w:tc>
          <w:tcPr>
            <w:tcW w:w="760" w:type="dxa"/>
            <w:vAlign w:val="bottom"/>
          </w:tcPr>
          <w:p>
            <w:pPr>
              <w:ind w:left="60"/>
              <w:spacing w:after="0" w:line="40" w:lineRule="exact"/>
              <w:rPr>
                <w:sz w:val="20"/>
                <w:szCs w:val="20"/>
                <w:color w:val="auto"/>
              </w:rPr>
            </w:pPr>
            <w:r>
              <w:rPr>
                <w:rFonts w:ascii="Arial" w:cs="Arial" w:eastAsia="Arial" w:hAnsi="Arial"/>
                <w:sz w:val="4"/>
                <w:szCs w:val="4"/>
                <w:color w:val="FFFFFF"/>
              </w:rPr>
              <w:t>90</w:t>
            </w:r>
          </w:p>
        </w:tc>
        <w:tc>
          <w:tcPr>
            <w:tcW w:w="2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40" w:type="dxa"/>
            <w:vAlign w:val="bottom"/>
          </w:tcPr>
          <w:p>
            <w:pPr>
              <w:jc w:val="right"/>
              <w:ind w:right="13"/>
              <w:spacing w:after="0" w:line="40" w:lineRule="exact"/>
              <w:rPr>
                <w:sz w:val="20"/>
                <w:szCs w:val="20"/>
                <w:color w:val="auto"/>
              </w:rPr>
            </w:pPr>
            <w:r>
              <w:rPr>
                <w:rFonts w:ascii="Arial" w:cs="Arial" w:eastAsia="Arial" w:hAnsi="Arial"/>
                <w:sz w:val="4"/>
                <w:szCs w:val="4"/>
                <w:color w:val="FFFFFF"/>
              </w:rPr>
              <w:t>$0.30</w:t>
            </w:r>
          </w:p>
        </w:tc>
        <w:tc>
          <w:tcPr>
            <w:tcW w:w="960" w:type="dxa"/>
            <w:vAlign w:val="bottom"/>
            <w:gridSpan w:val="2"/>
          </w:tcPr>
          <w:p>
            <w:pPr>
              <w:jc w:val="right"/>
              <w:ind w:right="453"/>
              <w:spacing w:after="0" w:line="40" w:lineRule="exact"/>
              <w:rPr>
                <w:sz w:val="20"/>
                <w:szCs w:val="20"/>
                <w:color w:val="auto"/>
              </w:rPr>
            </w:pPr>
            <w:r>
              <w:rPr>
                <w:rFonts w:ascii="Arial" w:cs="Arial" w:eastAsia="Arial" w:hAnsi="Arial"/>
                <w:sz w:val="4"/>
                <w:szCs w:val="4"/>
                <w:color w:val="FFFFFF"/>
              </w:rPr>
              <w:t>$180.0</w:t>
            </w:r>
          </w:p>
        </w:tc>
        <w:tc>
          <w:tcPr>
            <w:tcW w:w="2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40" w:type="dxa"/>
            <w:vAlign w:val="bottom"/>
            <w:gridSpan w:val="2"/>
          </w:tcPr>
          <w:p>
            <w:pPr>
              <w:ind w:left="140"/>
              <w:spacing w:after="0" w:line="40" w:lineRule="exact"/>
              <w:rPr>
                <w:sz w:val="20"/>
                <w:szCs w:val="20"/>
                <w:color w:val="auto"/>
              </w:rPr>
            </w:pPr>
            <w:r>
              <w:rPr>
                <w:rFonts w:ascii="Arial" w:cs="Arial" w:eastAsia="Arial" w:hAnsi="Arial"/>
                <w:sz w:val="4"/>
                <w:szCs w:val="4"/>
                <w:color w:val="FFFFFF"/>
              </w:rPr>
              <w:t>$170.0</w:t>
            </w:r>
          </w:p>
        </w:tc>
        <w:tc>
          <w:tcPr>
            <w:tcW w:w="7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40" w:type="dxa"/>
            <w:vAlign w:val="bottom"/>
          </w:tcPr>
          <w:p>
            <w:pPr>
              <w:jc w:val="right"/>
              <w:ind w:right="13"/>
              <w:spacing w:after="0" w:line="40" w:lineRule="exact"/>
              <w:rPr>
                <w:sz w:val="20"/>
                <w:szCs w:val="20"/>
                <w:color w:val="auto"/>
              </w:rPr>
            </w:pPr>
            <w:r>
              <w:rPr>
                <w:rFonts w:ascii="Arial" w:cs="Arial" w:eastAsia="Arial" w:hAnsi="Arial"/>
                <w:sz w:val="4"/>
                <w:szCs w:val="4"/>
                <w:color w:val="FFFFFF"/>
              </w:rPr>
              <w:t>$0.25</w:t>
            </w: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300" w:type="dxa"/>
            <w:vAlign w:val="bottom"/>
            <w:gridSpan w:val="3"/>
          </w:tcPr>
          <w:p>
            <w:pPr>
              <w:ind w:left="140"/>
              <w:spacing w:after="0" w:line="40" w:lineRule="exact"/>
              <w:rPr>
                <w:sz w:val="20"/>
                <w:szCs w:val="20"/>
                <w:color w:val="auto"/>
              </w:rPr>
            </w:pPr>
            <w:r>
              <w:rPr>
                <w:rFonts w:ascii="Arial" w:cs="Arial" w:eastAsia="Arial" w:hAnsi="Arial"/>
                <w:sz w:val="4"/>
                <w:szCs w:val="4"/>
                <w:color w:val="FFFFFF"/>
              </w:rPr>
              <w:t>$160.0$164.9</w:t>
            </w:r>
          </w:p>
        </w:tc>
        <w:tc>
          <w:tcPr>
            <w:tcW w:w="2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40" w:type="dxa"/>
            <w:vAlign w:val="bottom"/>
          </w:tcPr>
          <w:p>
            <w:pPr>
              <w:jc w:val="right"/>
              <w:ind w:right="13"/>
              <w:spacing w:after="0" w:line="40" w:lineRule="exact"/>
              <w:rPr>
                <w:sz w:val="20"/>
                <w:szCs w:val="20"/>
                <w:color w:val="auto"/>
              </w:rPr>
            </w:pPr>
            <w:r>
              <w:rPr>
                <w:rFonts w:ascii="Arial" w:cs="Arial" w:eastAsia="Arial" w:hAnsi="Arial"/>
                <w:sz w:val="4"/>
                <w:szCs w:val="4"/>
                <w:color w:val="FFFFFF"/>
              </w:rPr>
              <w:t>20</w:t>
            </w:r>
          </w:p>
        </w:tc>
        <w:tc>
          <w:tcPr>
            <w:tcW w:w="200" w:type="dxa"/>
            <w:vAlign w:val="bottom"/>
          </w:tcPr>
          <w:p>
            <w:pPr>
              <w:spacing w:after="0"/>
              <w:rPr>
                <w:sz w:val="3"/>
                <w:szCs w:val="3"/>
                <w:color w:val="auto"/>
              </w:rPr>
            </w:pPr>
          </w:p>
        </w:tc>
        <w:tc>
          <w:tcPr>
            <w:tcW w:w="760" w:type="dxa"/>
            <w:vAlign w:val="bottom"/>
          </w:tcPr>
          <w:p>
            <w:pPr>
              <w:ind w:left="60"/>
              <w:spacing w:after="0" w:line="40" w:lineRule="exact"/>
              <w:rPr>
                <w:sz w:val="20"/>
                <w:szCs w:val="20"/>
                <w:color w:val="auto"/>
              </w:rPr>
            </w:pPr>
            <w:r>
              <w:rPr>
                <w:rFonts w:ascii="Arial" w:cs="Arial" w:eastAsia="Arial" w:hAnsi="Arial"/>
                <w:sz w:val="4"/>
                <w:szCs w:val="4"/>
                <w:color w:val="FFFFFF"/>
              </w:rPr>
              <w:t>50</w:t>
            </w:r>
          </w:p>
        </w:tc>
        <w:tc>
          <w:tcPr>
            <w:tcW w:w="2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40" w:type="dxa"/>
            <w:vAlign w:val="bottom"/>
          </w:tcPr>
          <w:p>
            <w:pPr>
              <w:jc w:val="right"/>
              <w:ind w:right="13"/>
              <w:spacing w:after="0" w:line="40" w:lineRule="exact"/>
              <w:rPr>
                <w:sz w:val="20"/>
                <w:szCs w:val="20"/>
                <w:color w:val="auto"/>
              </w:rPr>
            </w:pPr>
            <w:r>
              <w:rPr>
                <w:rFonts w:ascii="Arial" w:cs="Arial" w:eastAsia="Arial" w:hAnsi="Arial"/>
                <w:sz w:val="4"/>
                <w:szCs w:val="4"/>
                <w:color w:val="FFFFFF"/>
              </w:rPr>
              <w:t>$0.15</w:t>
            </w:r>
          </w:p>
        </w:tc>
        <w:tc>
          <w:tcPr>
            <w:tcW w:w="960" w:type="dxa"/>
            <w:vAlign w:val="bottom"/>
            <w:gridSpan w:val="2"/>
          </w:tcPr>
          <w:p>
            <w:pPr>
              <w:jc w:val="right"/>
              <w:ind w:right="453"/>
              <w:spacing w:after="0" w:line="40" w:lineRule="exact"/>
              <w:rPr>
                <w:sz w:val="20"/>
                <w:szCs w:val="20"/>
                <w:color w:val="auto"/>
              </w:rPr>
            </w:pPr>
            <w:r>
              <w:rPr>
                <w:rFonts w:ascii="Arial" w:cs="Arial" w:eastAsia="Arial" w:hAnsi="Arial"/>
                <w:sz w:val="4"/>
                <w:szCs w:val="4"/>
                <w:color w:val="FFFFFF"/>
              </w:rPr>
              <w:t>$140.0</w:t>
            </w:r>
          </w:p>
        </w:tc>
        <w:tc>
          <w:tcPr>
            <w:tcW w:w="2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40" w:type="dxa"/>
            <w:vAlign w:val="bottom"/>
            <w:gridSpan w:val="2"/>
          </w:tcPr>
          <w:p>
            <w:pPr>
              <w:ind w:left="140"/>
              <w:spacing w:after="0" w:line="40" w:lineRule="exact"/>
              <w:rPr>
                <w:sz w:val="20"/>
                <w:szCs w:val="20"/>
                <w:color w:val="auto"/>
              </w:rPr>
            </w:pPr>
            <w:r>
              <w:rPr>
                <w:rFonts w:ascii="Arial" w:cs="Arial" w:eastAsia="Arial" w:hAnsi="Arial"/>
                <w:sz w:val="4"/>
                <w:szCs w:val="4"/>
                <w:color w:val="FFFFFF"/>
              </w:rPr>
              <w:t>$130.0</w:t>
            </w:r>
          </w:p>
        </w:tc>
        <w:tc>
          <w:tcPr>
            <w:tcW w:w="7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40" w:type="dxa"/>
            <w:vAlign w:val="bottom"/>
          </w:tcPr>
          <w:p>
            <w:pPr>
              <w:jc w:val="right"/>
              <w:ind w:right="13"/>
              <w:spacing w:after="0" w:line="40" w:lineRule="exact"/>
              <w:rPr>
                <w:sz w:val="20"/>
                <w:szCs w:val="20"/>
                <w:color w:val="auto"/>
              </w:rPr>
            </w:pPr>
            <w:r>
              <w:rPr>
                <w:rFonts w:ascii="Arial" w:cs="Arial" w:eastAsia="Arial" w:hAnsi="Arial"/>
                <w:sz w:val="4"/>
                <w:szCs w:val="4"/>
                <w:color w:val="FFFFFF"/>
              </w:rPr>
              <w:t>$0.10</w:t>
            </w: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40" w:type="dxa"/>
            <w:vAlign w:val="bottom"/>
            <w:gridSpan w:val="2"/>
          </w:tcPr>
          <w:p>
            <w:pPr>
              <w:ind w:left="140"/>
              <w:spacing w:after="0" w:line="40" w:lineRule="exact"/>
              <w:rPr>
                <w:sz w:val="20"/>
                <w:szCs w:val="20"/>
                <w:color w:val="auto"/>
              </w:rPr>
            </w:pPr>
            <w:r>
              <w:rPr>
                <w:rFonts w:ascii="Arial" w:cs="Arial" w:eastAsia="Arial" w:hAnsi="Arial"/>
                <w:sz w:val="4"/>
                <w:szCs w:val="4"/>
                <w:color w:val="FFFFFF"/>
              </w:rPr>
              <w:t>$120.0</w:t>
            </w:r>
          </w:p>
        </w:tc>
        <w:tc>
          <w:tcPr>
            <w:tcW w:w="760" w:type="dxa"/>
            <w:vAlign w:val="bottom"/>
            <w:vMerge w:val="restart"/>
          </w:tcPr>
          <w:p>
            <w:pPr>
              <w:ind w:left="40"/>
              <w:spacing w:after="0" w:line="79" w:lineRule="exact"/>
              <w:rPr>
                <w:sz w:val="20"/>
                <w:szCs w:val="20"/>
                <w:color w:val="auto"/>
              </w:rPr>
            </w:pPr>
            <w:r>
              <w:rPr>
                <w:rFonts w:ascii="Arial" w:cs="Arial" w:eastAsia="Arial" w:hAnsi="Arial"/>
                <w:sz w:val="9"/>
                <w:szCs w:val="9"/>
                <w:color w:val="FFFFFF"/>
              </w:rPr>
              <w:t>10.</w:t>
            </w:r>
          </w:p>
        </w:tc>
        <w:tc>
          <w:tcPr>
            <w:tcW w:w="2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40" w:type="dxa"/>
            <w:vAlign w:val="bottom"/>
          </w:tcPr>
          <w:p>
            <w:pPr>
              <w:jc w:val="right"/>
              <w:ind w:right="13"/>
              <w:spacing w:after="0" w:line="40" w:lineRule="exact"/>
              <w:rPr>
                <w:sz w:val="20"/>
                <w:szCs w:val="20"/>
                <w:color w:val="auto"/>
              </w:rPr>
            </w:pPr>
            <w:r>
              <w:rPr>
                <w:rFonts w:ascii="Arial" w:cs="Arial" w:eastAsia="Arial" w:hAnsi="Arial"/>
                <w:sz w:val="4"/>
                <w:szCs w:val="4"/>
                <w:color w:val="FFFFFF"/>
              </w:rPr>
              <w:t>5</w:t>
            </w:r>
          </w:p>
        </w:tc>
        <w:tc>
          <w:tcPr>
            <w:tcW w:w="2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40" w:type="dxa"/>
            <w:vAlign w:val="bottom"/>
          </w:tcPr>
          <w:p>
            <w:pPr>
              <w:jc w:val="right"/>
              <w:ind w:right="13"/>
              <w:spacing w:after="0" w:line="40" w:lineRule="exact"/>
              <w:rPr>
                <w:sz w:val="20"/>
                <w:szCs w:val="20"/>
                <w:color w:val="auto"/>
              </w:rPr>
            </w:pPr>
            <w:r>
              <w:rPr>
                <w:rFonts w:ascii="Arial" w:cs="Arial" w:eastAsia="Arial" w:hAnsi="Arial"/>
                <w:sz w:val="4"/>
                <w:szCs w:val="4"/>
                <w:color w:val="FFFFFF"/>
              </w:rPr>
              <w:t>$0.00</w:t>
            </w:r>
          </w:p>
        </w:tc>
        <w:tc>
          <w:tcPr>
            <w:tcW w:w="960" w:type="dxa"/>
            <w:vAlign w:val="bottom"/>
            <w:gridSpan w:val="2"/>
          </w:tcPr>
          <w:p>
            <w:pPr>
              <w:jc w:val="right"/>
              <w:ind w:right="453"/>
              <w:spacing w:after="0" w:line="40" w:lineRule="exact"/>
              <w:rPr>
                <w:sz w:val="20"/>
                <w:szCs w:val="20"/>
                <w:color w:val="auto"/>
              </w:rPr>
            </w:pPr>
            <w:r>
              <w:rPr>
                <w:rFonts w:ascii="Arial" w:cs="Arial" w:eastAsia="Arial" w:hAnsi="Arial"/>
                <w:sz w:val="4"/>
                <w:szCs w:val="4"/>
                <w:color w:val="FFFFFF"/>
              </w:rPr>
              <w:t>$ 00.0</w:t>
            </w:r>
          </w:p>
        </w:tc>
        <w:tc>
          <w:tcPr>
            <w:tcW w:w="2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340" w:type="dxa"/>
            <w:vAlign w:val="bottom"/>
          </w:tcPr>
          <w:p>
            <w:pPr>
              <w:spacing w:after="0"/>
              <w:rPr>
                <w:sz w:val="20"/>
                <w:szCs w:val="20"/>
                <w:color w:val="auto"/>
              </w:rPr>
            </w:pPr>
            <w:r>
              <w:rPr>
                <w:rFonts w:ascii="Arial" w:cs="Arial" w:eastAsia="Arial" w:hAnsi="Arial"/>
                <w:sz w:val="13"/>
                <w:szCs w:val="13"/>
                <w:color w:val="FFFFFF"/>
              </w:rPr>
              <w:t>2015</w:t>
            </w:r>
          </w:p>
        </w:tc>
        <w:tc>
          <w:tcPr>
            <w:tcW w:w="960" w:type="dxa"/>
            <w:vAlign w:val="bottom"/>
            <w:gridSpan w:val="2"/>
          </w:tcPr>
          <w:p>
            <w:pPr>
              <w:jc w:val="right"/>
              <w:ind w:right="93"/>
              <w:spacing w:after="0"/>
              <w:rPr>
                <w:sz w:val="20"/>
                <w:szCs w:val="20"/>
                <w:color w:val="auto"/>
              </w:rPr>
            </w:pPr>
            <w:r>
              <w:rPr>
                <w:rFonts w:ascii="Arial" w:cs="Arial" w:eastAsia="Arial" w:hAnsi="Arial"/>
                <w:sz w:val="13"/>
                <w:szCs w:val="13"/>
                <w:color w:val="FFFFFF"/>
                <w:w w:val="94"/>
              </w:rPr>
              <w:t>201620152016</w:t>
            </w: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40" w:type="dxa"/>
            <w:vAlign w:val="bottom"/>
            <w:gridSpan w:val="4"/>
          </w:tcPr>
          <w:p>
            <w:pPr>
              <w:spacing w:after="0"/>
              <w:rPr>
                <w:sz w:val="20"/>
                <w:szCs w:val="20"/>
                <w:color w:val="auto"/>
              </w:rPr>
            </w:pPr>
            <w:r>
              <w:rPr>
                <w:rFonts w:ascii="Arial" w:cs="Arial" w:eastAsia="Arial" w:hAnsi="Arial"/>
                <w:sz w:val="13"/>
                <w:szCs w:val="13"/>
                <w:color w:val="FFFFFF"/>
              </w:rPr>
              <w:t>2nd Quarter 2016 Financial Summary</w:t>
            </w:r>
          </w:p>
        </w:tc>
        <w:tc>
          <w:tcPr>
            <w:tcW w:w="0" w:type="dxa"/>
            <w:vAlign w:val="bottom"/>
          </w:tcPr>
          <w:p>
            <w:pPr>
              <w:spacing w:after="0"/>
              <w:rPr>
                <w:sz w:val="1"/>
                <w:szCs w:val="1"/>
                <w:color w:val="auto"/>
              </w:rPr>
            </w:pPr>
          </w:p>
        </w:tc>
      </w:tr>
      <w:tr>
        <w:trPr>
          <w:trHeight w:val="39"/>
        </w:trPr>
        <w:tc>
          <w:tcPr>
            <w:tcW w:w="5340" w:type="dxa"/>
            <w:vAlign w:val="bottom"/>
            <w:gridSpan w:val="4"/>
          </w:tcPr>
          <w:p>
            <w:pPr>
              <w:spacing w:after="0" w:line="40" w:lineRule="exact"/>
              <w:rPr>
                <w:sz w:val="20"/>
                <w:szCs w:val="20"/>
                <w:color w:val="auto"/>
              </w:rPr>
            </w:pPr>
            <w:r>
              <w:rPr>
                <w:rFonts w:ascii="Arial" w:cs="Arial" w:eastAsia="Arial" w:hAnsi="Arial"/>
                <w:sz w:val="4"/>
                <w:szCs w:val="4"/>
                <w:color w:val="FFFFFF"/>
              </w:rPr>
              <w:t>Gross Margin  Adjusted Operating Margin</w:t>
            </w:r>
          </w:p>
        </w:tc>
        <w:tc>
          <w:tcPr>
            <w:tcW w:w="0" w:type="dxa"/>
            <w:vAlign w:val="bottom"/>
          </w:tcPr>
          <w:p>
            <w:pPr>
              <w:spacing w:after="0" w:line="20" w:lineRule="exact"/>
              <w:rPr>
                <w:sz w:val="1"/>
                <w:szCs w:val="1"/>
                <w:color w:val="auto"/>
              </w:rPr>
            </w:pPr>
          </w:p>
        </w:tc>
      </w:tr>
      <w:tr>
        <w:trPr>
          <w:trHeight w:val="39"/>
        </w:trPr>
        <w:tc>
          <w:tcPr>
            <w:tcW w:w="5340" w:type="dxa"/>
            <w:vAlign w:val="bottom"/>
            <w:gridSpan w:val="4"/>
          </w:tcPr>
          <w:p>
            <w:pPr>
              <w:spacing w:after="0" w:line="40" w:lineRule="exact"/>
              <w:rPr>
                <w:sz w:val="20"/>
                <w:szCs w:val="20"/>
                <w:color w:val="auto"/>
              </w:rPr>
            </w:pPr>
            <w:r>
              <w:rPr>
                <w:rFonts w:ascii="Arial" w:cs="Arial" w:eastAsia="Arial" w:hAnsi="Arial"/>
                <w:sz w:val="4"/>
                <w:szCs w:val="4"/>
                <w:color w:val="FFFFFF"/>
              </w:rPr>
              <w:t>490 bps improvement driven by acquisition of  420bps margin expansion resulting from acquisitions</w:t>
            </w:r>
          </w:p>
        </w:tc>
        <w:tc>
          <w:tcPr>
            <w:tcW w:w="0" w:type="dxa"/>
            <w:vAlign w:val="bottom"/>
          </w:tcPr>
          <w:p>
            <w:pPr>
              <w:spacing w:after="0" w:line="20" w:lineRule="exact"/>
              <w:rPr>
                <w:sz w:val="1"/>
                <w:szCs w:val="1"/>
                <w:color w:val="auto"/>
              </w:rPr>
            </w:pPr>
          </w:p>
        </w:tc>
      </w:tr>
      <w:tr>
        <w:trPr>
          <w:trHeight w:val="39"/>
        </w:trPr>
        <w:tc>
          <w:tcPr>
            <w:tcW w:w="5340" w:type="dxa"/>
            <w:vAlign w:val="bottom"/>
            <w:gridSpan w:val="4"/>
          </w:tcPr>
          <w:p>
            <w:pPr>
              <w:spacing w:after="0" w:line="40" w:lineRule="exact"/>
              <w:rPr>
                <w:sz w:val="20"/>
                <w:szCs w:val="20"/>
                <w:color w:val="auto"/>
              </w:rPr>
            </w:pPr>
            <w:r>
              <w:rPr>
                <w:rFonts w:ascii="Arial" w:cs="Arial" w:eastAsia="Arial" w:hAnsi="Arial"/>
                <w:sz w:val="4"/>
                <w:szCs w:val="4"/>
                <w:color w:val="FFFFFF"/>
              </w:rPr>
              <w:t>PEP and the NN Operating System  and improvements in the NN Operating System</w:t>
            </w:r>
          </w:p>
        </w:tc>
        <w:tc>
          <w:tcPr>
            <w:tcW w:w="0" w:type="dxa"/>
            <w:vAlign w:val="bottom"/>
          </w:tcPr>
          <w:p>
            <w:pPr>
              <w:spacing w:after="0" w:line="20" w:lineRule="exact"/>
              <w:rPr>
                <w:sz w:val="1"/>
                <w:szCs w:val="1"/>
                <w:color w:val="auto"/>
              </w:rPr>
            </w:pPr>
          </w:p>
        </w:tc>
      </w:tr>
      <w:tr>
        <w:trPr>
          <w:trHeight w:val="39"/>
        </w:trPr>
        <w:tc>
          <w:tcPr>
            <w:tcW w:w="380" w:type="dxa"/>
            <w:vAlign w:val="bottom"/>
          </w:tcPr>
          <w:p>
            <w:pPr>
              <w:spacing w:after="0" w:line="40" w:lineRule="exact"/>
              <w:rPr>
                <w:sz w:val="20"/>
                <w:szCs w:val="20"/>
                <w:color w:val="auto"/>
              </w:rPr>
            </w:pPr>
            <w:r>
              <w:rPr>
                <w:rFonts w:ascii="Arial" w:cs="Arial" w:eastAsia="Arial" w:hAnsi="Arial"/>
                <w:sz w:val="4"/>
                <w:szCs w:val="4"/>
                <w:color w:val="FFFFFF"/>
              </w:rPr>
              <w:t>30.0%</w:t>
            </w: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60" w:type="dxa"/>
            <w:vAlign w:val="bottom"/>
          </w:tcPr>
          <w:p>
            <w:pPr>
              <w:jc w:val="right"/>
              <w:ind w:right="4467"/>
              <w:spacing w:after="0" w:line="40" w:lineRule="exact"/>
              <w:rPr>
                <w:sz w:val="20"/>
                <w:szCs w:val="20"/>
                <w:color w:val="auto"/>
              </w:rPr>
            </w:pPr>
            <w:r>
              <w:rPr>
                <w:rFonts w:ascii="Arial" w:cs="Arial" w:eastAsia="Arial" w:hAnsi="Arial"/>
                <w:sz w:val="4"/>
                <w:szCs w:val="4"/>
                <w:color w:val="FFFFFF"/>
              </w:rPr>
              <w:t>14.0%</w:t>
            </w:r>
          </w:p>
        </w:tc>
        <w:tc>
          <w:tcPr>
            <w:tcW w:w="0" w:type="dxa"/>
            <w:vAlign w:val="bottom"/>
          </w:tcPr>
          <w:p>
            <w:pPr>
              <w:spacing w:after="0" w:line="20" w:lineRule="exact"/>
              <w:rPr>
                <w:sz w:val="1"/>
                <w:szCs w:val="1"/>
                <w:color w:val="auto"/>
              </w:rPr>
            </w:pPr>
          </w:p>
        </w:tc>
      </w:tr>
      <w:tr>
        <w:trPr>
          <w:trHeight w:val="39"/>
        </w:trPr>
        <w:tc>
          <w:tcPr>
            <w:tcW w:w="5340" w:type="dxa"/>
            <w:vAlign w:val="bottom"/>
            <w:gridSpan w:val="4"/>
          </w:tcPr>
          <w:p>
            <w:pPr>
              <w:ind w:left="140"/>
              <w:spacing w:after="0" w:line="40" w:lineRule="exact"/>
              <w:rPr>
                <w:sz w:val="20"/>
                <w:szCs w:val="20"/>
                <w:color w:val="auto"/>
              </w:rPr>
            </w:pPr>
            <w:r>
              <w:rPr>
                <w:rFonts w:ascii="Arial" w:cs="Arial" w:eastAsia="Arial" w:hAnsi="Arial"/>
                <w:sz w:val="4"/>
                <w:szCs w:val="4"/>
                <w:color w:val="FFFFFF"/>
              </w:rPr>
              <w:t>13.0%13.4%</w:t>
            </w:r>
          </w:p>
        </w:tc>
        <w:tc>
          <w:tcPr>
            <w:tcW w:w="0" w:type="dxa"/>
            <w:vAlign w:val="bottom"/>
          </w:tcPr>
          <w:p>
            <w:pPr>
              <w:spacing w:after="0" w:line="20" w:lineRule="exact"/>
              <w:rPr>
                <w:sz w:val="1"/>
                <w:szCs w:val="1"/>
                <w:color w:val="auto"/>
              </w:rPr>
            </w:pPr>
          </w:p>
        </w:tc>
      </w:tr>
      <w:tr>
        <w:trPr>
          <w:trHeight w:val="39"/>
        </w:trPr>
        <w:tc>
          <w:tcPr>
            <w:tcW w:w="380" w:type="dxa"/>
            <w:vAlign w:val="bottom"/>
          </w:tcPr>
          <w:p>
            <w:pPr>
              <w:spacing w:after="0" w:line="40" w:lineRule="exact"/>
              <w:rPr>
                <w:sz w:val="20"/>
                <w:szCs w:val="20"/>
                <w:color w:val="auto"/>
              </w:rPr>
            </w:pPr>
            <w:r>
              <w:rPr>
                <w:rFonts w:ascii="Arial" w:cs="Arial" w:eastAsia="Arial" w:hAnsi="Arial"/>
                <w:sz w:val="4"/>
                <w:szCs w:val="4"/>
                <w:color w:val="FFFFFF"/>
              </w:rPr>
              <w:t>25.0%</w:t>
            </w: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60" w:type="dxa"/>
            <w:vAlign w:val="bottom"/>
          </w:tcPr>
          <w:p>
            <w:pPr>
              <w:jc w:val="right"/>
              <w:ind w:right="4127"/>
              <w:spacing w:after="0" w:line="40" w:lineRule="exact"/>
              <w:rPr>
                <w:sz w:val="20"/>
                <w:szCs w:val="20"/>
                <w:color w:val="auto"/>
              </w:rPr>
            </w:pPr>
            <w:r>
              <w:rPr>
                <w:rFonts w:ascii="Arial" w:cs="Arial" w:eastAsia="Arial" w:hAnsi="Arial"/>
                <w:sz w:val="4"/>
                <w:szCs w:val="4"/>
                <w:color w:val="FFFFFF"/>
              </w:rPr>
              <w:t>26.8%12.0%</w:t>
            </w:r>
          </w:p>
        </w:tc>
        <w:tc>
          <w:tcPr>
            <w:tcW w:w="0" w:type="dxa"/>
            <w:vAlign w:val="bottom"/>
          </w:tcPr>
          <w:p>
            <w:pPr>
              <w:spacing w:after="0" w:line="20" w:lineRule="exact"/>
              <w:rPr>
                <w:sz w:val="1"/>
                <w:szCs w:val="1"/>
                <w:color w:val="auto"/>
              </w:rPr>
            </w:pPr>
          </w:p>
        </w:tc>
      </w:tr>
      <w:tr>
        <w:trPr>
          <w:trHeight w:val="39"/>
        </w:trPr>
        <w:tc>
          <w:tcPr>
            <w:tcW w:w="480" w:type="dxa"/>
            <w:vAlign w:val="bottom"/>
            <w:gridSpan w:val="3"/>
          </w:tcPr>
          <w:p>
            <w:pPr>
              <w:ind w:left="140"/>
              <w:spacing w:after="0" w:line="40" w:lineRule="exact"/>
              <w:rPr>
                <w:sz w:val="20"/>
                <w:szCs w:val="20"/>
                <w:color w:val="auto"/>
              </w:rPr>
            </w:pPr>
            <w:r>
              <w:rPr>
                <w:rFonts w:ascii="Arial" w:cs="Arial" w:eastAsia="Arial" w:hAnsi="Arial"/>
                <w:sz w:val="4"/>
                <w:szCs w:val="4"/>
                <w:color w:val="FFFFFF"/>
              </w:rPr>
              <w:t>11.0%</w:t>
            </w:r>
          </w:p>
        </w:tc>
        <w:tc>
          <w:tcPr>
            <w:tcW w:w="4860" w:type="dxa"/>
            <w:vAlign w:val="bottom"/>
            <w:vMerge w:val="restart"/>
          </w:tcPr>
          <w:p>
            <w:pPr>
              <w:jc w:val="right"/>
              <w:ind w:right="4127"/>
              <w:spacing w:after="0" w:line="79" w:lineRule="exact"/>
              <w:rPr>
                <w:sz w:val="20"/>
                <w:szCs w:val="20"/>
                <w:color w:val="auto"/>
              </w:rPr>
            </w:pPr>
            <w:r>
              <w:rPr>
                <w:rFonts w:ascii="Arial" w:cs="Arial" w:eastAsia="Arial" w:hAnsi="Arial"/>
                <w:sz w:val="9"/>
                <w:szCs w:val="9"/>
                <w:color w:val="FFFFFF"/>
              </w:rPr>
              <w:t>21.9% 10.0%</w:t>
            </w:r>
          </w:p>
        </w:tc>
        <w:tc>
          <w:tcPr>
            <w:tcW w:w="0" w:type="dxa"/>
            <w:vAlign w:val="bottom"/>
          </w:tcPr>
          <w:p>
            <w:pPr>
              <w:spacing w:after="0" w:line="20" w:lineRule="exact"/>
              <w:rPr>
                <w:sz w:val="1"/>
                <w:szCs w:val="1"/>
                <w:color w:val="auto"/>
              </w:rPr>
            </w:pPr>
          </w:p>
        </w:tc>
      </w:tr>
      <w:tr>
        <w:trPr>
          <w:trHeight w:val="39"/>
        </w:trPr>
        <w:tc>
          <w:tcPr>
            <w:tcW w:w="380" w:type="dxa"/>
            <w:vAlign w:val="bottom"/>
          </w:tcPr>
          <w:p>
            <w:pPr>
              <w:spacing w:after="0" w:line="40" w:lineRule="exact"/>
              <w:rPr>
                <w:sz w:val="20"/>
                <w:szCs w:val="20"/>
                <w:color w:val="auto"/>
              </w:rPr>
            </w:pPr>
            <w:r>
              <w:rPr>
                <w:rFonts w:ascii="Arial" w:cs="Arial" w:eastAsia="Arial" w:hAnsi="Arial"/>
                <w:sz w:val="4"/>
                <w:szCs w:val="4"/>
                <w:color w:val="FFFFFF"/>
              </w:rPr>
              <w:t>20.0%</w:t>
            </w: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420" w:type="dxa"/>
            <w:vAlign w:val="bottom"/>
            <w:gridSpan w:val="2"/>
          </w:tcPr>
          <w:p>
            <w:pPr>
              <w:ind w:left="140"/>
              <w:spacing w:after="0" w:line="79" w:lineRule="exact"/>
              <w:rPr>
                <w:sz w:val="20"/>
                <w:szCs w:val="20"/>
                <w:color w:val="auto"/>
              </w:rPr>
            </w:pPr>
            <w:r>
              <w:rPr>
                <w:rFonts w:ascii="Arial" w:cs="Arial" w:eastAsia="Arial" w:hAnsi="Arial"/>
                <w:sz w:val="9"/>
                <w:szCs w:val="9"/>
                <w:color w:val="FFFFFF"/>
              </w:rPr>
              <w:t>9 2%</w:t>
            </w:r>
          </w:p>
        </w:tc>
        <w:tc>
          <w:tcPr>
            <w:tcW w:w="60" w:type="dxa"/>
            <w:vAlign w:val="bottom"/>
          </w:tcPr>
          <w:p>
            <w:pPr>
              <w:spacing w:after="0"/>
              <w:rPr>
                <w:sz w:val="6"/>
                <w:szCs w:val="6"/>
                <w:color w:val="auto"/>
              </w:rPr>
            </w:pPr>
          </w:p>
        </w:tc>
        <w:tc>
          <w:tcPr>
            <w:tcW w:w="4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420" w:type="dxa"/>
            <w:vAlign w:val="bottom"/>
            <w:gridSpan w:val="2"/>
          </w:tcPr>
          <w:p>
            <w:pPr>
              <w:ind w:left="140"/>
              <w:spacing w:after="0" w:line="40" w:lineRule="exact"/>
              <w:rPr>
                <w:sz w:val="20"/>
                <w:szCs w:val="20"/>
                <w:color w:val="auto"/>
              </w:rPr>
            </w:pPr>
            <w:r>
              <w:rPr>
                <w:rFonts w:ascii="Arial" w:cs="Arial" w:eastAsia="Arial" w:hAnsi="Arial"/>
                <w:sz w:val="4"/>
                <w:szCs w:val="4"/>
                <w:color w:val="FFFFFF"/>
              </w:rPr>
              <w:t>8.0%</w:t>
            </w:r>
          </w:p>
        </w:tc>
        <w:tc>
          <w:tcPr>
            <w:tcW w:w="60" w:type="dxa"/>
            <w:vAlign w:val="bottom"/>
          </w:tcPr>
          <w:p>
            <w:pPr>
              <w:spacing w:after="0"/>
              <w:rPr>
                <w:sz w:val="3"/>
                <w:szCs w:val="3"/>
                <w:color w:val="auto"/>
              </w:rPr>
            </w:pPr>
          </w:p>
        </w:tc>
        <w:tc>
          <w:tcPr>
            <w:tcW w:w="4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80" w:type="dxa"/>
            <w:vAlign w:val="bottom"/>
          </w:tcPr>
          <w:p>
            <w:pPr>
              <w:spacing w:after="0" w:line="40" w:lineRule="exact"/>
              <w:rPr>
                <w:sz w:val="20"/>
                <w:szCs w:val="20"/>
                <w:color w:val="auto"/>
              </w:rPr>
            </w:pPr>
            <w:r>
              <w:rPr>
                <w:rFonts w:ascii="Arial" w:cs="Arial" w:eastAsia="Arial" w:hAnsi="Arial"/>
                <w:sz w:val="4"/>
                <w:szCs w:val="4"/>
                <w:color w:val="FFFFFF"/>
              </w:rPr>
              <w:t>15.0%</w:t>
            </w: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80" w:type="dxa"/>
            <w:vAlign w:val="bottom"/>
          </w:tcPr>
          <w:p>
            <w:pPr>
              <w:ind w:left="140"/>
              <w:spacing w:after="0" w:line="40" w:lineRule="exact"/>
              <w:rPr>
                <w:sz w:val="20"/>
                <w:szCs w:val="20"/>
                <w:color w:val="auto"/>
              </w:rPr>
            </w:pPr>
            <w:r>
              <w:rPr>
                <w:rFonts w:ascii="Arial" w:cs="Arial" w:eastAsia="Arial" w:hAnsi="Arial"/>
                <w:sz w:val="4"/>
                <w:szCs w:val="4"/>
                <w:color w:val="FFFFFF"/>
              </w:rPr>
              <w:t>7</w:t>
            </w: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20" w:type="dxa"/>
            <w:vAlign w:val="bottom"/>
            <w:gridSpan w:val="2"/>
          </w:tcPr>
          <w:p>
            <w:pPr>
              <w:ind w:left="140"/>
              <w:spacing w:after="0" w:line="40" w:lineRule="exact"/>
              <w:rPr>
                <w:sz w:val="20"/>
                <w:szCs w:val="20"/>
                <w:color w:val="auto"/>
              </w:rPr>
            </w:pPr>
            <w:r>
              <w:rPr>
                <w:rFonts w:ascii="Arial" w:cs="Arial" w:eastAsia="Arial" w:hAnsi="Arial"/>
                <w:sz w:val="4"/>
                <w:szCs w:val="4"/>
                <w:color w:val="FFFFFF"/>
              </w:rPr>
              <w:t>6.0%</w:t>
            </w:r>
          </w:p>
        </w:tc>
        <w:tc>
          <w:tcPr>
            <w:tcW w:w="60" w:type="dxa"/>
            <w:vAlign w:val="bottom"/>
          </w:tcPr>
          <w:p>
            <w:pPr>
              <w:spacing w:after="0"/>
              <w:rPr>
                <w:sz w:val="3"/>
                <w:szCs w:val="3"/>
                <w:color w:val="auto"/>
              </w:rPr>
            </w:pPr>
          </w:p>
        </w:tc>
        <w:tc>
          <w:tcPr>
            <w:tcW w:w="4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80" w:type="dxa"/>
            <w:vAlign w:val="bottom"/>
          </w:tcPr>
          <w:p>
            <w:pPr>
              <w:spacing w:after="0" w:line="40" w:lineRule="exact"/>
              <w:rPr>
                <w:sz w:val="20"/>
                <w:szCs w:val="20"/>
                <w:color w:val="auto"/>
              </w:rPr>
            </w:pPr>
            <w:r>
              <w:rPr>
                <w:rFonts w:ascii="Arial" w:cs="Arial" w:eastAsia="Arial" w:hAnsi="Arial"/>
                <w:sz w:val="4"/>
                <w:szCs w:val="4"/>
                <w:color w:val="FFFFFF"/>
              </w:rPr>
              <w:t>10.0%</w:t>
            </w: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80" w:type="dxa"/>
            <w:vAlign w:val="bottom"/>
          </w:tcPr>
          <w:p>
            <w:pPr>
              <w:ind w:left="140"/>
              <w:spacing w:after="0" w:line="40" w:lineRule="exact"/>
              <w:rPr>
                <w:sz w:val="20"/>
                <w:szCs w:val="20"/>
                <w:color w:val="auto"/>
              </w:rPr>
            </w:pPr>
            <w:r>
              <w:rPr>
                <w:rFonts w:ascii="Arial" w:cs="Arial" w:eastAsia="Arial" w:hAnsi="Arial"/>
                <w:sz w:val="4"/>
                <w:szCs w:val="4"/>
                <w:color w:val="FFFFFF"/>
              </w:rPr>
              <w:t>5</w:t>
            </w: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20" w:type="dxa"/>
            <w:vAlign w:val="bottom"/>
            <w:gridSpan w:val="2"/>
          </w:tcPr>
          <w:p>
            <w:pPr>
              <w:ind w:left="140"/>
              <w:spacing w:after="0" w:line="40" w:lineRule="exact"/>
              <w:rPr>
                <w:sz w:val="20"/>
                <w:szCs w:val="20"/>
                <w:color w:val="auto"/>
              </w:rPr>
            </w:pPr>
            <w:r>
              <w:rPr>
                <w:rFonts w:ascii="Arial" w:cs="Arial" w:eastAsia="Arial" w:hAnsi="Arial"/>
                <w:sz w:val="4"/>
                <w:szCs w:val="4"/>
                <w:color w:val="FFFFFF"/>
              </w:rPr>
              <w:t>4.0%</w:t>
            </w:r>
          </w:p>
        </w:tc>
        <w:tc>
          <w:tcPr>
            <w:tcW w:w="4920" w:type="dxa"/>
            <w:vAlign w:val="bottom"/>
            <w:gridSpan w:val="2"/>
            <w:vMerge w:val="restart"/>
          </w:tcPr>
          <w:p>
            <w:pPr>
              <w:jc w:val="right"/>
              <w:ind w:right="4587"/>
              <w:spacing w:after="0" w:line="79" w:lineRule="exact"/>
              <w:rPr>
                <w:sz w:val="20"/>
                <w:szCs w:val="20"/>
                <w:color w:val="auto"/>
              </w:rPr>
            </w:pPr>
            <w:r>
              <w:rPr>
                <w:rFonts w:ascii="Arial" w:cs="Arial" w:eastAsia="Arial" w:hAnsi="Arial"/>
                <w:sz w:val="9"/>
                <w:szCs w:val="9"/>
                <w:color w:val="FFFFFF"/>
              </w:rPr>
              <w:t>3.0%</w:t>
            </w:r>
          </w:p>
        </w:tc>
        <w:tc>
          <w:tcPr>
            <w:tcW w:w="0" w:type="dxa"/>
            <w:vAlign w:val="bottom"/>
          </w:tcPr>
          <w:p>
            <w:pPr>
              <w:spacing w:after="0" w:line="20" w:lineRule="exact"/>
              <w:rPr>
                <w:sz w:val="1"/>
                <w:szCs w:val="1"/>
                <w:color w:val="auto"/>
              </w:rPr>
            </w:pPr>
          </w:p>
        </w:tc>
      </w:tr>
      <w:tr>
        <w:trPr>
          <w:trHeight w:val="39"/>
        </w:trPr>
        <w:tc>
          <w:tcPr>
            <w:tcW w:w="380" w:type="dxa"/>
            <w:vAlign w:val="bottom"/>
          </w:tcPr>
          <w:p>
            <w:pPr>
              <w:spacing w:after="0" w:line="40" w:lineRule="exact"/>
              <w:rPr>
                <w:sz w:val="20"/>
                <w:szCs w:val="20"/>
                <w:color w:val="auto"/>
              </w:rPr>
            </w:pPr>
            <w:r>
              <w:rPr>
                <w:rFonts w:ascii="Arial" w:cs="Arial" w:eastAsia="Arial" w:hAnsi="Arial"/>
                <w:sz w:val="4"/>
                <w:szCs w:val="4"/>
                <w:color w:val="FFFFFF"/>
              </w:rPr>
              <w:t>5.0%</w:t>
            </w:r>
          </w:p>
        </w:tc>
        <w:tc>
          <w:tcPr>
            <w:tcW w:w="40" w:type="dxa"/>
            <w:vAlign w:val="bottom"/>
          </w:tcPr>
          <w:p>
            <w:pPr>
              <w:spacing w:after="0"/>
              <w:rPr>
                <w:sz w:val="3"/>
                <w:szCs w:val="3"/>
                <w:color w:val="auto"/>
              </w:rPr>
            </w:pPr>
          </w:p>
        </w:tc>
        <w:tc>
          <w:tcPr>
            <w:tcW w:w="4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20" w:type="dxa"/>
            <w:vAlign w:val="bottom"/>
            <w:gridSpan w:val="2"/>
          </w:tcPr>
          <w:p>
            <w:pPr>
              <w:ind w:left="140"/>
              <w:spacing w:after="0" w:line="40" w:lineRule="exact"/>
              <w:rPr>
                <w:sz w:val="20"/>
                <w:szCs w:val="20"/>
                <w:color w:val="auto"/>
              </w:rPr>
            </w:pPr>
            <w:r>
              <w:rPr>
                <w:rFonts w:ascii="Arial" w:cs="Arial" w:eastAsia="Arial" w:hAnsi="Arial"/>
                <w:sz w:val="4"/>
                <w:szCs w:val="4"/>
                <w:color w:val="FFFFFF"/>
              </w:rPr>
              <w:t>2.0%</w:t>
            </w:r>
          </w:p>
        </w:tc>
        <w:tc>
          <w:tcPr>
            <w:tcW w:w="60" w:type="dxa"/>
            <w:vAlign w:val="bottom"/>
          </w:tcPr>
          <w:p>
            <w:pPr>
              <w:spacing w:after="0"/>
              <w:rPr>
                <w:sz w:val="3"/>
                <w:szCs w:val="3"/>
                <w:color w:val="auto"/>
              </w:rPr>
            </w:pPr>
          </w:p>
        </w:tc>
        <w:tc>
          <w:tcPr>
            <w:tcW w:w="4860" w:type="dxa"/>
            <w:vAlign w:val="bottom"/>
            <w:vMerge w:val="restart"/>
          </w:tcPr>
          <w:p>
            <w:pPr>
              <w:jc w:val="right"/>
              <w:ind w:right="4587"/>
              <w:spacing w:after="0" w:line="79" w:lineRule="exact"/>
              <w:rPr>
                <w:sz w:val="20"/>
                <w:szCs w:val="20"/>
                <w:color w:val="auto"/>
              </w:rPr>
            </w:pPr>
            <w:r>
              <w:rPr>
                <w:rFonts w:ascii="Arial" w:cs="Arial" w:eastAsia="Arial" w:hAnsi="Arial"/>
                <w:sz w:val="9"/>
                <w:szCs w:val="9"/>
                <w:color w:val="FFFFFF"/>
              </w:rPr>
              <w:t>.0%</w:t>
            </w:r>
          </w:p>
        </w:tc>
        <w:tc>
          <w:tcPr>
            <w:tcW w:w="0" w:type="dxa"/>
            <w:vAlign w:val="bottom"/>
          </w:tcPr>
          <w:p>
            <w:pPr>
              <w:spacing w:after="0" w:line="20" w:lineRule="exact"/>
              <w:rPr>
                <w:sz w:val="1"/>
                <w:szCs w:val="1"/>
                <w:color w:val="auto"/>
              </w:rPr>
            </w:pPr>
          </w:p>
        </w:tc>
      </w:tr>
      <w:tr>
        <w:trPr>
          <w:trHeight w:val="39"/>
        </w:trPr>
        <w:tc>
          <w:tcPr>
            <w:tcW w:w="380" w:type="dxa"/>
            <w:vAlign w:val="bottom"/>
          </w:tcPr>
          <w:p>
            <w:pPr>
              <w:ind w:left="80"/>
              <w:spacing w:after="0" w:line="40" w:lineRule="exact"/>
              <w:rPr>
                <w:sz w:val="20"/>
                <w:szCs w:val="20"/>
                <w:color w:val="auto"/>
              </w:rPr>
            </w:pPr>
            <w:r>
              <w:rPr>
                <w:rFonts w:ascii="Arial" w:cs="Arial" w:eastAsia="Arial" w:hAnsi="Arial"/>
                <w:sz w:val="4"/>
                <w:szCs w:val="4"/>
                <w:color w:val="FFFFFF"/>
              </w:rPr>
              <w:t>.0%</w:t>
            </w: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0"/>
        </w:trPr>
        <w:tc>
          <w:tcPr>
            <w:tcW w:w="380" w:type="dxa"/>
            <w:vAlign w:val="bottom"/>
          </w:tcPr>
          <w:p>
            <w:pPr>
              <w:spacing w:after="0" w:line="38" w:lineRule="exact"/>
              <w:rPr>
                <w:sz w:val="20"/>
                <w:szCs w:val="20"/>
                <w:color w:val="auto"/>
              </w:rPr>
            </w:pPr>
            <w:r>
              <w:rPr>
                <w:rFonts w:ascii="Arial" w:cs="Arial" w:eastAsia="Arial" w:hAnsi="Arial"/>
                <w:sz w:val="4"/>
                <w:szCs w:val="4"/>
                <w:color w:val="FFFFFF"/>
              </w:rPr>
              <w:t>2015</w:t>
            </w:r>
          </w:p>
        </w:tc>
        <w:tc>
          <w:tcPr>
            <w:tcW w:w="4960" w:type="dxa"/>
            <w:vAlign w:val="bottom"/>
            <w:gridSpan w:val="3"/>
          </w:tcPr>
          <w:p>
            <w:pPr>
              <w:jc w:val="right"/>
              <w:ind w:right="4127"/>
              <w:spacing w:after="0" w:line="38" w:lineRule="exact"/>
              <w:rPr>
                <w:sz w:val="20"/>
                <w:szCs w:val="20"/>
                <w:color w:val="auto"/>
              </w:rPr>
            </w:pPr>
            <w:r>
              <w:rPr>
                <w:rFonts w:ascii="Arial" w:cs="Arial" w:eastAsia="Arial" w:hAnsi="Arial"/>
                <w:sz w:val="4"/>
                <w:szCs w:val="4"/>
                <w:color w:val="FFFFFF"/>
              </w:rPr>
              <w:t>201620152016</w:t>
            </w:r>
          </w:p>
        </w:tc>
        <w:tc>
          <w:tcPr>
            <w:tcW w:w="0" w:type="dxa"/>
            <w:vAlign w:val="bottom"/>
          </w:tcPr>
          <w:p>
            <w:pPr>
              <w:spacing w:after="0" w:line="20" w:lineRule="exact"/>
              <w:rPr>
                <w:sz w:val="1"/>
                <w:szCs w:val="1"/>
                <w:color w:val="auto"/>
              </w:rPr>
            </w:pPr>
          </w:p>
        </w:tc>
      </w:tr>
    </w:tbl>
    <w:p>
      <w:pPr>
        <w:spacing w:after="0" w:line="187" w:lineRule="auto"/>
        <w:rPr>
          <w:sz w:val="20"/>
          <w:szCs w:val="20"/>
          <w:color w:val="auto"/>
        </w:rPr>
      </w:pPr>
      <w:r>
        <w:rPr>
          <w:rFonts w:ascii="Arial" w:cs="Arial" w:eastAsia="Arial" w:hAnsi="Arial"/>
          <w:sz w:val="13"/>
          <w:szCs w:val="13"/>
          <w:color w:val="FFFFFF"/>
        </w:rPr>
        <w:t>6 Gross Margin = Gross Profit (excluding depreciation) / Net Sales</w:t>
      </w:r>
    </w:p>
    <w:p>
      <w:pPr>
        <w:sectPr>
          <w:pgSz w:w="11900" w:h="16838" w:orient="portrait"/>
          <w:cols w:equalWidth="0" w:num="1">
            <w:col w:w="10219"/>
          </w:cols>
          <w:pgMar w:left="24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20" w:type="dxa"/>
            <w:vAlign w:val="bottom"/>
            <w:gridSpan w:val="5"/>
          </w:tcPr>
          <w:p>
            <w:pPr>
              <w:spacing w:after="0"/>
              <w:rPr>
                <w:sz w:val="20"/>
                <w:szCs w:val="20"/>
                <w:color w:val="auto"/>
              </w:rPr>
            </w:pPr>
            <w:r>
              <w:rPr>
                <w:rFonts w:ascii="Arial" w:cs="Arial" w:eastAsia="Arial" w:hAnsi="Arial"/>
                <w:sz w:val="13"/>
                <w:szCs w:val="13"/>
                <w:color w:val="FFFFFF"/>
              </w:rPr>
              <w:t>2nd Quarter 2016 Financial Summary</w:t>
            </w:r>
          </w:p>
        </w:tc>
        <w:tc>
          <w:tcPr>
            <w:tcW w:w="0" w:type="dxa"/>
            <w:vAlign w:val="bottom"/>
          </w:tcPr>
          <w:p>
            <w:pPr>
              <w:spacing w:after="0"/>
              <w:rPr>
                <w:sz w:val="1"/>
                <w:szCs w:val="1"/>
                <w:color w:val="auto"/>
              </w:rPr>
            </w:pPr>
          </w:p>
        </w:tc>
      </w:tr>
      <w:tr>
        <w:trPr>
          <w:trHeight w:val="39"/>
        </w:trPr>
        <w:tc>
          <w:tcPr>
            <w:tcW w:w="5120" w:type="dxa"/>
            <w:vAlign w:val="bottom"/>
            <w:gridSpan w:val="5"/>
          </w:tcPr>
          <w:p>
            <w:pPr>
              <w:spacing w:after="0" w:line="40" w:lineRule="exact"/>
              <w:rPr>
                <w:sz w:val="20"/>
                <w:szCs w:val="20"/>
                <w:color w:val="auto"/>
              </w:rPr>
            </w:pPr>
            <w:r>
              <w:rPr>
                <w:rFonts w:ascii="Arial" w:cs="Arial" w:eastAsia="Arial" w:hAnsi="Arial"/>
                <w:sz w:val="4"/>
                <w:szCs w:val="4"/>
                <w:color w:val="FFFFFF"/>
              </w:rPr>
              <w:t>Adjusted EBITDA Margin  SG&amp;A</w:t>
            </w:r>
          </w:p>
        </w:tc>
        <w:tc>
          <w:tcPr>
            <w:tcW w:w="0" w:type="dxa"/>
            <w:vAlign w:val="bottom"/>
          </w:tcPr>
          <w:p>
            <w:pPr>
              <w:spacing w:after="0" w:line="20" w:lineRule="exact"/>
              <w:rPr>
                <w:sz w:val="1"/>
                <w:szCs w:val="1"/>
                <w:color w:val="auto"/>
              </w:rPr>
            </w:pPr>
          </w:p>
        </w:tc>
      </w:tr>
      <w:tr>
        <w:trPr>
          <w:trHeight w:val="39"/>
        </w:trPr>
        <w:tc>
          <w:tcPr>
            <w:tcW w:w="5120" w:type="dxa"/>
            <w:vAlign w:val="bottom"/>
            <w:gridSpan w:val="5"/>
          </w:tcPr>
          <w:p>
            <w:pPr>
              <w:spacing w:after="0" w:line="40" w:lineRule="exact"/>
              <w:rPr>
                <w:sz w:val="20"/>
                <w:szCs w:val="20"/>
                <w:color w:val="auto"/>
              </w:rPr>
            </w:pPr>
            <w:r>
              <w:rPr>
                <w:rFonts w:ascii="Arial" w:cs="Arial" w:eastAsia="Arial" w:hAnsi="Arial"/>
                <w:sz w:val="4"/>
                <w:szCs w:val="4"/>
                <w:color w:val="FFFFFF"/>
              </w:rPr>
              <w:t>410bps improvement resulting from the  Includes $1.9M of restructuring and M&amp;A cost</w:t>
            </w:r>
          </w:p>
        </w:tc>
        <w:tc>
          <w:tcPr>
            <w:tcW w:w="0" w:type="dxa"/>
            <w:vAlign w:val="bottom"/>
          </w:tcPr>
          <w:p>
            <w:pPr>
              <w:spacing w:after="0" w:line="20" w:lineRule="exact"/>
              <w:rPr>
                <w:sz w:val="1"/>
                <w:szCs w:val="1"/>
                <w:color w:val="auto"/>
              </w:rPr>
            </w:pPr>
          </w:p>
        </w:tc>
      </w:tr>
      <w:tr>
        <w:trPr>
          <w:trHeight w:val="39"/>
        </w:trPr>
        <w:tc>
          <w:tcPr>
            <w:tcW w:w="5120" w:type="dxa"/>
            <w:vAlign w:val="bottom"/>
            <w:gridSpan w:val="5"/>
          </w:tcPr>
          <w:p>
            <w:pPr>
              <w:spacing w:after="0" w:line="40" w:lineRule="exact"/>
              <w:rPr>
                <w:sz w:val="20"/>
                <w:szCs w:val="20"/>
                <w:color w:val="auto"/>
              </w:rPr>
            </w:pPr>
            <w:r>
              <w:rPr>
                <w:rFonts w:ascii="Arial" w:cs="Arial" w:eastAsia="Arial" w:hAnsi="Arial"/>
                <w:sz w:val="4"/>
                <w:szCs w:val="4"/>
                <w:color w:val="FFFFFF"/>
              </w:rPr>
              <w:t>acquisition of PEP &amp; the NN Operating System  $4.6 million of the increase from theacquisition</w:t>
            </w:r>
          </w:p>
        </w:tc>
        <w:tc>
          <w:tcPr>
            <w:tcW w:w="0" w:type="dxa"/>
            <w:vAlign w:val="bottom"/>
          </w:tcPr>
          <w:p>
            <w:pPr>
              <w:spacing w:after="0" w:line="20" w:lineRule="exact"/>
              <w:rPr>
                <w:sz w:val="1"/>
                <w:szCs w:val="1"/>
                <w:color w:val="auto"/>
              </w:rPr>
            </w:pPr>
          </w:p>
        </w:tc>
      </w:tr>
      <w:tr>
        <w:trPr>
          <w:trHeight w:val="39"/>
        </w:trPr>
        <w:tc>
          <w:tcPr>
            <w:tcW w:w="140" w:type="dxa"/>
            <w:vAlign w:val="bottom"/>
          </w:tcPr>
          <w:p>
            <w:pPr>
              <w:spacing w:after="0"/>
              <w:rPr>
                <w:sz w:val="3"/>
                <w:szCs w:val="3"/>
                <w:color w:val="auto"/>
              </w:rPr>
            </w:pPr>
          </w:p>
        </w:tc>
        <w:tc>
          <w:tcPr>
            <w:tcW w:w="360" w:type="dxa"/>
            <w:vAlign w:val="bottom"/>
            <w:gridSpan w:val="3"/>
          </w:tcPr>
          <w:p>
            <w:pPr>
              <w:spacing w:after="0" w:line="40" w:lineRule="exact"/>
              <w:rPr>
                <w:sz w:val="20"/>
                <w:szCs w:val="20"/>
                <w:color w:val="auto"/>
              </w:rPr>
            </w:pPr>
            <w:r>
              <w:rPr>
                <w:rFonts w:ascii="Arial" w:cs="Arial" w:eastAsia="Arial" w:hAnsi="Arial"/>
                <w:sz w:val="4"/>
                <w:szCs w:val="4"/>
                <w:color w:val="FFFFFF"/>
              </w:rPr>
              <w:t>of PEP</w:t>
            </w:r>
          </w:p>
        </w:tc>
        <w:tc>
          <w:tcPr>
            <w:tcW w:w="4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40" w:type="dxa"/>
            <w:vAlign w:val="bottom"/>
            <w:vMerge w:val="restart"/>
          </w:tcPr>
          <w:p>
            <w:pPr>
              <w:spacing w:after="0" w:line="79" w:lineRule="exact"/>
              <w:rPr>
                <w:sz w:val="20"/>
                <w:szCs w:val="20"/>
                <w:color w:val="auto"/>
              </w:rPr>
            </w:pPr>
            <w:r>
              <w:rPr>
                <w:rFonts w:ascii="Arial" w:cs="Arial" w:eastAsia="Arial" w:hAnsi="Arial"/>
                <w:sz w:val="9"/>
                <w:szCs w:val="9"/>
                <w:color w:val="FFFFFF"/>
              </w:rPr>
              <w:t>20</w:t>
            </w:r>
          </w:p>
        </w:tc>
        <w:tc>
          <w:tcPr>
            <w:tcW w:w="4980" w:type="dxa"/>
            <w:vAlign w:val="bottom"/>
            <w:gridSpan w:val="4"/>
          </w:tcPr>
          <w:p>
            <w:pPr>
              <w:spacing w:after="0" w:line="40" w:lineRule="exact"/>
              <w:rPr>
                <w:sz w:val="20"/>
                <w:szCs w:val="20"/>
                <w:color w:val="auto"/>
              </w:rPr>
            </w:pPr>
            <w:r>
              <w:rPr>
                <w:rFonts w:ascii="Arial" w:cs="Arial" w:eastAsia="Arial" w:hAnsi="Arial"/>
                <w:sz w:val="4"/>
                <w:szCs w:val="4"/>
                <w:color w:val="FFFFFF"/>
              </w:rPr>
              <w:t>In Millions</w:t>
            </w:r>
          </w:p>
        </w:tc>
        <w:tc>
          <w:tcPr>
            <w:tcW w:w="0" w:type="dxa"/>
            <w:vAlign w:val="bottom"/>
          </w:tcPr>
          <w:p>
            <w:pPr>
              <w:spacing w:after="0" w:line="20" w:lineRule="exact"/>
              <w:rPr>
                <w:sz w:val="1"/>
                <w:szCs w:val="1"/>
                <w:color w:val="auto"/>
              </w:rPr>
            </w:pPr>
          </w:p>
        </w:tc>
      </w:tr>
      <w:tr>
        <w:trPr>
          <w:trHeight w:val="39"/>
        </w:trPr>
        <w:tc>
          <w:tcPr>
            <w:tcW w:w="14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620" w:type="dxa"/>
            <w:vAlign w:val="bottom"/>
          </w:tcPr>
          <w:p>
            <w:pPr>
              <w:spacing w:after="0" w:line="40" w:lineRule="exact"/>
              <w:rPr>
                <w:sz w:val="20"/>
                <w:szCs w:val="20"/>
                <w:color w:val="auto"/>
              </w:rPr>
            </w:pPr>
            <w:r>
              <w:rPr>
                <w:rFonts w:ascii="Arial" w:cs="Arial" w:eastAsia="Arial" w:hAnsi="Arial"/>
                <w:sz w:val="4"/>
                <w:szCs w:val="4"/>
                <w:color w:val="FFFFFF"/>
              </w:rPr>
              <w:t>$24.</w:t>
            </w:r>
          </w:p>
        </w:tc>
        <w:tc>
          <w:tcPr>
            <w:tcW w:w="0" w:type="dxa"/>
            <w:vAlign w:val="bottom"/>
          </w:tcPr>
          <w:p>
            <w:pPr>
              <w:spacing w:after="0" w:line="20" w:lineRule="exact"/>
              <w:rPr>
                <w:sz w:val="1"/>
                <w:szCs w:val="1"/>
                <w:color w:val="auto"/>
              </w:rPr>
            </w:pPr>
          </w:p>
        </w:tc>
      </w:tr>
      <w:tr>
        <w:trPr>
          <w:trHeight w:val="39"/>
        </w:trPr>
        <w:tc>
          <w:tcPr>
            <w:tcW w:w="380" w:type="dxa"/>
            <w:vAlign w:val="bottom"/>
            <w:gridSpan w:val="2"/>
          </w:tcPr>
          <w:p>
            <w:pPr>
              <w:spacing w:after="0" w:line="40" w:lineRule="exact"/>
              <w:rPr>
                <w:sz w:val="20"/>
                <w:szCs w:val="20"/>
                <w:color w:val="auto"/>
              </w:rPr>
            </w:pPr>
            <w:r>
              <w:rPr>
                <w:rFonts w:ascii="Arial" w:cs="Arial" w:eastAsia="Arial" w:hAnsi="Arial"/>
                <w:sz w:val="4"/>
                <w:szCs w:val="4"/>
                <w:color w:val="FFFFFF"/>
              </w:rPr>
              <w:t>18.0%</w:t>
            </w:r>
          </w:p>
        </w:tc>
        <w:tc>
          <w:tcPr>
            <w:tcW w:w="60" w:type="dxa"/>
            <w:vAlign w:val="bottom"/>
          </w:tcPr>
          <w:p>
            <w:pPr>
              <w:spacing w:after="0"/>
              <w:rPr>
                <w:sz w:val="3"/>
                <w:szCs w:val="3"/>
                <w:color w:val="auto"/>
              </w:rPr>
            </w:pPr>
          </w:p>
        </w:tc>
        <w:tc>
          <w:tcPr>
            <w:tcW w:w="4680" w:type="dxa"/>
            <w:vAlign w:val="bottom"/>
            <w:gridSpan w:val="2"/>
          </w:tcPr>
          <w:p>
            <w:pPr>
              <w:jc w:val="center"/>
              <w:ind w:right="3911"/>
              <w:spacing w:after="0" w:line="40" w:lineRule="exact"/>
              <w:rPr>
                <w:sz w:val="20"/>
                <w:szCs w:val="20"/>
                <w:color w:val="auto"/>
              </w:rPr>
            </w:pPr>
            <w:r>
              <w:rPr>
                <w:rFonts w:ascii="Arial" w:cs="Arial" w:eastAsia="Arial" w:hAnsi="Arial"/>
                <w:sz w:val="4"/>
                <w:szCs w:val="4"/>
                <w:color w:val="FFFFFF"/>
              </w:rPr>
              <w:t>19.0% $22.0</w:t>
            </w:r>
          </w:p>
        </w:tc>
        <w:tc>
          <w:tcPr>
            <w:tcW w:w="0" w:type="dxa"/>
            <w:vAlign w:val="bottom"/>
          </w:tcPr>
          <w:p>
            <w:pPr>
              <w:spacing w:after="0" w:line="20" w:lineRule="exact"/>
              <w:rPr>
                <w:sz w:val="1"/>
                <w:szCs w:val="1"/>
                <w:color w:val="auto"/>
              </w:rPr>
            </w:pPr>
          </w:p>
        </w:tc>
      </w:tr>
      <w:tr>
        <w:trPr>
          <w:trHeight w:val="39"/>
        </w:trPr>
        <w:tc>
          <w:tcPr>
            <w:tcW w:w="140" w:type="dxa"/>
            <w:vAlign w:val="bottom"/>
          </w:tcPr>
          <w:p>
            <w:pPr>
              <w:spacing w:after="0"/>
              <w:rPr>
                <w:sz w:val="3"/>
                <w:szCs w:val="3"/>
                <w:color w:val="auto"/>
              </w:rPr>
            </w:pPr>
          </w:p>
        </w:tc>
        <w:tc>
          <w:tcPr>
            <w:tcW w:w="4980" w:type="dxa"/>
            <w:vAlign w:val="bottom"/>
            <w:gridSpan w:val="4"/>
          </w:tcPr>
          <w:p>
            <w:pPr>
              <w:spacing w:after="0" w:line="40" w:lineRule="exact"/>
              <w:rPr>
                <w:sz w:val="20"/>
                <w:szCs w:val="20"/>
                <w:color w:val="auto"/>
              </w:rPr>
            </w:pPr>
            <w:r>
              <w:rPr>
                <w:rFonts w:ascii="Arial" w:cs="Arial" w:eastAsia="Arial" w:hAnsi="Arial"/>
                <w:sz w:val="4"/>
                <w:szCs w:val="4"/>
                <w:color w:val="FFFFFF"/>
              </w:rPr>
              <w:t>$20.0$21.6</w:t>
            </w:r>
          </w:p>
        </w:tc>
        <w:tc>
          <w:tcPr>
            <w:tcW w:w="0" w:type="dxa"/>
            <w:vAlign w:val="bottom"/>
          </w:tcPr>
          <w:p>
            <w:pPr>
              <w:spacing w:after="0" w:line="20" w:lineRule="exact"/>
              <w:rPr>
                <w:sz w:val="1"/>
                <w:szCs w:val="1"/>
                <w:color w:val="auto"/>
              </w:rPr>
            </w:pPr>
          </w:p>
        </w:tc>
      </w:tr>
      <w:tr>
        <w:trPr>
          <w:trHeight w:val="39"/>
        </w:trPr>
        <w:tc>
          <w:tcPr>
            <w:tcW w:w="380" w:type="dxa"/>
            <w:vAlign w:val="bottom"/>
            <w:gridSpan w:val="2"/>
          </w:tcPr>
          <w:p>
            <w:pPr>
              <w:spacing w:after="0" w:line="40" w:lineRule="exact"/>
              <w:rPr>
                <w:sz w:val="20"/>
                <w:szCs w:val="20"/>
                <w:color w:val="auto"/>
              </w:rPr>
            </w:pPr>
            <w:r>
              <w:rPr>
                <w:rFonts w:ascii="Arial" w:cs="Arial" w:eastAsia="Arial" w:hAnsi="Arial"/>
                <w:sz w:val="4"/>
                <w:szCs w:val="4"/>
                <w:color w:val="FFFFFF"/>
              </w:rPr>
              <w:t>16.0%</w:t>
            </w:r>
          </w:p>
        </w:tc>
        <w:tc>
          <w:tcPr>
            <w:tcW w:w="60" w:type="dxa"/>
            <w:vAlign w:val="bottom"/>
          </w:tcPr>
          <w:p>
            <w:pPr>
              <w:spacing w:after="0"/>
              <w:rPr>
                <w:sz w:val="3"/>
                <w:szCs w:val="3"/>
                <w:color w:val="auto"/>
              </w:rPr>
            </w:pPr>
          </w:p>
        </w:tc>
        <w:tc>
          <w:tcPr>
            <w:tcW w:w="4680" w:type="dxa"/>
            <w:vAlign w:val="bottom"/>
            <w:gridSpan w:val="2"/>
            <w:vMerge w:val="restart"/>
          </w:tcPr>
          <w:p>
            <w:pPr>
              <w:jc w:val="center"/>
              <w:ind w:right="3911"/>
              <w:spacing w:after="0" w:line="118" w:lineRule="exact"/>
              <w:rPr>
                <w:sz w:val="20"/>
                <w:szCs w:val="20"/>
                <w:color w:val="auto"/>
              </w:rPr>
            </w:pPr>
            <w:r>
              <w:rPr>
                <w:rFonts w:ascii="Arial" w:cs="Arial" w:eastAsia="Arial" w:hAnsi="Arial"/>
                <w:sz w:val="13"/>
                <w:szCs w:val="13"/>
                <w:color w:val="FFFFFF"/>
                <w:w w:val="90"/>
              </w:rPr>
              <w:t>14.9% $16.0</w:t>
            </w:r>
          </w:p>
        </w:tc>
        <w:tc>
          <w:tcPr>
            <w:tcW w:w="0" w:type="dxa"/>
            <w:vAlign w:val="bottom"/>
          </w:tcPr>
          <w:p>
            <w:pPr>
              <w:spacing w:after="0" w:line="20" w:lineRule="exact"/>
              <w:rPr>
                <w:sz w:val="1"/>
                <w:szCs w:val="1"/>
                <w:color w:val="auto"/>
              </w:rPr>
            </w:pPr>
          </w:p>
        </w:tc>
      </w:tr>
      <w:tr>
        <w:trPr>
          <w:trHeight w:val="79"/>
        </w:trPr>
        <w:tc>
          <w:tcPr>
            <w:tcW w:w="440" w:type="dxa"/>
            <w:vAlign w:val="bottom"/>
            <w:gridSpan w:val="3"/>
          </w:tcPr>
          <w:p>
            <w:pPr>
              <w:ind w:left="80"/>
              <w:spacing w:after="0" w:line="79" w:lineRule="exact"/>
              <w:rPr>
                <w:sz w:val="20"/>
                <w:szCs w:val="20"/>
                <w:color w:val="auto"/>
              </w:rPr>
            </w:pPr>
            <w:r>
              <w:rPr>
                <w:rFonts w:ascii="Arial" w:cs="Arial" w:eastAsia="Arial" w:hAnsi="Arial"/>
                <w:sz w:val="9"/>
                <w:szCs w:val="9"/>
                <w:color w:val="FFFFFF"/>
                <w:vertAlign w:val="subscript"/>
              </w:rPr>
              <w:t>4</w:t>
            </w:r>
            <w:r>
              <w:rPr>
                <w:rFonts w:ascii="Arial" w:cs="Arial" w:eastAsia="Arial" w:hAnsi="Arial"/>
                <w:sz w:val="7"/>
                <w:szCs w:val="7"/>
                <w:color w:val="FFFFFF"/>
              </w:rPr>
              <w:t>$18.0</w:t>
            </w:r>
          </w:p>
        </w:tc>
        <w:tc>
          <w:tcPr>
            <w:tcW w:w="46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380" w:type="dxa"/>
            <w:vAlign w:val="bottom"/>
            <w:gridSpan w:val="2"/>
          </w:tcPr>
          <w:p>
            <w:pPr>
              <w:spacing w:after="0" w:line="40" w:lineRule="exact"/>
              <w:rPr>
                <w:sz w:val="20"/>
                <w:szCs w:val="20"/>
                <w:color w:val="auto"/>
              </w:rPr>
            </w:pPr>
            <w:r>
              <w:rPr>
                <w:rFonts w:ascii="Arial" w:cs="Arial" w:eastAsia="Arial" w:hAnsi="Arial"/>
                <w:sz w:val="4"/>
                <w:szCs w:val="4"/>
                <w:color w:val="FFFFFF"/>
              </w:rPr>
              <w:t>12.0%</w:t>
            </w: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620" w:type="dxa"/>
            <w:vAlign w:val="bottom"/>
          </w:tcPr>
          <w:p>
            <w:pPr>
              <w:spacing w:after="0" w:line="40" w:lineRule="exact"/>
              <w:rPr>
                <w:sz w:val="20"/>
                <w:szCs w:val="20"/>
                <w:color w:val="auto"/>
              </w:rPr>
            </w:pPr>
            <w:r>
              <w:rPr>
                <w:rFonts w:ascii="Arial" w:cs="Arial" w:eastAsia="Arial" w:hAnsi="Arial"/>
                <w:sz w:val="4"/>
                <w:szCs w:val="4"/>
                <w:color w:val="FFFFFF"/>
              </w:rPr>
              <w:t>$14.0</w:t>
            </w:r>
          </w:p>
        </w:tc>
        <w:tc>
          <w:tcPr>
            <w:tcW w:w="0" w:type="dxa"/>
            <w:vAlign w:val="bottom"/>
          </w:tcPr>
          <w:p>
            <w:pPr>
              <w:spacing w:after="0" w:line="20" w:lineRule="exact"/>
              <w:rPr>
                <w:sz w:val="1"/>
                <w:szCs w:val="1"/>
                <w:color w:val="auto"/>
              </w:rPr>
            </w:pPr>
          </w:p>
        </w:tc>
      </w:tr>
      <w:tr>
        <w:trPr>
          <w:trHeight w:val="39"/>
        </w:trPr>
        <w:tc>
          <w:tcPr>
            <w:tcW w:w="140" w:type="dxa"/>
            <w:vAlign w:val="bottom"/>
          </w:tcPr>
          <w:p>
            <w:pPr>
              <w:spacing w:after="0"/>
              <w:rPr>
                <w:sz w:val="3"/>
                <w:szCs w:val="3"/>
                <w:color w:val="auto"/>
              </w:rPr>
            </w:pPr>
          </w:p>
        </w:tc>
        <w:tc>
          <w:tcPr>
            <w:tcW w:w="300" w:type="dxa"/>
            <w:vAlign w:val="bottom"/>
            <w:gridSpan w:val="2"/>
          </w:tcPr>
          <w:p>
            <w:pPr>
              <w:spacing w:after="0" w:line="40" w:lineRule="exact"/>
              <w:rPr>
                <w:sz w:val="20"/>
                <w:szCs w:val="20"/>
                <w:color w:val="auto"/>
              </w:rPr>
            </w:pPr>
            <w:r>
              <w:rPr>
                <w:rFonts w:ascii="Arial" w:cs="Arial" w:eastAsia="Arial" w:hAnsi="Arial"/>
                <w:sz w:val="4"/>
                <w:szCs w:val="4"/>
                <w:color w:val="FFFFFF"/>
              </w:rPr>
              <w:t>$14.0</w:t>
            </w:r>
          </w:p>
        </w:tc>
        <w:tc>
          <w:tcPr>
            <w:tcW w:w="60" w:type="dxa"/>
            <w:vAlign w:val="bottom"/>
          </w:tcPr>
          <w:p>
            <w:pPr>
              <w:spacing w:after="0"/>
              <w:rPr>
                <w:sz w:val="3"/>
                <w:szCs w:val="3"/>
                <w:color w:val="auto"/>
              </w:rPr>
            </w:pPr>
          </w:p>
        </w:tc>
        <w:tc>
          <w:tcPr>
            <w:tcW w:w="4620" w:type="dxa"/>
            <w:vAlign w:val="bottom"/>
            <w:vMerge w:val="restart"/>
          </w:tcPr>
          <w:p>
            <w:pPr>
              <w:spacing w:after="0" w:line="79" w:lineRule="exact"/>
              <w:rPr>
                <w:sz w:val="20"/>
                <w:szCs w:val="20"/>
                <w:color w:val="auto"/>
              </w:rPr>
            </w:pPr>
            <w:r>
              <w:rPr>
                <w:rFonts w:ascii="Arial" w:cs="Arial" w:eastAsia="Arial" w:hAnsi="Arial"/>
                <w:sz w:val="9"/>
                <w:szCs w:val="9"/>
                <w:color w:val="FFFFFF"/>
              </w:rPr>
              <w:t>$12.0</w:t>
            </w:r>
          </w:p>
        </w:tc>
        <w:tc>
          <w:tcPr>
            <w:tcW w:w="0" w:type="dxa"/>
            <w:vAlign w:val="bottom"/>
          </w:tcPr>
          <w:p>
            <w:pPr>
              <w:spacing w:after="0" w:line="20" w:lineRule="exact"/>
              <w:rPr>
                <w:sz w:val="1"/>
                <w:szCs w:val="1"/>
                <w:color w:val="auto"/>
              </w:rPr>
            </w:pPr>
          </w:p>
        </w:tc>
      </w:tr>
      <w:tr>
        <w:trPr>
          <w:trHeight w:val="39"/>
        </w:trPr>
        <w:tc>
          <w:tcPr>
            <w:tcW w:w="380" w:type="dxa"/>
            <w:vAlign w:val="bottom"/>
            <w:gridSpan w:val="2"/>
          </w:tcPr>
          <w:p>
            <w:pPr>
              <w:spacing w:after="0" w:line="40" w:lineRule="exact"/>
              <w:rPr>
                <w:sz w:val="20"/>
                <w:szCs w:val="20"/>
                <w:color w:val="auto"/>
              </w:rPr>
            </w:pPr>
            <w:r>
              <w:rPr>
                <w:rFonts w:ascii="Arial" w:cs="Arial" w:eastAsia="Arial" w:hAnsi="Arial"/>
                <w:sz w:val="4"/>
                <w:szCs w:val="4"/>
                <w:color w:val="FFFFFF"/>
              </w:rPr>
              <w:t>10.0%</w:t>
            </w: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6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80" w:type="dxa"/>
            <w:vAlign w:val="bottom"/>
            <w:gridSpan w:val="2"/>
          </w:tcPr>
          <w:p>
            <w:pPr>
              <w:spacing w:after="0" w:line="40" w:lineRule="exact"/>
              <w:rPr>
                <w:sz w:val="20"/>
                <w:szCs w:val="20"/>
                <w:color w:val="auto"/>
              </w:rPr>
            </w:pPr>
            <w:r>
              <w:rPr>
                <w:rFonts w:ascii="Arial" w:cs="Arial" w:eastAsia="Arial" w:hAnsi="Arial"/>
                <w:sz w:val="4"/>
                <w:szCs w:val="4"/>
                <w:color w:val="FFFFFF"/>
              </w:rPr>
              <w:t>8.0%</w:t>
            </w:r>
          </w:p>
        </w:tc>
        <w:tc>
          <w:tcPr>
            <w:tcW w:w="60" w:type="dxa"/>
            <w:vAlign w:val="bottom"/>
          </w:tcPr>
          <w:p>
            <w:pPr>
              <w:spacing w:after="0"/>
              <w:rPr>
                <w:sz w:val="3"/>
                <w:szCs w:val="3"/>
                <w:color w:val="auto"/>
              </w:rPr>
            </w:pPr>
          </w:p>
        </w:tc>
        <w:tc>
          <w:tcPr>
            <w:tcW w:w="4680" w:type="dxa"/>
            <w:vAlign w:val="bottom"/>
            <w:gridSpan w:val="2"/>
          </w:tcPr>
          <w:p>
            <w:pPr>
              <w:jc w:val="right"/>
              <w:ind w:right="4351"/>
              <w:spacing w:after="0" w:line="40" w:lineRule="exact"/>
              <w:rPr>
                <w:sz w:val="20"/>
                <w:szCs w:val="20"/>
                <w:color w:val="auto"/>
              </w:rPr>
            </w:pPr>
            <w:r>
              <w:rPr>
                <w:rFonts w:ascii="Arial" w:cs="Arial" w:eastAsia="Arial" w:hAnsi="Arial"/>
                <w:sz w:val="4"/>
                <w:szCs w:val="4"/>
                <w:color w:val="FFFFFF"/>
              </w:rPr>
              <w:t>$10.0</w:t>
            </w:r>
          </w:p>
        </w:tc>
        <w:tc>
          <w:tcPr>
            <w:tcW w:w="0" w:type="dxa"/>
            <w:vAlign w:val="bottom"/>
          </w:tcPr>
          <w:p>
            <w:pPr>
              <w:spacing w:after="0" w:line="20" w:lineRule="exact"/>
              <w:rPr>
                <w:sz w:val="1"/>
                <w:szCs w:val="1"/>
                <w:color w:val="auto"/>
              </w:rPr>
            </w:pPr>
          </w:p>
        </w:tc>
      </w:tr>
      <w:tr>
        <w:trPr>
          <w:trHeight w:val="39"/>
        </w:trPr>
        <w:tc>
          <w:tcPr>
            <w:tcW w:w="140" w:type="dxa"/>
            <w:vAlign w:val="bottom"/>
          </w:tcPr>
          <w:p>
            <w:pPr>
              <w:spacing w:after="0"/>
              <w:rPr>
                <w:sz w:val="3"/>
                <w:szCs w:val="3"/>
                <w:color w:val="auto"/>
              </w:rPr>
            </w:pPr>
          </w:p>
        </w:tc>
        <w:tc>
          <w:tcPr>
            <w:tcW w:w="240" w:type="dxa"/>
            <w:vAlign w:val="bottom"/>
          </w:tcPr>
          <w:p>
            <w:pPr>
              <w:spacing w:after="0" w:line="40" w:lineRule="exact"/>
              <w:rPr>
                <w:sz w:val="20"/>
                <w:szCs w:val="20"/>
                <w:color w:val="auto"/>
              </w:rPr>
            </w:pPr>
            <w:r>
              <w:rPr>
                <w:rFonts w:ascii="Arial" w:cs="Arial" w:eastAsia="Arial" w:hAnsi="Arial"/>
                <w:sz w:val="4"/>
                <w:szCs w:val="4"/>
                <w:color w:val="FFFFFF"/>
              </w:rPr>
              <w:t>$8.0</w:t>
            </w: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80" w:type="dxa"/>
            <w:vAlign w:val="bottom"/>
            <w:gridSpan w:val="2"/>
          </w:tcPr>
          <w:p>
            <w:pPr>
              <w:spacing w:after="0" w:line="40" w:lineRule="exact"/>
              <w:rPr>
                <w:sz w:val="20"/>
                <w:szCs w:val="20"/>
                <w:color w:val="auto"/>
              </w:rPr>
            </w:pPr>
            <w:r>
              <w:rPr>
                <w:rFonts w:ascii="Arial" w:cs="Arial" w:eastAsia="Arial" w:hAnsi="Arial"/>
                <w:sz w:val="4"/>
                <w:szCs w:val="4"/>
                <w:color w:val="FFFFFF"/>
              </w:rPr>
              <w:t>6.0%</w:t>
            </w: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40" w:type="dxa"/>
            <w:vAlign w:val="bottom"/>
          </w:tcPr>
          <w:p>
            <w:pPr>
              <w:spacing w:after="0"/>
              <w:rPr>
                <w:sz w:val="3"/>
                <w:szCs w:val="3"/>
                <w:color w:val="auto"/>
              </w:rPr>
            </w:pPr>
          </w:p>
        </w:tc>
        <w:tc>
          <w:tcPr>
            <w:tcW w:w="240" w:type="dxa"/>
            <w:vAlign w:val="bottom"/>
          </w:tcPr>
          <w:p>
            <w:pPr>
              <w:spacing w:after="0" w:line="40" w:lineRule="exact"/>
              <w:rPr>
                <w:sz w:val="20"/>
                <w:szCs w:val="20"/>
                <w:color w:val="auto"/>
              </w:rPr>
            </w:pPr>
            <w:r>
              <w:rPr>
                <w:rFonts w:ascii="Arial" w:cs="Arial" w:eastAsia="Arial" w:hAnsi="Arial"/>
                <w:sz w:val="4"/>
                <w:szCs w:val="4"/>
                <w:color w:val="FFFFFF"/>
              </w:rPr>
              <w:t>$6.0</w:t>
            </w: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80" w:type="dxa"/>
            <w:vAlign w:val="bottom"/>
            <w:gridSpan w:val="2"/>
          </w:tcPr>
          <w:p>
            <w:pPr>
              <w:spacing w:after="0" w:line="40" w:lineRule="exact"/>
              <w:rPr>
                <w:sz w:val="20"/>
                <w:szCs w:val="20"/>
                <w:color w:val="auto"/>
              </w:rPr>
            </w:pPr>
            <w:r>
              <w:rPr>
                <w:rFonts w:ascii="Arial" w:cs="Arial" w:eastAsia="Arial" w:hAnsi="Arial"/>
                <w:sz w:val="4"/>
                <w:szCs w:val="4"/>
                <w:color w:val="FFFFFF"/>
              </w:rPr>
              <w:t>4.0%</w:t>
            </w: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40" w:type="dxa"/>
            <w:vAlign w:val="bottom"/>
          </w:tcPr>
          <w:p>
            <w:pPr>
              <w:spacing w:after="0"/>
              <w:rPr>
                <w:sz w:val="3"/>
                <w:szCs w:val="3"/>
                <w:color w:val="auto"/>
              </w:rPr>
            </w:pPr>
          </w:p>
        </w:tc>
        <w:tc>
          <w:tcPr>
            <w:tcW w:w="240" w:type="dxa"/>
            <w:vAlign w:val="bottom"/>
          </w:tcPr>
          <w:p>
            <w:pPr>
              <w:spacing w:after="0" w:line="40" w:lineRule="exact"/>
              <w:rPr>
                <w:sz w:val="20"/>
                <w:szCs w:val="20"/>
                <w:color w:val="auto"/>
              </w:rPr>
            </w:pPr>
            <w:r>
              <w:rPr>
                <w:rFonts w:ascii="Arial" w:cs="Arial" w:eastAsia="Arial" w:hAnsi="Arial"/>
                <w:sz w:val="4"/>
                <w:szCs w:val="4"/>
                <w:color w:val="FFFFFF"/>
              </w:rPr>
              <w:t>$4.0</w:t>
            </w: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5120" w:type="dxa"/>
            <w:vAlign w:val="bottom"/>
            <w:gridSpan w:val="5"/>
          </w:tcPr>
          <w:p>
            <w:pPr>
              <w:spacing w:after="0" w:line="79" w:lineRule="exact"/>
              <w:rPr>
                <w:sz w:val="20"/>
                <w:szCs w:val="20"/>
                <w:color w:val="auto"/>
              </w:rPr>
            </w:pPr>
            <w:r>
              <w:rPr>
                <w:rFonts w:ascii="Arial" w:cs="Arial" w:eastAsia="Arial" w:hAnsi="Arial"/>
                <w:sz w:val="9"/>
                <w:szCs w:val="9"/>
                <w:color w:val="FFFFFF"/>
                <w:vertAlign w:val="superscript"/>
              </w:rPr>
              <w:t>2</w:t>
            </w:r>
            <w:r>
              <w:rPr>
                <w:rFonts w:ascii="Arial" w:cs="Arial" w:eastAsia="Arial" w:hAnsi="Arial"/>
                <w:sz w:val="7"/>
                <w:szCs w:val="7"/>
                <w:color w:val="FFFFFF"/>
              </w:rPr>
              <w:t>.0%   $</w:t>
            </w:r>
            <w:r>
              <w:rPr>
                <w:rFonts w:ascii="Arial" w:cs="Arial" w:eastAsia="Arial" w:hAnsi="Arial"/>
                <w:sz w:val="9"/>
                <w:szCs w:val="9"/>
                <w:color w:val="FFFFFF"/>
                <w:vertAlign w:val="superscript"/>
              </w:rPr>
              <w:t>2</w:t>
            </w:r>
            <w:r>
              <w:rPr>
                <w:rFonts w:ascii="Arial" w:cs="Arial" w:eastAsia="Arial" w:hAnsi="Arial"/>
                <w:sz w:val="7"/>
                <w:szCs w:val="7"/>
                <w:color w:val="FFFFFF"/>
              </w:rPr>
              <w:t>0.0</w:t>
            </w:r>
          </w:p>
        </w:tc>
        <w:tc>
          <w:tcPr>
            <w:tcW w:w="0" w:type="dxa"/>
            <w:vAlign w:val="bottom"/>
          </w:tcPr>
          <w:p>
            <w:pPr>
              <w:spacing w:after="0"/>
              <w:rPr>
                <w:sz w:val="1"/>
                <w:szCs w:val="1"/>
                <w:color w:val="auto"/>
              </w:rPr>
            </w:pPr>
          </w:p>
        </w:tc>
      </w:tr>
      <w:tr>
        <w:trPr>
          <w:trHeight w:val="39"/>
        </w:trPr>
        <w:tc>
          <w:tcPr>
            <w:tcW w:w="380" w:type="dxa"/>
            <w:vAlign w:val="bottom"/>
            <w:gridSpan w:val="2"/>
          </w:tcPr>
          <w:p>
            <w:pPr>
              <w:spacing w:after="0" w:line="40" w:lineRule="exact"/>
              <w:rPr>
                <w:sz w:val="20"/>
                <w:szCs w:val="20"/>
                <w:color w:val="auto"/>
              </w:rPr>
            </w:pPr>
            <w:r>
              <w:rPr>
                <w:rFonts w:ascii="Arial" w:cs="Arial" w:eastAsia="Arial" w:hAnsi="Arial"/>
                <w:sz w:val="4"/>
                <w:szCs w:val="4"/>
                <w:color w:val="FFFFFF"/>
              </w:rPr>
              <w:t>2015</w:t>
            </w:r>
          </w:p>
        </w:tc>
        <w:tc>
          <w:tcPr>
            <w:tcW w:w="4740" w:type="dxa"/>
            <w:vAlign w:val="bottom"/>
            <w:gridSpan w:val="3"/>
          </w:tcPr>
          <w:p>
            <w:pPr>
              <w:jc w:val="center"/>
              <w:ind w:right="3891"/>
              <w:spacing w:after="0" w:line="40" w:lineRule="exact"/>
              <w:rPr>
                <w:sz w:val="20"/>
                <w:szCs w:val="20"/>
                <w:color w:val="auto"/>
              </w:rPr>
            </w:pPr>
            <w:r>
              <w:rPr>
                <w:rFonts w:ascii="Arial" w:cs="Arial" w:eastAsia="Arial" w:hAnsi="Arial"/>
                <w:sz w:val="4"/>
                <w:szCs w:val="4"/>
                <w:color w:val="FFFFFF"/>
              </w:rPr>
              <w:t>201620152016</w:t>
            </w:r>
          </w:p>
        </w:tc>
        <w:tc>
          <w:tcPr>
            <w:tcW w:w="0" w:type="dxa"/>
            <w:vAlign w:val="bottom"/>
          </w:tcPr>
          <w:p>
            <w:pPr>
              <w:spacing w:after="0" w:line="20" w:lineRule="exact"/>
              <w:rPr>
                <w:sz w:val="1"/>
                <w:szCs w:val="1"/>
                <w:color w:val="auto"/>
              </w:rPr>
            </w:pPr>
          </w:p>
        </w:tc>
      </w:tr>
      <w:tr>
        <w:trPr>
          <w:trHeight w:val="165"/>
        </w:trPr>
        <w:tc>
          <w:tcPr>
            <w:tcW w:w="140" w:type="dxa"/>
            <w:vAlign w:val="bottom"/>
          </w:tcPr>
          <w:p>
            <w:pPr>
              <w:spacing w:after="0"/>
              <w:rPr>
                <w:sz w:val="20"/>
                <w:szCs w:val="20"/>
                <w:color w:val="auto"/>
              </w:rPr>
            </w:pPr>
            <w:r>
              <w:rPr>
                <w:rFonts w:ascii="Arial" w:cs="Arial" w:eastAsia="Arial" w:hAnsi="Arial"/>
                <w:sz w:val="13"/>
                <w:szCs w:val="13"/>
                <w:color w:val="FFFFFF"/>
              </w:rPr>
              <w:t>7</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440"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20" w:type="dxa"/>
            <w:vAlign w:val="bottom"/>
            <w:gridSpan w:val="4"/>
          </w:tcPr>
          <w:p>
            <w:pPr>
              <w:spacing w:after="0"/>
              <w:rPr>
                <w:sz w:val="20"/>
                <w:szCs w:val="20"/>
                <w:color w:val="auto"/>
              </w:rPr>
            </w:pPr>
            <w:r>
              <w:rPr>
                <w:rFonts w:ascii="Arial" w:cs="Arial" w:eastAsia="Arial" w:hAnsi="Arial"/>
                <w:sz w:val="13"/>
                <w:szCs w:val="13"/>
                <w:color w:val="FFFFFF"/>
              </w:rPr>
              <w:t>Autocam Precision Components Group</w:t>
            </w:r>
          </w:p>
        </w:tc>
        <w:tc>
          <w:tcPr>
            <w:tcW w:w="0" w:type="dxa"/>
            <w:vAlign w:val="bottom"/>
          </w:tcPr>
          <w:p>
            <w:pPr>
              <w:spacing w:after="0"/>
              <w:rPr>
                <w:sz w:val="1"/>
                <w:szCs w:val="1"/>
                <w:color w:val="auto"/>
              </w:rPr>
            </w:pPr>
          </w:p>
        </w:tc>
      </w:tr>
      <w:tr>
        <w:trPr>
          <w:trHeight w:val="39"/>
        </w:trPr>
        <w:tc>
          <w:tcPr>
            <w:tcW w:w="4820" w:type="dxa"/>
            <w:vAlign w:val="bottom"/>
            <w:gridSpan w:val="4"/>
          </w:tcPr>
          <w:p>
            <w:pPr>
              <w:ind w:left="140"/>
              <w:spacing w:after="0" w:line="40" w:lineRule="exact"/>
              <w:rPr>
                <w:sz w:val="20"/>
                <w:szCs w:val="20"/>
                <w:color w:val="auto"/>
              </w:rPr>
            </w:pPr>
            <w:r>
              <w:rPr>
                <w:rFonts w:ascii="Arial" w:cs="Arial" w:eastAsia="Arial" w:hAnsi="Arial"/>
                <w:sz w:val="4"/>
                <w:szCs w:val="4"/>
                <w:color w:val="FFFFFF"/>
              </w:rPr>
              <w:t>Net SalesAdjusted Operating Margin</w:t>
            </w:r>
          </w:p>
        </w:tc>
        <w:tc>
          <w:tcPr>
            <w:tcW w:w="0" w:type="dxa"/>
            <w:vAlign w:val="bottom"/>
          </w:tcPr>
          <w:p>
            <w:pPr>
              <w:spacing w:after="0" w:line="20" w:lineRule="exact"/>
              <w:rPr>
                <w:sz w:val="1"/>
                <w:szCs w:val="1"/>
                <w:color w:val="auto"/>
              </w:rPr>
            </w:pPr>
          </w:p>
        </w:tc>
      </w:tr>
      <w:tr>
        <w:trPr>
          <w:trHeight w:val="39"/>
        </w:trPr>
        <w:tc>
          <w:tcPr>
            <w:tcW w:w="4820" w:type="dxa"/>
            <w:vAlign w:val="bottom"/>
            <w:gridSpan w:val="4"/>
          </w:tcPr>
          <w:p>
            <w:pPr>
              <w:spacing w:after="0" w:line="40" w:lineRule="exact"/>
              <w:rPr>
                <w:sz w:val="20"/>
                <w:szCs w:val="20"/>
                <w:color w:val="auto"/>
              </w:rPr>
            </w:pPr>
            <w:r>
              <w:rPr>
                <w:rFonts w:ascii="Arial" w:cs="Arial" w:eastAsia="Arial" w:hAnsi="Arial"/>
                <w:sz w:val="4"/>
                <w:szCs w:val="4"/>
                <w:color w:val="FFFFFF"/>
              </w:rPr>
              <w:t>Weakness   industrial markets drove the  NN Operating System continues to drive margin</w:t>
            </w:r>
          </w:p>
        </w:tc>
        <w:tc>
          <w:tcPr>
            <w:tcW w:w="0" w:type="dxa"/>
            <w:vAlign w:val="bottom"/>
          </w:tcPr>
          <w:p>
            <w:pPr>
              <w:spacing w:after="0" w:line="20" w:lineRule="exact"/>
              <w:rPr>
                <w:sz w:val="1"/>
                <w:szCs w:val="1"/>
                <w:color w:val="auto"/>
              </w:rPr>
            </w:pPr>
          </w:p>
        </w:tc>
      </w:tr>
      <w:tr>
        <w:trPr>
          <w:trHeight w:val="39"/>
        </w:trPr>
        <w:tc>
          <w:tcPr>
            <w:tcW w:w="4820" w:type="dxa"/>
            <w:vAlign w:val="bottom"/>
            <w:gridSpan w:val="4"/>
          </w:tcPr>
          <w:p>
            <w:pPr>
              <w:ind w:left="140"/>
              <w:spacing w:after="0" w:line="40" w:lineRule="exact"/>
              <w:rPr>
                <w:sz w:val="20"/>
                <w:szCs w:val="20"/>
                <w:color w:val="auto"/>
              </w:rPr>
            </w:pPr>
            <w:r>
              <w:rPr>
                <w:rFonts w:ascii="Arial" w:cs="Arial" w:eastAsia="Arial" w:hAnsi="Arial"/>
                <w:sz w:val="4"/>
                <w:szCs w:val="4"/>
                <w:color w:val="FFFFFF"/>
              </w:rPr>
              <w:t>declineexpansion</w:t>
            </w:r>
          </w:p>
        </w:tc>
        <w:tc>
          <w:tcPr>
            <w:tcW w:w="0" w:type="dxa"/>
            <w:vAlign w:val="bottom"/>
          </w:tcPr>
          <w:p>
            <w:pPr>
              <w:spacing w:after="0" w:line="20" w:lineRule="exact"/>
              <w:rPr>
                <w:sz w:val="1"/>
                <w:szCs w:val="1"/>
                <w:color w:val="auto"/>
              </w:rPr>
            </w:pPr>
          </w:p>
        </w:tc>
      </w:tr>
      <w:tr>
        <w:trPr>
          <w:trHeight w:val="39"/>
        </w:trPr>
        <w:tc>
          <w:tcPr>
            <w:tcW w:w="4820" w:type="dxa"/>
            <w:vAlign w:val="bottom"/>
            <w:gridSpan w:val="4"/>
          </w:tcPr>
          <w:p>
            <w:pPr>
              <w:spacing w:after="0" w:line="40" w:lineRule="exact"/>
              <w:rPr>
                <w:sz w:val="20"/>
                <w:szCs w:val="20"/>
                <w:color w:val="auto"/>
              </w:rPr>
            </w:pPr>
            <w:r>
              <w:rPr>
                <w:rFonts w:ascii="Arial" w:cs="Arial" w:eastAsia="Arial" w:hAnsi="Arial"/>
                <w:sz w:val="4"/>
                <w:szCs w:val="4"/>
                <w:color w:val="FFFFFF"/>
              </w:rPr>
              <w:t>In Millions</w:t>
            </w:r>
          </w:p>
        </w:tc>
        <w:tc>
          <w:tcPr>
            <w:tcW w:w="0" w:type="dxa"/>
            <w:vAlign w:val="bottom"/>
          </w:tcPr>
          <w:p>
            <w:pPr>
              <w:spacing w:after="0" w:line="20" w:lineRule="exact"/>
              <w:rPr>
                <w:sz w:val="1"/>
                <w:szCs w:val="1"/>
                <w:color w:val="auto"/>
              </w:rPr>
            </w:pPr>
          </w:p>
        </w:tc>
      </w:tr>
      <w:tr>
        <w:trPr>
          <w:trHeight w:val="39"/>
        </w:trPr>
        <w:tc>
          <w:tcPr>
            <w:tcW w:w="300" w:type="dxa"/>
            <w:vAlign w:val="bottom"/>
          </w:tcPr>
          <w:p>
            <w:pPr>
              <w:spacing w:after="0" w:line="40" w:lineRule="exact"/>
              <w:rPr>
                <w:sz w:val="20"/>
                <w:szCs w:val="20"/>
                <w:color w:val="auto"/>
              </w:rPr>
            </w:pPr>
            <w:r>
              <w:rPr>
                <w:rFonts w:ascii="Arial" w:cs="Arial" w:eastAsia="Arial" w:hAnsi="Arial"/>
                <w:sz w:val="4"/>
                <w:szCs w:val="4"/>
                <w:color w:val="FFFFFF"/>
              </w:rPr>
              <w:t>$100</w:t>
            </w: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320" w:type="dxa"/>
            <w:vAlign w:val="bottom"/>
          </w:tcPr>
          <w:p>
            <w:pPr>
              <w:jc w:val="right"/>
              <w:ind w:right="3938"/>
              <w:spacing w:after="0" w:line="40" w:lineRule="exact"/>
              <w:rPr>
                <w:sz w:val="20"/>
                <w:szCs w:val="20"/>
                <w:color w:val="auto"/>
              </w:rPr>
            </w:pPr>
            <w:r>
              <w:rPr>
                <w:rFonts w:ascii="Arial" w:cs="Arial" w:eastAsia="Arial" w:hAnsi="Arial"/>
                <w:sz w:val="4"/>
                <w:szCs w:val="4"/>
                <w:color w:val="FFFFFF"/>
              </w:rPr>
              <w:t>16.0%</w:t>
            </w:r>
          </w:p>
        </w:tc>
        <w:tc>
          <w:tcPr>
            <w:tcW w:w="0" w:type="dxa"/>
            <w:vAlign w:val="bottom"/>
          </w:tcPr>
          <w:p>
            <w:pPr>
              <w:spacing w:after="0" w:line="20" w:lineRule="exact"/>
              <w:rPr>
                <w:sz w:val="1"/>
                <w:szCs w:val="1"/>
                <w:color w:val="auto"/>
              </w:rPr>
            </w:pPr>
          </w:p>
        </w:tc>
      </w:tr>
      <w:tr>
        <w:trPr>
          <w:trHeight w:val="39"/>
        </w:trPr>
        <w:tc>
          <w:tcPr>
            <w:tcW w:w="500" w:type="dxa"/>
            <w:vAlign w:val="bottom"/>
            <w:gridSpan w:val="3"/>
          </w:tcPr>
          <w:p>
            <w:pPr>
              <w:ind w:left="140"/>
              <w:spacing w:after="0" w:line="40" w:lineRule="exact"/>
              <w:rPr>
                <w:sz w:val="20"/>
                <w:szCs w:val="20"/>
                <w:color w:val="auto"/>
              </w:rPr>
            </w:pPr>
            <w:r>
              <w:rPr>
                <w:rFonts w:ascii="Arial" w:cs="Arial" w:eastAsia="Arial" w:hAnsi="Arial"/>
                <w:sz w:val="4"/>
                <w:szCs w:val="4"/>
                <w:color w:val="FFFFFF"/>
              </w:rPr>
              <w:t>15.0%</w:t>
            </w:r>
          </w:p>
        </w:tc>
        <w:tc>
          <w:tcPr>
            <w:tcW w:w="4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00" w:type="dxa"/>
            <w:vAlign w:val="bottom"/>
          </w:tcPr>
          <w:p>
            <w:pPr>
              <w:spacing w:after="0" w:line="40" w:lineRule="exact"/>
              <w:rPr>
                <w:sz w:val="20"/>
                <w:szCs w:val="20"/>
                <w:color w:val="auto"/>
              </w:rPr>
            </w:pPr>
            <w:r>
              <w:rPr>
                <w:rFonts w:ascii="Arial" w:cs="Arial" w:eastAsia="Arial" w:hAnsi="Arial"/>
                <w:sz w:val="4"/>
                <w:szCs w:val="4"/>
                <w:color w:val="FFFFFF"/>
              </w:rPr>
              <w:t>$90.0</w:t>
            </w: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820" w:type="dxa"/>
            <w:vAlign w:val="bottom"/>
            <w:gridSpan w:val="4"/>
          </w:tcPr>
          <w:p>
            <w:pPr>
              <w:ind w:left="140"/>
              <w:spacing w:after="0" w:line="40" w:lineRule="exact"/>
              <w:rPr>
                <w:sz w:val="20"/>
                <w:szCs w:val="20"/>
                <w:color w:val="auto"/>
              </w:rPr>
            </w:pPr>
            <w:r>
              <w:rPr>
                <w:rFonts w:ascii="Arial" w:cs="Arial" w:eastAsia="Arial" w:hAnsi="Arial"/>
                <w:sz w:val="4"/>
                <w:szCs w:val="4"/>
                <w:color w:val="FFFFFF"/>
              </w:rPr>
              <w:t>14.0%14.6%</w:t>
            </w:r>
          </w:p>
        </w:tc>
        <w:tc>
          <w:tcPr>
            <w:tcW w:w="0" w:type="dxa"/>
            <w:vAlign w:val="bottom"/>
          </w:tcPr>
          <w:p>
            <w:pPr>
              <w:spacing w:after="0" w:line="20" w:lineRule="exact"/>
              <w:rPr>
                <w:sz w:val="1"/>
                <w:szCs w:val="1"/>
                <w:color w:val="auto"/>
              </w:rPr>
            </w:pPr>
          </w:p>
        </w:tc>
      </w:tr>
      <w:tr>
        <w:trPr>
          <w:trHeight w:val="39"/>
        </w:trPr>
        <w:tc>
          <w:tcPr>
            <w:tcW w:w="300" w:type="dxa"/>
            <w:vAlign w:val="bottom"/>
          </w:tcPr>
          <w:p>
            <w:pPr>
              <w:spacing w:after="0" w:line="40" w:lineRule="exact"/>
              <w:rPr>
                <w:sz w:val="20"/>
                <w:szCs w:val="20"/>
                <w:color w:val="auto"/>
              </w:rPr>
            </w:pPr>
            <w:r>
              <w:rPr>
                <w:rFonts w:ascii="Arial" w:cs="Arial" w:eastAsia="Arial" w:hAnsi="Arial"/>
                <w:sz w:val="4"/>
                <w:szCs w:val="4"/>
                <w:color w:val="FFFFFF"/>
              </w:rPr>
              <w:t>$80.0</w:t>
            </w:r>
          </w:p>
        </w:tc>
        <w:tc>
          <w:tcPr>
            <w:tcW w:w="120" w:type="dxa"/>
            <w:vAlign w:val="bottom"/>
          </w:tcPr>
          <w:p>
            <w:pPr>
              <w:spacing w:after="0"/>
              <w:rPr>
                <w:sz w:val="3"/>
                <w:szCs w:val="3"/>
                <w:color w:val="auto"/>
              </w:rPr>
            </w:pPr>
          </w:p>
        </w:tc>
        <w:tc>
          <w:tcPr>
            <w:tcW w:w="4400" w:type="dxa"/>
            <w:vAlign w:val="bottom"/>
            <w:gridSpan w:val="2"/>
          </w:tcPr>
          <w:p>
            <w:pPr>
              <w:ind w:left="20"/>
              <w:spacing w:after="0" w:line="40" w:lineRule="exact"/>
              <w:rPr>
                <w:sz w:val="20"/>
                <w:szCs w:val="20"/>
                <w:color w:val="auto"/>
              </w:rPr>
            </w:pPr>
            <w:r>
              <w:rPr>
                <w:rFonts w:ascii="Arial" w:cs="Arial" w:eastAsia="Arial" w:hAnsi="Arial"/>
                <w:sz w:val="4"/>
                <w:szCs w:val="4"/>
                <w:color w:val="FFFFFF"/>
              </w:rPr>
              <w:t>$86.5 13.0%</w:t>
            </w:r>
          </w:p>
        </w:tc>
        <w:tc>
          <w:tcPr>
            <w:tcW w:w="0" w:type="dxa"/>
            <w:vAlign w:val="bottom"/>
          </w:tcPr>
          <w:p>
            <w:pPr>
              <w:spacing w:after="0" w:line="20" w:lineRule="exact"/>
              <w:rPr>
                <w:sz w:val="1"/>
                <w:szCs w:val="1"/>
                <w:color w:val="auto"/>
              </w:rPr>
            </w:pPr>
          </w:p>
        </w:tc>
      </w:tr>
      <w:tr>
        <w:trPr>
          <w:trHeight w:val="39"/>
        </w:trPr>
        <w:tc>
          <w:tcPr>
            <w:tcW w:w="420" w:type="dxa"/>
            <w:vAlign w:val="bottom"/>
            <w:gridSpan w:val="2"/>
          </w:tcPr>
          <w:p>
            <w:pPr>
              <w:ind w:left="140"/>
              <w:spacing w:after="0" w:line="40" w:lineRule="exact"/>
              <w:rPr>
                <w:sz w:val="20"/>
                <w:szCs w:val="20"/>
                <w:color w:val="auto"/>
              </w:rPr>
            </w:pPr>
            <w:r>
              <w:rPr>
                <w:rFonts w:ascii="Arial" w:cs="Arial" w:eastAsia="Arial" w:hAnsi="Arial"/>
                <w:sz w:val="4"/>
                <w:szCs w:val="4"/>
                <w:color w:val="FFFFFF"/>
              </w:rPr>
              <w:t>$83.</w:t>
            </w:r>
          </w:p>
        </w:tc>
        <w:tc>
          <w:tcPr>
            <w:tcW w:w="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820" w:type="dxa"/>
            <w:vAlign w:val="bottom"/>
            <w:gridSpan w:val="4"/>
          </w:tcPr>
          <w:p>
            <w:pPr>
              <w:ind w:left="140"/>
              <w:spacing w:after="0" w:line="40" w:lineRule="exact"/>
              <w:rPr>
                <w:sz w:val="20"/>
                <w:szCs w:val="20"/>
                <w:color w:val="auto"/>
              </w:rPr>
            </w:pPr>
            <w:r>
              <w:rPr>
                <w:rFonts w:ascii="Arial" w:cs="Arial" w:eastAsia="Arial" w:hAnsi="Arial"/>
                <w:sz w:val="4"/>
                <w:szCs w:val="4"/>
                <w:color w:val="FFFFFF"/>
              </w:rPr>
              <w:t>12.0%12.7%</w:t>
            </w:r>
          </w:p>
        </w:tc>
        <w:tc>
          <w:tcPr>
            <w:tcW w:w="0" w:type="dxa"/>
            <w:vAlign w:val="bottom"/>
          </w:tcPr>
          <w:p>
            <w:pPr>
              <w:spacing w:after="0" w:line="20" w:lineRule="exact"/>
              <w:rPr>
                <w:sz w:val="1"/>
                <w:szCs w:val="1"/>
                <w:color w:val="auto"/>
              </w:rPr>
            </w:pPr>
          </w:p>
        </w:tc>
      </w:tr>
      <w:tr>
        <w:trPr>
          <w:trHeight w:val="39"/>
        </w:trPr>
        <w:tc>
          <w:tcPr>
            <w:tcW w:w="300" w:type="dxa"/>
            <w:vAlign w:val="bottom"/>
          </w:tcPr>
          <w:p>
            <w:pPr>
              <w:spacing w:after="0" w:line="40" w:lineRule="exact"/>
              <w:rPr>
                <w:sz w:val="20"/>
                <w:szCs w:val="20"/>
                <w:color w:val="auto"/>
              </w:rPr>
            </w:pPr>
            <w:r>
              <w:rPr>
                <w:rFonts w:ascii="Arial" w:cs="Arial" w:eastAsia="Arial" w:hAnsi="Arial"/>
                <w:sz w:val="4"/>
                <w:szCs w:val="4"/>
                <w:color w:val="FFFFFF"/>
              </w:rPr>
              <w:t>$70.0</w:t>
            </w: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00" w:type="dxa"/>
            <w:vAlign w:val="bottom"/>
            <w:gridSpan w:val="3"/>
          </w:tcPr>
          <w:p>
            <w:pPr>
              <w:ind w:left="140"/>
              <w:spacing w:after="0" w:line="40" w:lineRule="exact"/>
              <w:rPr>
                <w:sz w:val="20"/>
                <w:szCs w:val="20"/>
                <w:color w:val="auto"/>
              </w:rPr>
            </w:pPr>
            <w:r>
              <w:rPr>
                <w:rFonts w:ascii="Arial" w:cs="Arial" w:eastAsia="Arial" w:hAnsi="Arial"/>
                <w:sz w:val="4"/>
                <w:szCs w:val="4"/>
                <w:color w:val="FFFFFF"/>
              </w:rPr>
              <w:t>11.0%</w:t>
            </w:r>
          </w:p>
        </w:tc>
        <w:tc>
          <w:tcPr>
            <w:tcW w:w="4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00" w:type="dxa"/>
            <w:vAlign w:val="bottom"/>
          </w:tcPr>
          <w:p>
            <w:pPr>
              <w:spacing w:after="0" w:line="40" w:lineRule="exact"/>
              <w:rPr>
                <w:sz w:val="20"/>
                <w:szCs w:val="20"/>
                <w:color w:val="auto"/>
              </w:rPr>
            </w:pPr>
            <w:r>
              <w:rPr>
                <w:rFonts w:ascii="Arial" w:cs="Arial" w:eastAsia="Arial" w:hAnsi="Arial"/>
                <w:sz w:val="4"/>
                <w:szCs w:val="4"/>
                <w:color w:val="FFFFFF"/>
              </w:rPr>
              <w:t>$60</w:t>
            </w:r>
          </w:p>
        </w:tc>
        <w:tc>
          <w:tcPr>
            <w:tcW w:w="120" w:type="dxa"/>
            <w:vAlign w:val="bottom"/>
            <w:vMerge w:val="restart"/>
          </w:tcPr>
          <w:p>
            <w:pPr>
              <w:jc w:val="right"/>
              <w:spacing w:after="0" w:line="79" w:lineRule="exact"/>
              <w:rPr>
                <w:sz w:val="20"/>
                <w:szCs w:val="20"/>
                <w:color w:val="auto"/>
              </w:rPr>
            </w:pPr>
            <w:r>
              <w:rPr>
                <w:rFonts w:ascii="Arial" w:cs="Arial" w:eastAsia="Arial" w:hAnsi="Arial"/>
                <w:sz w:val="9"/>
                <w:szCs w:val="9"/>
                <w:color w:val="FFFFFF"/>
                <w:w w:val="99"/>
              </w:rPr>
              <w:t>%</w:t>
            </w:r>
          </w:p>
        </w:tc>
        <w:tc>
          <w:tcPr>
            <w:tcW w:w="4400" w:type="dxa"/>
            <w:vAlign w:val="bottom"/>
            <w:gridSpan w:val="2"/>
          </w:tcPr>
          <w:p>
            <w:pPr>
              <w:ind w:left="40"/>
              <w:spacing w:after="0" w:line="40" w:lineRule="exact"/>
              <w:rPr>
                <w:sz w:val="20"/>
                <w:szCs w:val="20"/>
                <w:color w:val="auto"/>
              </w:rPr>
            </w:pPr>
            <w:r>
              <w:rPr>
                <w:rFonts w:ascii="Arial" w:cs="Arial" w:eastAsia="Arial" w:hAnsi="Arial"/>
                <w:sz w:val="4"/>
                <w:szCs w:val="4"/>
                <w:color w:val="FFFFFF"/>
              </w:rPr>
              <w:t>10.0%</w:t>
            </w:r>
          </w:p>
        </w:tc>
        <w:tc>
          <w:tcPr>
            <w:tcW w:w="0" w:type="dxa"/>
            <w:vAlign w:val="bottom"/>
          </w:tcPr>
          <w:p>
            <w:pPr>
              <w:spacing w:after="0" w:line="20" w:lineRule="exact"/>
              <w:rPr>
                <w:sz w:val="1"/>
                <w:szCs w:val="1"/>
                <w:color w:val="auto"/>
              </w:rPr>
            </w:pPr>
          </w:p>
        </w:tc>
      </w:tr>
      <w:tr>
        <w:trPr>
          <w:trHeight w:val="39"/>
        </w:trPr>
        <w:tc>
          <w:tcPr>
            <w:tcW w:w="300" w:type="dxa"/>
            <w:vAlign w:val="bottom"/>
          </w:tcPr>
          <w:p>
            <w:pPr>
              <w:ind w:left="140"/>
              <w:spacing w:after="0" w:line="40" w:lineRule="exact"/>
              <w:rPr>
                <w:sz w:val="20"/>
                <w:szCs w:val="20"/>
                <w:color w:val="auto"/>
              </w:rPr>
            </w:pPr>
            <w:r>
              <w:rPr>
                <w:rFonts w:ascii="Arial" w:cs="Arial" w:eastAsia="Arial" w:hAnsi="Arial"/>
                <w:sz w:val="4"/>
                <w:szCs w:val="4"/>
                <w:color w:val="FFFFFF"/>
              </w:rPr>
              <w:t>9</w:t>
            </w:r>
          </w:p>
        </w:tc>
        <w:tc>
          <w:tcPr>
            <w:tcW w:w="1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00" w:type="dxa"/>
            <w:vAlign w:val="bottom"/>
          </w:tcPr>
          <w:p>
            <w:pPr>
              <w:spacing w:after="0" w:line="40" w:lineRule="exact"/>
              <w:rPr>
                <w:sz w:val="20"/>
                <w:szCs w:val="20"/>
                <w:color w:val="auto"/>
              </w:rPr>
            </w:pPr>
            <w:r>
              <w:rPr>
                <w:rFonts w:ascii="Arial" w:cs="Arial" w:eastAsia="Arial" w:hAnsi="Arial"/>
                <w:sz w:val="4"/>
                <w:szCs w:val="4"/>
                <w:color w:val="FFFFFF"/>
              </w:rPr>
              <w:t>$50</w:t>
            </w:r>
          </w:p>
        </w:tc>
        <w:tc>
          <w:tcPr>
            <w:tcW w:w="120" w:type="dxa"/>
            <w:vAlign w:val="bottom"/>
            <w:vMerge w:val="restart"/>
          </w:tcPr>
          <w:p>
            <w:pPr>
              <w:jc w:val="right"/>
              <w:spacing w:after="0" w:line="79" w:lineRule="exact"/>
              <w:rPr>
                <w:sz w:val="20"/>
                <w:szCs w:val="20"/>
                <w:color w:val="auto"/>
              </w:rPr>
            </w:pPr>
            <w:r>
              <w:rPr>
                <w:rFonts w:ascii="Arial" w:cs="Arial" w:eastAsia="Arial" w:hAnsi="Arial"/>
                <w:sz w:val="9"/>
                <w:szCs w:val="9"/>
                <w:color w:val="FFFFFF"/>
                <w:w w:val="99"/>
              </w:rPr>
              <w:t>%</w:t>
            </w:r>
          </w:p>
        </w:tc>
        <w:tc>
          <w:tcPr>
            <w:tcW w:w="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00" w:type="dxa"/>
            <w:vAlign w:val="bottom"/>
          </w:tcPr>
          <w:p>
            <w:pPr>
              <w:ind w:left="140"/>
              <w:spacing w:after="0" w:line="40" w:lineRule="exact"/>
              <w:rPr>
                <w:sz w:val="20"/>
                <w:szCs w:val="20"/>
                <w:color w:val="auto"/>
              </w:rPr>
            </w:pPr>
            <w:r>
              <w:rPr>
                <w:rFonts w:ascii="Arial" w:cs="Arial" w:eastAsia="Arial" w:hAnsi="Arial"/>
                <w:sz w:val="4"/>
                <w:szCs w:val="4"/>
                <w:color w:val="FFFFFF"/>
              </w:rPr>
              <w:t>8</w:t>
            </w:r>
          </w:p>
        </w:tc>
        <w:tc>
          <w:tcPr>
            <w:tcW w:w="120" w:type="dxa"/>
            <w:vAlign w:val="bottom"/>
            <w:vMerge w:val="continue"/>
          </w:tcPr>
          <w:p>
            <w:pPr>
              <w:spacing w:after="0"/>
              <w:rPr>
                <w:sz w:val="3"/>
                <w:szCs w:val="3"/>
                <w:color w:val="auto"/>
              </w:rPr>
            </w:pPr>
          </w:p>
        </w:tc>
        <w:tc>
          <w:tcPr>
            <w:tcW w:w="4400" w:type="dxa"/>
            <w:vAlign w:val="bottom"/>
            <w:gridSpan w:val="2"/>
            <w:vMerge w:val="restart"/>
          </w:tcPr>
          <w:p>
            <w:pPr>
              <w:ind w:left="40"/>
              <w:spacing w:after="0" w:line="79" w:lineRule="exact"/>
              <w:rPr>
                <w:sz w:val="20"/>
                <w:szCs w:val="20"/>
                <w:color w:val="auto"/>
              </w:rPr>
            </w:pPr>
            <w:r>
              <w:rPr>
                <w:rFonts w:ascii="Arial" w:cs="Arial" w:eastAsia="Arial" w:hAnsi="Arial"/>
                <w:sz w:val="9"/>
                <w:szCs w:val="9"/>
                <w:color w:val="FFFFFF"/>
              </w:rPr>
              <w:t>7.0%</w:t>
            </w:r>
          </w:p>
        </w:tc>
        <w:tc>
          <w:tcPr>
            <w:tcW w:w="0" w:type="dxa"/>
            <w:vAlign w:val="bottom"/>
          </w:tcPr>
          <w:p>
            <w:pPr>
              <w:spacing w:after="0" w:line="20" w:lineRule="exact"/>
              <w:rPr>
                <w:sz w:val="1"/>
                <w:szCs w:val="1"/>
                <w:color w:val="auto"/>
              </w:rPr>
            </w:pPr>
          </w:p>
        </w:tc>
      </w:tr>
      <w:tr>
        <w:trPr>
          <w:trHeight w:val="39"/>
        </w:trPr>
        <w:tc>
          <w:tcPr>
            <w:tcW w:w="300" w:type="dxa"/>
            <w:vAlign w:val="bottom"/>
          </w:tcPr>
          <w:p>
            <w:pPr>
              <w:spacing w:after="0" w:line="40" w:lineRule="exact"/>
              <w:rPr>
                <w:sz w:val="20"/>
                <w:szCs w:val="20"/>
                <w:color w:val="auto"/>
              </w:rPr>
            </w:pPr>
            <w:r>
              <w:rPr>
                <w:rFonts w:ascii="Arial" w:cs="Arial" w:eastAsia="Arial" w:hAnsi="Arial"/>
                <w:sz w:val="4"/>
                <w:szCs w:val="4"/>
                <w:color w:val="FFFFFF"/>
              </w:rPr>
              <w:t>$40</w:t>
            </w:r>
          </w:p>
        </w:tc>
        <w:tc>
          <w:tcPr>
            <w:tcW w:w="120" w:type="dxa"/>
            <w:vAlign w:val="bottom"/>
            <w:vMerge w:val="restart"/>
          </w:tcPr>
          <w:p>
            <w:pPr>
              <w:jc w:val="right"/>
              <w:spacing w:after="0" w:line="79" w:lineRule="exact"/>
              <w:rPr>
                <w:sz w:val="20"/>
                <w:szCs w:val="20"/>
                <w:color w:val="auto"/>
              </w:rPr>
            </w:pPr>
            <w:r>
              <w:rPr>
                <w:rFonts w:ascii="Arial" w:cs="Arial" w:eastAsia="Arial" w:hAnsi="Arial"/>
                <w:sz w:val="9"/>
                <w:szCs w:val="9"/>
                <w:color w:val="FFFFFF"/>
                <w:w w:val="99"/>
              </w:rPr>
              <w:t>%</w:t>
            </w:r>
          </w:p>
        </w:tc>
        <w:tc>
          <w:tcPr>
            <w:tcW w:w="44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00" w:type="dxa"/>
            <w:vAlign w:val="bottom"/>
          </w:tcPr>
          <w:p>
            <w:pPr>
              <w:ind w:left="140"/>
              <w:spacing w:after="0" w:line="40" w:lineRule="exact"/>
              <w:rPr>
                <w:sz w:val="20"/>
                <w:szCs w:val="20"/>
                <w:color w:val="auto"/>
              </w:rPr>
            </w:pPr>
            <w:r>
              <w:rPr>
                <w:rFonts w:ascii="Arial" w:cs="Arial" w:eastAsia="Arial" w:hAnsi="Arial"/>
                <w:sz w:val="4"/>
                <w:szCs w:val="4"/>
                <w:color w:val="FFFFFF"/>
              </w:rPr>
              <w:t>6</w:t>
            </w:r>
          </w:p>
        </w:tc>
        <w:tc>
          <w:tcPr>
            <w:tcW w:w="1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00" w:type="dxa"/>
            <w:vAlign w:val="bottom"/>
          </w:tcPr>
          <w:p>
            <w:pPr>
              <w:spacing w:after="0" w:line="40" w:lineRule="exact"/>
              <w:rPr>
                <w:sz w:val="20"/>
                <w:szCs w:val="20"/>
                <w:color w:val="auto"/>
              </w:rPr>
            </w:pPr>
            <w:r>
              <w:rPr>
                <w:rFonts w:ascii="Arial" w:cs="Arial" w:eastAsia="Arial" w:hAnsi="Arial"/>
                <w:sz w:val="4"/>
                <w:szCs w:val="4"/>
                <w:color w:val="FFFFFF"/>
              </w:rPr>
              <w:t>$30</w:t>
            </w:r>
          </w:p>
        </w:tc>
        <w:tc>
          <w:tcPr>
            <w:tcW w:w="120" w:type="dxa"/>
            <w:vAlign w:val="bottom"/>
            <w:vMerge w:val="restart"/>
          </w:tcPr>
          <w:p>
            <w:pPr>
              <w:jc w:val="right"/>
              <w:spacing w:after="0" w:line="79" w:lineRule="exact"/>
              <w:rPr>
                <w:sz w:val="20"/>
                <w:szCs w:val="20"/>
                <w:color w:val="auto"/>
              </w:rPr>
            </w:pPr>
            <w:r>
              <w:rPr>
                <w:rFonts w:ascii="Arial" w:cs="Arial" w:eastAsia="Arial" w:hAnsi="Arial"/>
                <w:sz w:val="9"/>
                <w:szCs w:val="9"/>
                <w:color w:val="FFFFFF"/>
                <w:w w:val="99"/>
              </w:rPr>
              <w:t>%</w:t>
            </w:r>
          </w:p>
        </w:tc>
        <w:tc>
          <w:tcPr>
            <w:tcW w:w="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00" w:type="dxa"/>
            <w:vAlign w:val="bottom"/>
          </w:tcPr>
          <w:p>
            <w:pPr>
              <w:ind w:left="140"/>
              <w:spacing w:after="0" w:line="40" w:lineRule="exact"/>
              <w:rPr>
                <w:sz w:val="20"/>
                <w:szCs w:val="20"/>
                <w:color w:val="auto"/>
              </w:rPr>
            </w:pPr>
            <w:r>
              <w:rPr>
                <w:rFonts w:ascii="Arial" w:cs="Arial" w:eastAsia="Arial" w:hAnsi="Arial"/>
                <w:sz w:val="4"/>
                <w:szCs w:val="4"/>
                <w:color w:val="FFFFFF"/>
              </w:rPr>
              <w:t>5</w:t>
            </w:r>
          </w:p>
        </w:tc>
        <w:tc>
          <w:tcPr>
            <w:tcW w:w="120" w:type="dxa"/>
            <w:vAlign w:val="bottom"/>
            <w:vMerge w:val="continue"/>
          </w:tcPr>
          <w:p>
            <w:pPr>
              <w:spacing w:after="0"/>
              <w:rPr>
                <w:sz w:val="3"/>
                <w:szCs w:val="3"/>
                <w:color w:val="auto"/>
              </w:rPr>
            </w:pPr>
          </w:p>
        </w:tc>
        <w:tc>
          <w:tcPr>
            <w:tcW w:w="4400" w:type="dxa"/>
            <w:vAlign w:val="bottom"/>
            <w:gridSpan w:val="2"/>
            <w:vMerge w:val="restart"/>
          </w:tcPr>
          <w:p>
            <w:pPr>
              <w:ind w:left="40"/>
              <w:spacing w:after="0" w:line="79" w:lineRule="exact"/>
              <w:rPr>
                <w:sz w:val="20"/>
                <w:szCs w:val="20"/>
                <w:color w:val="auto"/>
              </w:rPr>
            </w:pPr>
            <w:r>
              <w:rPr>
                <w:rFonts w:ascii="Arial" w:cs="Arial" w:eastAsia="Arial" w:hAnsi="Arial"/>
                <w:sz w:val="9"/>
                <w:szCs w:val="9"/>
                <w:color w:val="FFFFFF"/>
              </w:rPr>
              <w:t>4.0%</w:t>
            </w:r>
          </w:p>
        </w:tc>
        <w:tc>
          <w:tcPr>
            <w:tcW w:w="0" w:type="dxa"/>
            <w:vAlign w:val="bottom"/>
          </w:tcPr>
          <w:p>
            <w:pPr>
              <w:spacing w:after="0" w:line="20" w:lineRule="exact"/>
              <w:rPr>
                <w:sz w:val="1"/>
                <w:szCs w:val="1"/>
                <w:color w:val="auto"/>
              </w:rPr>
            </w:pPr>
          </w:p>
        </w:tc>
      </w:tr>
      <w:tr>
        <w:trPr>
          <w:trHeight w:val="39"/>
        </w:trPr>
        <w:tc>
          <w:tcPr>
            <w:tcW w:w="300" w:type="dxa"/>
            <w:vAlign w:val="bottom"/>
          </w:tcPr>
          <w:p>
            <w:pPr>
              <w:spacing w:after="0" w:line="40" w:lineRule="exact"/>
              <w:rPr>
                <w:sz w:val="20"/>
                <w:szCs w:val="20"/>
                <w:color w:val="auto"/>
              </w:rPr>
            </w:pPr>
            <w:r>
              <w:rPr>
                <w:rFonts w:ascii="Arial" w:cs="Arial" w:eastAsia="Arial" w:hAnsi="Arial"/>
                <w:sz w:val="4"/>
                <w:szCs w:val="4"/>
                <w:color w:val="FFFFFF"/>
              </w:rPr>
              <w:t>$20</w:t>
            </w:r>
          </w:p>
        </w:tc>
        <w:tc>
          <w:tcPr>
            <w:tcW w:w="120" w:type="dxa"/>
            <w:vAlign w:val="bottom"/>
            <w:vMerge w:val="restart"/>
          </w:tcPr>
          <w:p>
            <w:pPr>
              <w:jc w:val="right"/>
              <w:spacing w:after="0" w:line="79" w:lineRule="exact"/>
              <w:rPr>
                <w:sz w:val="20"/>
                <w:szCs w:val="20"/>
                <w:color w:val="auto"/>
              </w:rPr>
            </w:pPr>
            <w:r>
              <w:rPr>
                <w:rFonts w:ascii="Arial" w:cs="Arial" w:eastAsia="Arial" w:hAnsi="Arial"/>
                <w:sz w:val="9"/>
                <w:szCs w:val="9"/>
                <w:color w:val="FFFFFF"/>
                <w:w w:val="99"/>
              </w:rPr>
              <w:t>%</w:t>
            </w:r>
          </w:p>
        </w:tc>
        <w:tc>
          <w:tcPr>
            <w:tcW w:w="44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00" w:type="dxa"/>
            <w:vAlign w:val="bottom"/>
          </w:tcPr>
          <w:p>
            <w:pPr>
              <w:ind w:left="140"/>
              <w:spacing w:after="0" w:line="40" w:lineRule="exact"/>
              <w:rPr>
                <w:sz w:val="20"/>
                <w:szCs w:val="20"/>
                <w:color w:val="auto"/>
              </w:rPr>
            </w:pPr>
            <w:r>
              <w:rPr>
                <w:rFonts w:ascii="Arial" w:cs="Arial" w:eastAsia="Arial" w:hAnsi="Arial"/>
                <w:sz w:val="4"/>
                <w:szCs w:val="4"/>
                <w:color w:val="FFFFFF"/>
              </w:rPr>
              <w:t>3</w:t>
            </w:r>
          </w:p>
        </w:tc>
        <w:tc>
          <w:tcPr>
            <w:tcW w:w="1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420" w:type="dxa"/>
            <w:vAlign w:val="bottom"/>
            <w:gridSpan w:val="2"/>
          </w:tcPr>
          <w:p>
            <w:pPr>
              <w:spacing w:after="0" w:line="79" w:lineRule="exact"/>
              <w:rPr>
                <w:sz w:val="20"/>
                <w:szCs w:val="20"/>
                <w:color w:val="auto"/>
              </w:rPr>
            </w:pPr>
            <w:r>
              <w:rPr>
                <w:rFonts w:ascii="Arial" w:cs="Arial" w:eastAsia="Arial" w:hAnsi="Arial"/>
                <w:sz w:val="7"/>
                <w:szCs w:val="7"/>
                <w:color w:val="FFFFFF"/>
              </w:rPr>
              <w:t>$10</w:t>
            </w:r>
            <w:r>
              <w:rPr>
                <w:rFonts w:ascii="Arial" w:cs="Arial" w:eastAsia="Arial" w:hAnsi="Arial"/>
                <w:sz w:val="9"/>
                <w:szCs w:val="9"/>
                <w:color w:val="FFFFFF"/>
                <w:vertAlign w:val="subscript"/>
              </w:rPr>
              <w:t>.0%</w:t>
            </w:r>
          </w:p>
        </w:tc>
        <w:tc>
          <w:tcPr>
            <w:tcW w:w="4400" w:type="dxa"/>
            <w:vAlign w:val="bottom"/>
            <w:gridSpan w:val="2"/>
            <w:vMerge w:val="restart"/>
          </w:tcPr>
          <w:p>
            <w:pPr>
              <w:ind w:left="40"/>
              <w:spacing w:after="0" w:line="118" w:lineRule="exact"/>
              <w:rPr>
                <w:sz w:val="20"/>
                <w:szCs w:val="20"/>
                <w:color w:val="auto"/>
              </w:rPr>
            </w:pPr>
            <w:r>
              <w:rPr>
                <w:rFonts w:ascii="Arial" w:cs="Arial" w:eastAsia="Arial" w:hAnsi="Arial"/>
                <w:sz w:val="13"/>
                <w:szCs w:val="13"/>
                <w:color w:val="FFFFFF"/>
              </w:rPr>
              <w:t>.0%</w:t>
            </w:r>
          </w:p>
        </w:tc>
        <w:tc>
          <w:tcPr>
            <w:tcW w:w="0" w:type="dxa"/>
            <w:vAlign w:val="bottom"/>
          </w:tcPr>
          <w:p>
            <w:pPr>
              <w:spacing w:after="0"/>
              <w:rPr>
                <w:sz w:val="1"/>
                <w:szCs w:val="1"/>
                <w:color w:val="auto"/>
              </w:rPr>
            </w:pPr>
          </w:p>
        </w:tc>
      </w:tr>
      <w:tr>
        <w:trPr>
          <w:trHeight w:val="39"/>
        </w:trPr>
        <w:tc>
          <w:tcPr>
            <w:tcW w:w="300" w:type="dxa"/>
            <w:vAlign w:val="bottom"/>
          </w:tcPr>
          <w:p>
            <w:pPr>
              <w:spacing w:after="0" w:line="40" w:lineRule="exact"/>
              <w:rPr>
                <w:sz w:val="20"/>
                <w:szCs w:val="20"/>
                <w:color w:val="auto"/>
              </w:rPr>
            </w:pPr>
            <w:r>
              <w:rPr>
                <w:rFonts w:ascii="Arial" w:cs="Arial" w:eastAsia="Arial" w:hAnsi="Arial"/>
                <w:sz w:val="4"/>
                <w:szCs w:val="4"/>
                <w:color w:val="FFFFFF"/>
              </w:rPr>
              <w:t>$0.0</w:t>
            </w:r>
          </w:p>
        </w:tc>
        <w:tc>
          <w:tcPr>
            <w:tcW w:w="120" w:type="dxa"/>
            <w:vAlign w:val="bottom"/>
          </w:tcPr>
          <w:p>
            <w:pPr>
              <w:spacing w:after="0"/>
              <w:rPr>
                <w:sz w:val="3"/>
                <w:szCs w:val="3"/>
                <w:color w:val="auto"/>
              </w:rPr>
            </w:pPr>
          </w:p>
        </w:tc>
        <w:tc>
          <w:tcPr>
            <w:tcW w:w="44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0"/>
        </w:trPr>
        <w:tc>
          <w:tcPr>
            <w:tcW w:w="300" w:type="dxa"/>
            <w:vAlign w:val="bottom"/>
          </w:tcPr>
          <w:p>
            <w:pPr>
              <w:spacing w:after="0"/>
              <w:rPr>
                <w:sz w:val="20"/>
                <w:szCs w:val="20"/>
                <w:color w:val="auto"/>
              </w:rPr>
            </w:pPr>
            <w:r>
              <w:rPr>
                <w:rFonts w:ascii="Arial" w:cs="Arial" w:eastAsia="Arial" w:hAnsi="Arial"/>
                <w:sz w:val="13"/>
                <w:szCs w:val="13"/>
                <w:color w:val="FFFFFF"/>
                <w:w w:val="96"/>
              </w:rPr>
              <w:t>2015</w:t>
            </w:r>
          </w:p>
        </w:tc>
        <w:tc>
          <w:tcPr>
            <w:tcW w:w="4520" w:type="dxa"/>
            <w:vAlign w:val="bottom"/>
            <w:gridSpan w:val="3"/>
          </w:tcPr>
          <w:p>
            <w:pPr>
              <w:jc w:val="right"/>
              <w:ind w:right="3618"/>
              <w:spacing w:after="0"/>
              <w:rPr>
                <w:sz w:val="20"/>
                <w:szCs w:val="20"/>
                <w:color w:val="auto"/>
              </w:rPr>
            </w:pPr>
            <w:r>
              <w:rPr>
                <w:rFonts w:ascii="Arial" w:cs="Arial" w:eastAsia="Arial" w:hAnsi="Arial"/>
                <w:sz w:val="13"/>
                <w:szCs w:val="13"/>
                <w:color w:val="FFFFFF"/>
                <w:w w:val="99"/>
              </w:rPr>
              <w:t>201620152016</w:t>
            </w:r>
          </w:p>
        </w:tc>
        <w:tc>
          <w:tcPr>
            <w:tcW w:w="0" w:type="dxa"/>
            <w:vAlign w:val="bottom"/>
          </w:tcPr>
          <w:p>
            <w:pPr>
              <w:spacing w:after="0" w:line="20" w:lineRule="exact"/>
              <w:rPr>
                <w:sz w:val="1"/>
                <w:szCs w:val="1"/>
                <w:color w:val="auto"/>
              </w:rPr>
            </w:pPr>
          </w:p>
        </w:tc>
      </w:tr>
    </w:tbl>
    <w:p>
      <w:pPr>
        <w:spacing w:after="0" w:line="187" w:lineRule="auto"/>
        <w:tabs>
          <w:tab w:leader="none" w:pos="220" w:val="left"/>
        </w:tabs>
        <w:rPr>
          <w:sz w:val="20"/>
          <w:szCs w:val="20"/>
          <w:color w:val="auto"/>
        </w:rPr>
      </w:pPr>
      <w:r>
        <w:rPr>
          <w:rFonts w:ascii="Arial" w:cs="Arial" w:eastAsia="Arial" w:hAnsi="Arial"/>
          <w:sz w:val="13"/>
          <w:szCs w:val="13"/>
          <w:color w:val="FFFFFF"/>
        </w:rPr>
        <w:t>8</w:t>
        <w:tab/>
        <w:t>JV Contribution</w:t>
      </w:r>
    </w:p>
    <w:p>
      <w:pPr>
        <w:sectPr>
          <w:pgSz w:w="11900" w:h="16838" w:orient="portrait"/>
          <w:cols w:equalWidth="0" w:num="1">
            <w:col w:w="10219"/>
          </w:cols>
          <w:pgMar w:left="24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color w:val="FFFFFF"/>
        </w:rPr>
        <w:t>PrecisionNetSalesAdjustedBearingComponentsOperating GroupMargin</w:t>
      </w:r>
    </w:p>
    <w:p>
      <w:pPr>
        <w:spacing w:after="0" w:line="204" w:lineRule="auto"/>
        <w:tabs>
          <w:tab w:leader="none" w:pos="2260" w:val="left"/>
        </w:tabs>
        <w:rPr>
          <w:sz w:val="20"/>
          <w:szCs w:val="20"/>
          <w:color w:val="auto"/>
        </w:rPr>
      </w:pPr>
      <w:r>
        <w:rPr>
          <w:rFonts w:ascii="Arial" w:cs="Arial" w:eastAsia="Arial" w:hAnsi="Arial"/>
          <w:sz w:val="4"/>
          <w:szCs w:val="4"/>
          <w:color w:val="FFFFFF"/>
        </w:rPr>
        <w:t>Weaknessdecline in industrial markets drove the</w:t>
      </w:r>
      <w:r>
        <w:rPr>
          <w:sz w:val="20"/>
          <w:szCs w:val="20"/>
          <w:color w:val="auto"/>
        </w:rPr>
        <w:tab/>
      </w:r>
      <w:r>
        <w:rPr>
          <w:rFonts w:ascii="Arial" w:cs="Arial" w:eastAsia="Arial" w:hAnsi="Arial"/>
          <w:sz w:val="4"/>
          <w:szCs w:val="4"/>
          <w:color w:val="FFFFFF"/>
        </w:rPr>
        <w:t>Margins flexing in line with expectations</w:t>
      </w:r>
    </w:p>
    <w:p>
      <w:pPr>
        <w:spacing w:after="0" w:line="182" w:lineRule="auto"/>
        <w:rPr>
          <w:sz w:val="20"/>
          <w:szCs w:val="20"/>
          <w:color w:val="auto"/>
        </w:rPr>
      </w:pPr>
      <w:r>
        <w:rPr>
          <w:rFonts w:ascii="Arial" w:cs="Arial" w:eastAsia="Arial" w:hAnsi="Arial"/>
          <w:sz w:val="9"/>
          <w:szCs w:val="9"/>
          <w:color w:val="FFFFFF"/>
        </w:rPr>
        <w:t>In Millions</w:t>
      </w:r>
    </w:p>
    <w:p>
      <w:pPr>
        <w:jc w:val="right"/>
        <w:ind w:right="9399"/>
        <w:spacing w:after="0" w:line="206" w:lineRule="auto"/>
        <w:rPr>
          <w:sz w:val="20"/>
          <w:szCs w:val="20"/>
          <w:color w:val="auto"/>
        </w:rPr>
      </w:pPr>
      <w:r>
        <w:rPr>
          <w:rFonts w:ascii="Arial" w:cs="Arial" w:eastAsia="Arial" w:hAnsi="Arial"/>
          <w:sz w:val="4"/>
          <w:szCs w:val="4"/>
          <w:color w:val="FFFFFF"/>
        </w:rPr>
        <w:t>$80.013.0%13.7%14.0%</w:t>
      </w:r>
    </w:p>
    <w:p>
      <w:pPr>
        <w:ind w:left="80"/>
        <w:spacing w:after="0" w:line="182" w:lineRule="auto"/>
        <w:rPr>
          <w:sz w:val="20"/>
          <w:szCs w:val="20"/>
          <w:color w:val="auto"/>
        </w:rPr>
      </w:pPr>
      <w:r>
        <w:rPr>
          <w:rFonts w:ascii="Arial" w:cs="Arial" w:eastAsia="Arial" w:hAnsi="Arial"/>
          <w:sz w:val="7"/>
          <w:szCs w:val="7"/>
          <w:color w:val="FFFFFF"/>
        </w:rPr>
        <w:t>70</w:t>
      </w:r>
      <w:r>
        <w:rPr>
          <w:rFonts w:ascii="Arial" w:cs="Arial" w:eastAsia="Arial" w:hAnsi="Arial"/>
          <w:sz w:val="9"/>
          <w:szCs w:val="9"/>
          <w:color w:val="FFFFFF"/>
          <w:vertAlign w:val="superscript"/>
        </w:rPr>
        <w:t>9</w:t>
      </w:r>
      <w:r>
        <w:rPr>
          <w:rFonts w:ascii="Arial" w:cs="Arial" w:eastAsia="Arial" w:hAnsi="Arial"/>
          <w:sz w:val="7"/>
          <w:szCs w:val="7"/>
          <w:color w:val="FFFFFF"/>
        </w:rPr>
        <w:t xml:space="preserve"> 0</w:t>
      </w:r>
    </w:p>
    <w:p>
      <w:pPr>
        <w:jc w:val="right"/>
        <w:ind w:right="9119"/>
        <w:spacing w:after="0" w:line="234" w:lineRule="auto"/>
        <w:tabs>
          <w:tab w:leader="none" w:pos="3980" w:val="left"/>
        </w:tabs>
        <w:rPr>
          <w:sz w:val="20"/>
          <w:szCs w:val="20"/>
          <w:color w:val="auto"/>
        </w:rPr>
      </w:pPr>
      <w:r>
        <w:rPr>
          <w:rFonts w:ascii="Arial" w:cs="Arial" w:eastAsia="Arial" w:hAnsi="Arial"/>
          <w:sz w:val="7"/>
          <w:szCs w:val="7"/>
          <w:color w:val="FFFFFF"/>
        </w:rPr>
        <w:t>$60.0</w:t>
      </w:r>
      <w:r>
        <w:rPr>
          <w:rFonts w:ascii="Arial" w:cs="Arial" w:eastAsia="Arial" w:hAnsi="Arial"/>
          <w:sz w:val="9"/>
          <w:szCs w:val="9"/>
          <w:color w:val="FFFFFF"/>
          <w:vertAlign w:val="superscript"/>
        </w:rPr>
        <w:t>3</w:t>
      </w:r>
      <w:r>
        <w:rPr>
          <w:sz w:val="20"/>
          <w:szCs w:val="20"/>
          <w:color w:val="auto"/>
        </w:rPr>
        <w:tab/>
      </w:r>
      <w:r>
        <w:rPr>
          <w:rFonts w:ascii="Arial" w:cs="Arial" w:eastAsia="Arial" w:hAnsi="Arial"/>
          <w:sz w:val="7"/>
          <w:szCs w:val="7"/>
          <w:color w:val="FFFFFF"/>
          <w:vertAlign w:val="superscript"/>
        </w:rPr>
        <w:t>12.</w:t>
      </w:r>
      <w:r>
        <w:rPr>
          <w:rFonts w:ascii="Arial" w:cs="Arial" w:eastAsia="Arial" w:hAnsi="Arial"/>
          <w:sz w:val="7"/>
          <w:szCs w:val="7"/>
          <w:color w:val="FFFFFF"/>
        </w:rPr>
        <w:t>$65.210%12.0%</w:t>
      </w:r>
      <w:r>
        <w:rPr>
          <w:rFonts w:ascii="Arial" w:cs="Arial" w:eastAsia="Arial" w:hAnsi="Arial"/>
          <w:sz w:val="7"/>
          <w:szCs w:val="7"/>
          <w:color w:val="FFFFFF"/>
          <w:vertAlign w:val="superscript"/>
        </w:rPr>
        <w:t>.6%</w:t>
      </w:r>
    </w:p>
    <w:p>
      <w:pPr>
        <w:spacing w:after="0" w:line="182" w:lineRule="auto"/>
        <w:rPr>
          <w:sz w:val="20"/>
          <w:szCs w:val="20"/>
          <w:color w:val="auto"/>
        </w:rPr>
      </w:pPr>
      <w:r>
        <w:rPr>
          <w:rFonts w:ascii="Arial" w:cs="Arial" w:eastAsia="Arial" w:hAnsi="Arial"/>
          <w:sz w:val="7"/>
          <w:szCs w:val="7"/>
          <w:color w:val="FFFFFF"/>
        </w:rPr>
        <w:t>$5010.0%</w:t>
      </w:r>
      <w:r>
        <w:rPr>
          <w:rFonts w:ascii="Arial" w:cs="Arial" w:eastAsia="Arial" w:hAnsi="Arial"/>
          <w:sz w:val="9"/>
          <w:szCs w:val="9"/>
          <w:color w:val="FFFFFF"/>
          <w:vertAlign w:val="superscript"/>
        </w:rPr>
        <w:t>%</w:t>
      </w:r>
      <w:r>
        <w:rPr>
          <w:rFonts w:ascii="Arial" w:cs="Arial" w:eastAsia="Arial" w:hAnsi="Arial"/>
          <w:sz w:val="7"/>
          <w:szCs w:val="7"/>
          <w:color w:val="FFFFFF"/>
        </w:rPr>
        <w:t>9.0%</w:t>
      </w:r>
    </w:p>
    <w:p>
      <w:pPr>
        <w:spacing w:after="0" w:line="183" w:lineRule="auto"/>
        <w:rPr>
          <w:sz w:val="20"/>
          <w:szCs w:val="20"/>
          <w:color w:val="auto"/>
        </w:rPr>
      </w:pPr>
      <w:r>
        <w:rPr>
          <w:rFonts w:ascii="Arial" w:cs="Arial" w:eastAsia="Arial" w:hAnsi="Arial"/>
          <w:sz w:val="7"/>
          <w:szCs w:val="7"/>
          <w:color w:val="FFFFFF"/>
        </w:rPr>
        <w:t xml:space="preserve">$408  </w:t>
      </w:r>
      <w:r>
        <w:rPr>
          <w:rFonts w:ascii="Arial" w:cs="Arial" w:eastAsia="Arial" w:hAnsi="Arial"/>
          <w:sz w:val="9"/>
          <w:szCs w:val="9"/>
          <w:color w:val="FFFFFF"/>
          <w:vertAlign w:val="superscript"/>
        </w:rPr>
        <w:t>%</w:t>
      </w:r>
    </w:p>
    <w:p>
      <w:pPr>
        <w:spacing w:after="0" w:line="182" w:lineRule="auto"/>
        <w:rPr>
          <w:sz w:val="20"/>
          <w:szCs w:val="20"/>
          <w:color w:val="auto"/>
        </w:rPr>
      </w:pPr>
      <w:r>
        <w:rPr>
          <w:rFonts w:ascii="Arial" w:cs="Arial" w:eastAsia="Arial" w:hAnsi="Arial"/>
          <w:sz w:val="7"/>
          <w:szCs w:val="7"/>
          <w:color w:val="FFFFFF"/>
        </w:rPr>
        <w:t xml:space="preserve">$307  </w:t>
      </w:r>
      <w:r>
        <w:rPr>
          <w:rFonts w:ascii="Arial" w:cs="Arial" w:eastAsia="Arial" w:hAnsi="Arial"/>
          <w:sz w:val="9"/>
          <w:szCs w:val="9"/>
          <w:color w:val="FFFFFF"/>
          <w:vertAlign w:val="superscript"/>
        </w:rPr>
        <w:t>%</w:t>
      </w:r>
      <w:r>
        <w:rPr>
          <w:rFonts w:ascii="Arial" w:cs="Arial" w:eastAsia="Arial" w:hAnsi="Arial"/>
          <w:sz w:val="7"/>
          <w:szCs w:val="7"/>
          <w:color w:val="FFFFFF"/>
        </w:rPr>
        <w:t xml:space="preserve"> 6.0%</w:t>
      </w:r>
    </w:p>
    <w:p>
      <w:pPr>
        <w:spacing w:after="0" w:line="182" w:lineRule="auto"/>
        <w:rPr>
          <w:sz w:val="20"/>
          <w:szCs w:val="20"/>
          <w:color w:val="auto"/>
        </w:rPr>
      </w:pPr>
      <w:r>
        <w:rPr>
          <w:rFonts w:ascii="Arial" w:cs="Arial" w:eastAsia="Arial" w:hAnsi="Arial"/>
          <w:sz w:val="7"/>
          <w:szCs w:val="7"/>
          <w:color w:val="FFFFFF"/>
        </w:rPr>
        <w:t xml:space="preserve">$205  </w:t>
      </w:r>
      <w:r>
        <w:rPr>
          <w:rFonts w:ascii="Arial" w:cs="Arial" w:eastAsia="Arial" w:hAnsi="Arial"/>
          <w:sz w:val="9"/>
          <w:szCs w:val="9"/>
          <w:color w:val="FFFFFF"/>
          <w:vertAlign w:val="superscript"/>
        </w:rPr>
        <w:t>%</w:t>
      </w:r>
      <w:r>
        <w:rPr>
          <w:rFonts w:ascii="Arial" w:cs="Arial" w:eastAsia="Arial" w:hAnsi="Arial"/>
          <w:sz w:val="7"/>
          <w:szCs w:val="7"/>
          <w:color w:val="FFFFFF"/>
        </w:rPr>
        <w:t xml:space="preserve"> 4.0%</w:t>
      </w:r>
    </w:p>
    <w:p>
      <w:pPr>
        <w:spacing w:after="0" w:line="205" w:lineRule="auto"/>
        <w:rPr>
          <w:sz w:val="20"/>
          <w:szCs w:val="20"/>
          <w:color w:val="auto"/>
        </w:rPr>
      </w:pPr>
      <w:r>
        <w:rPr>
          <w:rFonts w:ascii="Arial" w:cs="Arial" w:eastAsia="Arial" w:hAnsi="Arial"/>
          <w:sz w:val="2"/>
          <w:szCs w:val="2"/>
          <w:color w:val="FFFFFF"/>
        </w:rPr>
        <w:t>$103</w:t>
      </w:r>
      <w:r>
        <w:rPr>
          <w:rFonts w:ascii="Arial" w:cs="Arial" w:eastAsia="Arial" w:hAnsi="Arial"/>
          <w:sz w:val="4"/>
          <w:szCs w:val="4"/>
          <w:color w:val="FFFFFF"/>
          <w:vertAlign w:val="subscript"/>
        </w:rPr>
        <w:t>.0%</w:t>
      </w:r>
    </w:p>
    <w:p>
      <w:pPr>
        <w:spacing w:after="0" w:line="185" w:lineRule="auto"/>
        <w:tabs>
          <w:tab w:leader="none" w:pos="380" w:val="left"/>
        </w:tabs>
        <w:rPr>
          <w:sz w:val="20"/>
          <w:szCs w:val="20"/>
          <w:color w:val="auto"/>
        </w:rPr>
      </w:pPr>
      <w:r>
        <w:rPr>
          <w:rFonts w:ascii="Arial" w:cs="Arial" w:eastAsia="Arial" w:hAnsi="Arial"/>
          <w:sz w:val="8"/>
          <w:szCs w:val="8"/>
          <w:color w:val="FFFFFF"/>
        </w:rPr>
        <w:t>2015</w:t>
      </w:r>
      <w:r>
        <w:rPr>
          <w:rFonts w:ascii="Arial" w:cs="Arial" w:eastAsia="Arial" w:hAnsi="Arial"/>
          <w:sz w:val="13"/>
          <w:szCs w:val="13"/>
          <w:color w:val="FFFFFF"/>
          <w:vertAlign w:val="superscript"/>
        </w:rPr>
        <w:t>$0.0</w:t>
      </w:r>
      <w:r>
        <w:rPr>
          <w:sz w:val="20"/>
          <w:szCs w:val="20"/>
          <w:color w:val="auto"/>
        </w:rPr>
        <w:tab/>
      </w:r>
      <w:r>
        <w:rPr>
          <w:rFonts w:ascii="Arial" w:cs="Arial" w:eastAsia="Arial" w:hAnsi="Arial"/>
          <w:sz w:val="7"/>
          <w:szCs w:val="7"/>
          <w:color w:val="FFFFFF"/>
        </w:rPr>
        <w:t>201620152016</w:t>
      </w:r>
      <w:r>
        <w:rPr>
          <w:rFonts w:ascii="Arial" w:cs="Arial" w:eastAsia="Arial" w:hAnsi="Arial"/>
          <w:sz w:val="10"/>
          <w:szCs w:val="10"/>
          <w:color w:val="FFFFFF"/>
          <w:vertAlign w:val="superscript"/>
        </w:rPr>
        <w:t>.0%</w:t>
      </w:r>
    </w:p>
    <w:p>
      <w:pPr>
        <w:spacing w:after="0"/>
        <w:rPr>
          <w:sz w:val="20"/>
          <w:szCs w:val="20"/>
          <w:color w:val="auto"/>
        </w:rPr>
      </w:pPr>
      <w:r>
        <w:rPr>
          <w:rFonts w:ascii="Arial" w:cs="Arial" w:eastAsia="Arial" w:hAnsi="Arial"/>
          <w:sz w:val="13"/>
          <w:szCs w:val="13"/>
          <w:color w:val="FFFFFF"/>
        </w:rPr>
        <w:t>9</w:t>
      </w:r>
    </w:p>
    <w:p>
      <w:pPr>
        <w:sectPr>
          <w:pgSz w:w="11900" w:h="16838" w:orient="portrait"/>
          <w:cols w:equalWidth="0" w:num="1">
            <w:col w:w="10219"/>
          </w:cols>
          <w:pgMar w:left="240" w:top="1440" w:right="144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gridSpan w:val="7"/>
          </w:tcPr>
          <w:p>
            <w:pPr>
              <w:spacing w:after="0"/>
              <w:rPr>
                <w:sz w:val="20"/>
                <w:szCs w:val="20"/>
                <w:color w:val="auto"/>
              </w:rPr>
            </w:pPr>
            <w:r>
              <w:rPr>
                <w:rFonts w:ascii="Arial" w:cs="Arial" w:eastAsia="Arial" w:hAnsi="Arial"/>
                <w:sz w:val="13"/>
                <w:szCs w:val="13"/>
                <w:color w:val="FFFFFF"/>
              </w:rPr>
              <w:t>Precision Engineered Products Group</w:t>
            </w:r>
          </w:p>
        </w:tc>
        <w:tc>
          <w:tcPr>
            <w:tcW w:w="0" w:type="dxa"/>
            <w:vAlign w:val="bottom"/>
          </w:tcPr>
          <w:p>
            <w:pPr>
              <w:spacing w:after="0"/>
              <w:rPr>
                <w:sz w:val="1"/>
                <w:szCs w:val="1"/>
                <w:color w:val="auto"/>
              </w:rPr>
            </w:pPr>
          </w:p>
        </w:tc>
      </w:tr>
      <w:tr>
        <w:trPr>
          <w:trHeight w:val="39"/>
        </w:trPr>
        <w:tc>
          <w:tcPr>
            <w:tcW w:w="600" w:type="dxa"/>
            <w:vAlign w:val="bottom"/>
            <w:gridSpan w:val="5"/>
          </w:tcPr>
          <w:p>
            <w:pPr>
              <w:spacing w:after="0" w:line="40" w:lineRule="exact"/>
              <w:rPr>
                <w:sz w:val="20"/>
                <w:szCs w:val="20"/>
                <w:color w:val="auto"/>
              </w:rPr>
            </w:pPr>
            <w:r>
              <w:rPr>
                <w:rFonts w:ascii="Arial" w:cs="Arial" w:eastAsia="Arial" w:hAnsi="Arial"/>
                <w:sz w:val="4"/>
                <w:szCs w:val="4"/>
                <w:color w:val="FFFFFF"/>
              </w:rPr>
              <w:t>Net Sales</w:t>
            </w:r>
          </w:p>
        </w:tc>
        <w:tc>
          <w:tcPr>
            <w:tcW w:w="3520" w:type="dxa"/>
            <w:vAlign w:val="bottom"/>
            <w:gridSpan w:val="2"/>
          </w:tcPr>
          <w:p>
            <w:pPr>
              <w:jc w:val="right"/>
              <w:ind w:right="2007"/>
              <w:spacing w:after="0" w:line="40" w:lineRule="exact"/>
              <w:rPr>
                <w:sz w:val="20"/>
                <w:szCs w:val="20"/>
                <w:color w:val="auto"/>
              </w:rPr>
            </w:pPr>
            <w:r>
              <w:rPr>
                <w:rFonts w:ascii="Arial" w:cs="Arial" w:eastAsia="Arial" w:hAnsi="Arial"/>
                <w:sz w:val="4"/>
                <w:szCs w:val="4"/>
                <w:color w:val="FFFFFF"/>
              </w:rPr>
              <w:t>Adjusted Operating Margin</w:t>
            </w:r>
          </w:p>
        </w:tc>
        <w:tc>
          <w:tcPr>
            <w:tcW w:w="0" w:type="dxa"/>
            <w:vAlign w:val="bottom"/>
          </w:tcPr>
          <w:p>
            <w:pPr>
              <w:spacing w:after="0" w:line="20" w:lineRule="exact"/>
              <w:rPr>
                <w:sz w:val="1"/>
                <w:szCs w:val="1"/>
                <w:color w:val="auto"/>
              </w:rPr>
            </w:pPr>
          </w:p>
        </w:tc>
      </w:tr>
      <w:tr>
        <w:trPr>
          <w:trHeight w:val="39"/>
        </w:trPr>
        <w:tc>
          <w:tcPr>
            <w:tcW w:w="4120" w:type="dxa"/>
            <w:vAlign w:val="bottom"/>
            <w:gridSpan w:val="7"/>
          </w:tcPr>
          <w:p>
            <w:pPr>
              <w:spacing w:after="0" w:line="40" w:lineRule="exact"/>
              <w:rPr>
                <w:sz w:val="20"/>
                <w:szCs w:val="20"/>
                <w:color w:val="auto"/>
              </w:rPr>
            </w:pPr>
            <w:r>
              <w:rPr>
                <w:rFonts w:ascii="Arial" w:cs="Arial" w:eastAsia="Arial" w:hAnsi="Arial"/>
                <w:sz w:val="4"/>
                <w:szCs w:val="4"/>
                <w:color w:val="FFFFFF"/>
              </w:rPr>
              <w:t>Acquisition of PEP added $58M  380bps improvement compared to Q1 2016</w:t>
            </w:r>
          </w:p>
        </w:tc>
        <w:tc>
          <w:tcPr>
            <w:tcW w:w="0" w:type="dxa"/>
            <w:vAlign w:val="bottom"/>
          </w:tcPr>
          <w:p>
            <w:pPr>
              <w:spacing w:after="0" w:line="20" w:lineRule="exact"/>
              <w:rPr>
                <w:sz w:val="1"/>
                <w:szCs w:val="1"/>
                <w:color w:val="auto"/>
              </w:rPr>
            </w:pPr>
          </w:p>
        </w:tc>
      </w:tr>
      <w:tr>
        <w:trPr>
          <w:trHeight w:val="39"/>
        </w:trPr>
        <w:tc>
          <w:tcPr>
            <w:tcW w:w="600" w:type="dxa"/>
            <w:vAlign w:val="bottom"/>
            <w:gridSpan w:val="5"/>
          </w:tcPr>
          <w:p>
            <w:pPr>
              <w:spacing w:after="0" w:line="40" w:lineRule="exact"/>
              <w:rPr>
                <w:sz w:val="20"/>
                <w:szCs w:val="20"/>
                <w:color w:val="auto"/>
              </w:rPr>
            </w:pPr>
            <w:r>
              <w:rPr>
                <w:rFonts w:ascii="Arial" w:cs="Arial" w:eastAsia="Arial" w:hAnsi="Arial"/>
                <w:sz w:val="4"/>
                <w:szCs w:val="4"/>
                <w:color w:val="FFFFFF"/>
              </w:rPr>
              <w:t>In Millions</w:t>
            </w:r>
          </w:p>
        </w:tc>
        <w:tc>
          <w:tcPr>
            <w:tcW w:w="100" w:type="dxa"/>
            <w:vAlign w:val="bottom"/>
          </w:tcPr>
          <w:p>
            <w:pPr>
              <w:spacing w:after="0"/>
              <w:rPr>
                <w:sz w:val="3"/>
                <w:szCs w:val="3"/>
                <w:color w:val="auto"/>
              </w:rPr>
            </w:pPr>
          </w:p>
        </w:tc>
        <w:tc>
          <w:tcPr>
            <w:tcW w:w="3420" w:type="dxa"/>
            <w:vAlign w:val="bottom"/>
          </w:tcPr>
          <w:p>
            <w:pPr>
              <w:jc w:val="right"/>
              <w:ind w:right="2987"/>
              <w:spacing w:after="0" w:line="40" w:lineRule="exact"/>
              <w:rPr>
                <w:sz w:val="20"/>
                <w:szCs w:val="20"/>
                <w:color w:val="auto"/>
              </w:rPr>
            </w:pPr>
            <w:r>
              <w:rPr>
                <w:rFonts w:ascii="Arial" w:cs="Arial" w:eastAsia="Arial" w:hAnsi="Arial"/>
                <w:sz w:val="4"/>
                <w:szCs w:val="4"/>
                <w:color w:val="FFFFFF"/>
              </w:rPr>
              <w:t>26.0%</w:t>
            </w:r>
          </w:p>
        </w:tc>
        <w:tc>
          <w:tcPr>
            <w:tcW w:w="0" w:type="dxa"/>
            <w:vAlign w:val="bottom"/>
          </w:tcPr>
          <w:p>
            <w:pPr>
              <w:spacing w:after="0" w:line="20" w:lineRule="exact"/>
              <w:rPr>
                <w:sz w:val="1"/>
                <w:szCs w:val="1"/>
                <w:color w:val="auto"/>
              </w:rPr>
            </w:pPr>
          </w:p>
        </w:tc>
      </w:tr>
      <w:tr>
        <w:trPr>
          <w:trHeight w:val="39"/>
        </w:trPr>
        <w:tc>
          <w:tcPr>
            <w:tcW w:w="300" w:type="dxa"/>
            <w:vAlign w:val="bottom"/>
            <w:gridSpan w:val="3"/>
          </w:tcPr>
          <w:p>
            <w:pPr>
              <w:spacing w:after="0" w:line="40" w:lineRule="exact"/>
              <w:rPr>
                <w:sz w:val="20"/>
                <w:szCs w:val="20"/>
                <w:color w:val="auto"/>
              </w:rPr>
            </w:pPr>
            <w:r>
              <w:rPr>
                <w:rFonts w:ascii="Arial" w:cs="Arial" w:eastAsia="Arial" w:hAnsi="Arial"/>
                <w:sz w:val="4"/>
                <w:szCs w:val="4"/>
                <w:color w:val="FFFFFF"/>
              </w:rPr>
              <w:t>$70.0</w:t>
            </w: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980" w:type="dxa"/>
            <w:vAlign w:val="bottom"/>
            <w:gridSpan w:val="5"/>
          </w:tcPr>
          <w:p>
            <w:pPr>
              <w:spacing w:after="0" w:line="40" w:lineRule="exact"/>
              <w:rPr>
                <w:sz w:val="20"/>
                <w:szCs w:val="20"/>
                <w:color w:val="auto"/>
              </w:rPr>
            </w:pPr>
            <w:r>
              <w:rPr>
                <w:rFonts w:ascii="Arial" w:cs="Arial" w:eastAsia="Arial" w:hAnsi="Arial"/>
                <w:sz w:val="4"/>
                <w:szCs w:val="4"/>
                <w:color w:val="FFFFFF"/>
              </w:rPr>
              <w:t>24.0%24.6%</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980" w:type="dxa"/>
            <w:vAlign w:val="bottom"/>
            <w:gridSpan w:val="5"/>
          </w:tcPr>
          <w:p>
            <w:pPr>
              <w:spacing w:after="0" w:line="40" w:lineRule="exact"/>
              <w:rPr>
                <w:sz w:val="20"/>
                <w:szCs w:val="20"/>
                <w:color w:val="auto"/>
              </w:rPr>
            </w:pPr>
            <w:r>
              <w:rPr>
                <w:rFonts w:ascii="Arial" w:cs="Arial" w:eastAsia="Arial" w:hAnsi="Arial"/>
                <w:sz w:val="4"/>
                <w:szCs w:val="4"/>
                <w:color w:val="FFFFFF"/>
              </w:rPr>
              <w:t>$66.122.0%</w:t>
            </w:r>
          </w:p>
        </w:tc>
        <w:tc>
          <w:tcPr>
            <w:tcW w:w="0" w:type="dxa"/>
            <w:vAlign w:val="bottom"/>
          </w:tcPr>
          <w:p>
            <w:pPr>
              <w:spacing w:after="0" w:line="20" w:lineRule="exact"/>
              <w:rPr>
                <w:sz w:val="1"/>
                <w:szCs w:val="1"/>
                <w:color w:val="auto"/>
              </w:rPr>
            </w:pPr>
          </w:p>
        </w:tc>
      </w:tr>
      <w:tr>
        <w:trPr>
          <w:trHeight w:val="39"/>
        </w:trPr>
        <w:tc>
          <w:tcPr>
            <w:tcW w:w="300" w:type="dxa"/>
            <w:vAlign w:val="bottom"/>
            <w:gridSpan w:val="3"/>
          </w:tcPr>
          <w:p>
            <w:pPr>
              <w:spacing w:after="0" w:line="40" w:lineRule="exact"/>
              <w:rPr>
                <w:sz w:val="20"/>
                <w:szCs w:val="20"/>
                <w:color w:val="auto"/>
              </w:rPr>
            </w:pPr>
            <w:r>
              <w:rPr>
                <w:rFonts w:ascii="Arial" w:cs="Arial" w:eastAsia="Arial" w:hAnsi="Arial"/>
                <w:sz w:val="4"/>
                <w:szCs w:val="4"/>
                <w:color w:val="FFFFFF"/>
              </w:rPr>
              <w:t>$60.0</w:t>
            </w: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gridSpan w:val="3"/>
          </w:tcPr>
          <w:p>
            <w:pPr>
              <w:spacing w:after="0" w:line="40" w:lineRule="exact"/>
              <w:rPr>
                <w:sz w:val="20"/>
                <w:szCs w:val="20"/>
                <w:color w:val="auto"/>
              </w:rPr>
            </w:pPr>
            <w:r>
              <w:rPr>
                <w:rFonts w:ascii="Arial" w:cs="Arial" w:eastAsia="Arial" w:hAnsi="Arial"/>
                <w:sz w:val="4"/>
                <w:szCs w:val="4"/>
                <w:color w:val="FFFFFF"/>
              </w:rPr>
              <w:t>20.0%</w:t>
            </w:r>
          </w:p>
        </w:tc>
        <w:tc>
          <w:tcPr>
            <w:tcW w:w="1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00" w:type="dxa"/>
            <w:vAlign w:val="bottom"/>
            <w:gridSpan w:val="3"/>
          </w:tcPr>
          <w:p>
            <w:pPr>
              <w:spacing w:after="0" w:line="40" w:lineRule="exact"/>
              <w:rPr>
                <w:sz w:val="20"/>
                <w:szCs w:val="20"/>
                <w:color w:val="auto"/>
              </w:rPr>
            </w:pPr>
            <w:r>
              <w:rPr>
                <w:rFonts w:ascii="Arial" w:cs="Arial" w:eastAsia="Arial" w:hAnsi="Arial"/>
                <w:sz w:val="4"/>
                <w:szCs w:val="4"/>
                <w:color w:val="FFFFFF"/>
              </w:rPr>
              <w:t>$50.0</w:t>
            </w:r>
          </w:p>
        </w:tc>
        <w:tc>
          <w:tcPr>
            <w:tcW w:w="160" w:type="dxa"/>
            <w:vAlign w:val="bottom"/>
          </w:tcPr>
          <w:p>
            <w:pPr>
              <w:spacing w:after="0"/>
              <w:rPr>
                <w:sz w:val="3"/>
                <w:szCs w:val="3"/>
                <w:color w:val="auto"/>
              </w:rPr>
            </w:pPr>
          </w:p>
        </w:tc>
        <w:tc>
          <w:tcPr>
            <w:tcW w:w="3660" w:type="dxa"/>
            <w:vAlign w:val="bottom"/>
            <w:gridSpan w:val="3"/>
          </w:tcPr>
          <w:p>
            <w:pPr>
              <w:spacing w:after="0" w:line="40" w:lineRule="exact"/>
              <w:rPr>
                <w:sz w:val="20"/>
                <w:szCs w:val="20"/>
                <w:color w:val="auto"/>
              </w:rPr>
            </w:pPr>
            <w:r>
              <w:rPr>
                <w:rFonts w:ascii="Arial" w:cs="Arial" w:eastAsia="Arial" w:hAnsi="Arial"/>
                <w:sz w:val="4"/>
                <w:szCs w:val="4"/>
                <w:color w:val="FFFFFF"/>
              </w:rPr>
              <w:t>18.0%</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gridSpan w:val="3"/>
          </w:tcPr>
          <w:p>
            <w:pPr>
              <w:spacing w:after="0" w:line="40" w:lineRule="exact"/>
              <w:rPr>
                <w:sz w:val="20"/>
                <w:szCs w:val="20"/>
                <w:color w:val="auto"/>
              </w:rPr>
            </w:pPr>
            <w:r>
              <w:rPr>
                <w:rFonts w:ascii="Arial" w:cs="Arial" w:eastAsia="Arial" w:hAnsi="Arial"/>
                <w:sz w:val="4"/>
                <w:szCs w:val="4"/>
                <w:color w:val="FFFFFF"/>
              </w:rPr>
              <w:t>16.0%</w:t>
            </w:r>
          </w:p>
        </w:tc>
        <w:tc>
          <w:tcPr>
            <w:tcW w:w="1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00" w:type="dxa"/>
            <w:vAlign w:val="bottom"/>
            <w:gridSpan w:val="3"/>
          </w:tcPr>
          <w:p>
            <w:pPr>
              <w:spacing w:after="0" w:line="40" w:lineRule="exact"/>
              <w:rPr>
                <w:sz w:val="20"/>
                <w:szCs w:val="20"/>
                <w:color w:val="auto"/>
              </w:rPr>
            </w:pPr>
            <w:r>
              <w:rPr>
                <w:rFonts w:ascii="Arial" w:cs="Arial" w:eastAsia="Arial" w:hAnsi="Arial"/>
                <w:sz w:val="4"/>
                <w:szCs w:val="4"/>
                <w:color w:val="FFFFFF"/>
              </w:rPr>
              <w:t>$40.0</w:t>
            </w: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gridSpan w:val="3"/>
          </w:tcPr>
          <w:p>
            <w:pPr>
              <w:spacing w:after="0" w:line="40" w:lineRule="exact"/>
              <w:rPr>
                <w:sz w:val="20"/>
                <w:szCs w:val="20"/>
                <w:color w:val="auto"/>
              </w:rPr>
            </w:pPr>
            <w:r>
              <w:rPr>
                <w:rFonts w:ascii="Arial" w:cs="Arial" w:eastAsia="Arial" w:hAnsi="Arial"/>
                <w:sz w:val="4"/>
                <w:szCs w:val="4"/>
                <w:color w:val="FFFFFF"/>
              </w:rPr>
              <w:t>14.0%</w:t>
            </w:r>
          </w:p>
        </w:tc>
        <w:tc>
          <w:tcPr>
            <w:tcW w:w="1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00" w:type="dxa"/>
            <w:vAlign w:val="bottom"/>
            <w:gridSpan w:val="3"/>
          </w:tcPr>
          <w:p>
            <w:pPr>
              <w:spacing w:after="0" w:line="40" w:lineRule="exact"/>
              <w:rPr>
                <w:sz w:val="20"/>
                <w:szCs w:val="20"/>
                <w:color w:val="auto"/>
              </w:rPr>
            </w:pPr>
            <w:r>
              <w:rPr>
                <w:rFonts w:ascii="Arial" w:cs="Arial" w:eastAsia="Arial" w:hAnsi="Arial"/>
                <w:sz w:val="4"/>
                <w:szCs w:val="4"/>
                <w:color w:val="FFFFFF"/>
              </w:rPr>
              <w:t>$30.0</w:t>
            </w:r>
          </w:p>
        </w:tc>
        <w:tc>
          <w:tcPr>
            <w:tcW w:w="160" w:type="dxa"/>
            <w:vAlign w:val="bottom"/>
          </w:tcPr>
          <w:p>
            <w:pPr>
              <w:spacing w:after="0"/>
              <w:rPr>
                <w:sz w:val="3"/>
                <w:szCs w:val="3"/>
                <w:color w:val="auto"/>
              </w:rPr>
            </w:pPr>
          </w:p>
        </w:tc>
        <w:tc>
          <w:tcPr>
            <w:tcW w:w="3660" w:type="dxa"/>
            <w:vAlign w:val="bottom"/>
            <w:gridSpan w:val="3"/>
          </w:tcPr>
          <w:p>
            <w:pPr>
              <w:spacing w:after="0" w:line="40" w:lineRule="exact"/>
              <w:rPr>
                <w:sz w:val="20"/>
                <w:szCs w:val="20"/>
                <w:color w:val="auto"/>
              </w:rPr>
            </w:pPr>
            <w:r>
              <w:rPr>
                <w:rFonts w:ascii="Arial" w:cs="Arial" w:eastAsia="Arial" w:hAnsi="Arial"/>
                <w:sz w:val="4"/>
                <w:szCs w:val="4"/>
                <w:color w:val="FFFFFF"/>
              </w:rPr>
              <w:t>12.0%</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gridSpan w:val="3"/>
          </w:tcPr>
          <w:p>
            <w:pPr>
              <w:spacing w:after="0" w:line="40" w:lineRule="exact"/>
              <w:rPr>
                <w:sz w:val="20"/>
                <w:szCs w:val="20"/>
                <w:color w:val="auto"/>
              </w:rPr>
            </w:pPr>
            <w:r>
              <w:rPr>
                <w:rFonts w:ascii="Arial" w:cs="Arial" w:eastAsia="Arial" w:hAnsi="Arial"/>
                <w:sz w:val="4"/>
                <w:szCs w:val="4"/>
                <w:color w:val="FFFFFF"/>
              </w:rPr>
              <w:t>10.0%</w:t>
            </w:r>
          </w:p>
        </w:tc>
        <w:tc>
          <w:tcPr>
            <w:tcW w:w="1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00" w:type="dxa"/>
            <w:vAlign w:val="bottom"/>
            <w:gridSpan w:val="3"/>
          </w:tcPr>
          <w:p>
            <w:pPr>
              <w:spacing w:after="0" w:line="40" w:lineRule="exact"/>
              <w:rPr>
                <w:sz w:val="20"/>
                <w:szCs w:val="20"/>
                <w:color w:val="auto"/>
              </w:rPr>
            </w:pPr>
            <w:r>
              <w:rPr>
                <w:rFonts w:ascii="Arial" w:cs="Arial" w:eastAsia="Arial" w:hAnsi="Arial"/>
                <w:sz w:val="4"/>
                <w:szCs w:val="4"/>
                <w:color w:val="FFFFFF"/>
              </w:rPr>
              <w:t>$20</w:t>
            </w:r>
          </w:p>
        </w:tc>
        <w:tc>
          <w:tcPr>
            <w:tcW w:w="160" w:type="dxa"/>
            <w:vAlign w:val="bottom"/>
            <w:vMerge w:val="restart"/>
          </w:tcPr>
          <w:p>
            <w:pPr>
              <w:jc w:val="right"/>
              <w:ind w:right="24"/>
              <w:spacing w:after="0" w:line="79" w:lineRule="exact"/>
              <w:rPr>
                <w:sz w:val="20"/>
                <w:szCs w:val="20"/>
                <w:color w:val="auto"/>
              </w:rPr>
            </w:pPr>
            <w:r>
              <w:rPr>
                <w:rFonts w:ascii="Arial" w:cs="Arial" w:eastAsia="Arial" w:hAnsi="Arial"/>
                <w:sz w:val="9"/>
                <w:szCs w:val="9"/>
                <w:color w:val="FFFFFF"/>
                <w:w w:val="99"/>
              </w:rPr>
              <w:t>%</w:t>
            </w:r>
          </w:p>
        </w:tc>
        <w:tc>
          <w:tcPr>
            <w:tcW w:w="3660" w:type="dxa"/>
            <w:vAlign w:val="bottom"/>
            <w:gridSpan w:val="3"/>
          </w:tcPr>
          <w:p>
            <w:pPr>
              <w:spacing w:after="0" w:line="40" w:lineRule="exact"/>
              <w:rPr>
                <w:sz w:val="20"/>
                <w:szCs w:val="20"/>
                <w:color w:val="auto"/>
              </w:rPr>
            </w:pPr>
            <w:r>
              <w:rPr>
                <w:rFonts w:ascii="Arial" w:cs="Arial" w:eastAsia="Arial" w:hAnsi="Arial"/>
                <w:sz w:val="4"/>
                <w:szCs w:val="4"/>
                <w:color w:val="FFFFFF"/>
              </w:rPr>
              <w:t>8.0%</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line="40" w:lineRule="exact"/>
              <w:rPr>
                <w:sz w:val="20"/>
                <w:szCs w:val="20"/>
                <w:color w:val="auto"/>
              </w:rPr>
            </w:pPr>
            <w:r>
              <w:rPr>
                <w:rFonts w:ascii="Arial" w:cs="Arial" w:eastAsia="Arial" w:hAnsi="Arial"/>
                <w:sz w:val="4"/>
                <w:szCs w:val="4"/>
                <w:color w:val="FFFFFF"/>
              </w:rPr>
              <w:t>6</w:t>
            </w:r>
          </w:p>
        </w:tc>
        <w:tc>
          <w:tcPr>
            <w:tcW w:w="1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220" w:type="dxa"/>
            <w:vAlign w:val="bottom"/>
            <w:gridSpan w:val="2"/>
          </w:tcPr>
          <w:p>
            <w:pPr>
              <w:spacing w:after="0" w:line="40" w:lineRule="exact"/>
              <w:rPr>
                <w:sz w:val="20"/>
                <w:szCs w:val="20"/>
                <w:color w:val="auto"/>
              </w:rPr>
            </w:pPr>
            <w:r>
              <w:rPr>
                <w:rFonts w:ascii="Arial" w:cs="Arial" w:eastAsia="Arial" w:hAnsi="Arial"/>
                <w:sz w:val="4"/>
                <w:szCs w:val="4"/>
                <w:color w:val="FFFFFF"/>
              </w:rPr>
              <w:t>10.0</w:t>
            </w:r>
          </w:p>
        </w:tc>
        <w:tc>
          <w:tcPr>
            <w:tcW w:w="160" w:type="dxa"/>
            <w:vAlign w:val="bottom"/>
            <w:vMerge w:val="restart"/>
          </w:tcPr>
          <w:p>
            <w:pPr>
              <w:jc w:val="right"/>
              <w:spacing w:after="0" w:line="79" w:lineRule="exact"/>
              <w:rPr>
                <w:sz w:val="20"/>
                <w:szCs w:val="20"/>
                <w:color w:val="auto"/>
              </w:rPr>
            </w:pPr>
            <w:r>
              <w:rPr>
                <w:rFonts w:ascii="Arial" w:cs="Arial" w:eastAsia="Arial" w:hAnsi="Arial"/>
                <w:sz w:val="9"/>
                <w:szCs w:val="9"/>
                <w:color w:val="FFFFFF"/>
              </w:rPr>
              <w:t>4.</w:t>
            </w: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20" w:type="dxa"/>
            <w:vAlign w:val="bottom"/>
            <w:vMerge w:val="restart"/>
          </w:tcPr>
          <w:p>
            <w:pPr>
              <w:jc w:val="right"/>
              <w:ind w:right="3167"/>
              <w:spacing w:after="0" w:line="79" w:lineRule="exact"/>
              <w:rPr>
                <w:sz w:val="20"/>
                <w:szCs w:val="20"/>
                <w:color w:val="auto"/>
              </w:rPr>
            </w:pPr>
            <w:r>
              <w:rPr>
                <w:rFonts w:ascii="Arial" w:cs="Arial" w:eastAsia="Arial" w:hAnsi="Arial"/>
                <w:sz w:val="9"/>
                <w:szCs w:val="9"/>
                <w:color w:val="FFFFFF"/>
              </w:rPr>
              <w:t>.7%</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60" w:type="dxa"/>
            <w:vAlign w:val="bottom"/>
          </w:tcPr>
          <w:p>
            <w:pPr>
              <w:spacing w:after="0" w:line="40" w:lineRule="exact"/>
              <w:rPr>
                <w:sz w:val="20"/>
                <w:szCs w:val="20"/>
                <w:color w:val="auto"/>
              </w:rPr>
            </w:pPr>
            <w:r>
              <w:rPr>
                <w:rFonts w:ascii="Arial" w:cs="Arial" w:eastAsia="Arial" w:hAnsi="Arial"/>
                <w:sz w:val="4"/>
                <w:szCs w:val="4"/>
                <w:color w:val="FFFFFF"/>
              </w:rPr>
              <w:t>9</w:t>
            </w:r>
          </w:p>
        </w:tc>
        <w:tc>
          <w:tcPr>
            <w:tcW w:w="16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240" w:type="dxa"/>
            <w:vAlign w:val="bottom"/>
            <w:gridSpan w:val="2"/>
            <w:vMerge w:val="restart"/>
          </w:tcPr>
          <w:p>
            <w:pPr>
              <w:spacing w:after="0" w:line="79" w:lineRule="exact"/>
              <w:rPr>
                <w:sz w:val="20"/>
                <w:szCs w:val="20"/>
                <w:color w:val="auto"/>
              </w:rPr>
            </w:pPr>
            <w:r>
              <w:rPr>
                <w:rFonts w:ascii="Arial" w:cs="Arial" w:eastAsia="Arial" w:hAnsi="Arial"/>
                <w:sz w:val="9"/>
                <w:szCs w:val="9"/>
                <w:color w:val="FFFFFF"/>
              </w:rPr>
              <w:t>0%5.</w:t>
            </w:r>
          </w:p>
        </w:tc>
        <w:tc>
          <w:tcPr>
            <w:tcW w:w="34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00" w:type="dxa"/>
            <w:vAlign w:val="bottom"/>
            <w:gridSpan w:val="3"/>
          </w:tcPr>
          <w:p>
            <w:pPr>
              <w:spacing w:after="0" w:line="40" w:lineRule="exact"/>
              <w:rPr>
                <w:sz w:val="20"/>
                <w:szCs w:val="20"/>
                <w:color w:val="auto"/>
              </w:rPr>
            </w:pPr>
            <w:r>
              <w:rPr>
                <w:rFonts w:ascii="Arial" w:cs="Arial" w:eastAsia="Arial" w:hAnsi="Arial"/>
                <w:sz w:val="4"/>
                <w:szCs w:val="4"/>
                <w:color w:val="FFFFFF"/>
              </w:rPr>
              <w:t>$0.0</w:t>
            </w:r>
          </w:p>
        </w:tc>
        <w:tc>
          <w:tcPr>
            <w:tcW w:w="160" w:type="dxa"/>
            <w:vAlign w:val="bottom"/>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3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line="40" w:lineRule="exact"/>
              <w:rPr>
                <w:sz w:val="20"/>
                <w:szCs w:val="20"/>
                <w:color w:val="auto"/>
              </w:rPr>
            </w:pPr>
            <w:r>
              <w:rPr>
                <w:rFonts w:ascii="Arial" w:cs="Arial" w:eastAsia="Arial" w:hAnsi="Arial"/>
                <w:sz w:val="4"/>
                <w:szCs w:val="4"/>
                <w:color w:val="FFFFFF"/>
              </w:rPr>
              <w:t>2</w:t>
            </w:r>
          </w:p>
        </w:tc>
        <w:tc>
          <w:tcPr>
            <w:tcW w:w="60" w:type="dxa"/>
            <w:vAlign w:val="bottom"/>
          </w:tcPr>
          <w:p>
            <w:pPr>
              <w:spacing w:after="0"/>
              <w:rPr>
                <w:sz w:val="3"/>
                <w:szCs w:val="3"/>
                <w:color w:val="auto"/>
              </w:rPr>
            </w:pPr>
          </w:p>
        </w:tc>
        <w:tc>
          <w:tcPr>
            <w:tcW w:w="160" w:type="dxa"/>
            <w:vAlign w:val="bottom"/>
          </w:tcPr>
          <w:p>
            <w:pPr>
              <w:spacing w:after="0" w:line="40" w:lineRule="exact"/>
              <w:rPr>
                <w:sz w:val="20"/>
                <w:szCs w:val="20"/>
                <w:color w:val="auto"/>
              </w:rPr>
            </w:pPr>
            <w:r>
              <w:rPr>
                <w:rFonts w:ascii="Arial" w:cs="Arial" w:eastAsia="Arial" w:hAnsi="Arial"/>
                <w:sz w:val="4"/>
                <w:szCs w:val="4"/>
                <w:color w:val="FFFFFF"/>
              </w:rPr>
              <w:t>15</w:t>
            </w:r>
          </w:p>
        </w:tc>
        <w:tc>
          <w:tcPr>
            <w:tcW w:w="3820" w:type="dxa"/>
            <w:vAlign w:val="bottom"/>
            <w:gridSpan w:val="4"/>
          </w:tcPr>
          <w:p>
            <w:pPr>
              <w:jc w:val="right"/>
              <w:ind w:right="2907"/>
              <w:spacing w:after="0" w:line="40" w:lineRule="exact"/>
              <w:rPr>
                <w:sz w:val="20"/>
                <w:szCs w:val="20"/>
                <w:color w:val="auto"/>
              </w:rPr>
            </w:pPr>
            <w:r>
              <w:rPr>
                <w:rFonts w:ascii="Arial" w:cs="Arial" w:eastAsia="Arial" w:hAnsi="Arial"/>
                <w:sz w:val="4"/>
                <w:szCs w:val="4"/>
                <w:color w:val="FFFFFF"/>
              </w:rPr>
              <w:t>201620152016</w:t>
            </w:r>
          </w:p>
        </w:tc>
        <w:tc>
          <w:tcPr>
            <w:tcW w:w="0" w:type="dxa"/>
            <w:vAlign w:val="bottom"/>
          </w:tcPr>
          <w:p>
            <w:pPr>
              <w:spacing w:after="0" w:line="20" w:lineRule="exact"/>
              <w:rPr>
                <w:sz w:val="1"/>
                <w:szCs w:val="1"/>
                <w:color w:val="auto"/>
              </w:rPr>
            </w:pPr>
          </w:p>
        </w:tc>
      </w:tr>
      <w:tr>
        <w:trPr>
          <w:trHeight w:val="168"/>
        </w:trPr>
        <w:tc>
          <w:tcPr>
            <w:tcW w:w="140" w:type="dxa"/>
            <w:vAlign w:val="bottom"/>
            <w:gridSpan w:val="2"/>
          </w:tcPr>
          <w:p>
            <w:pPr>
              <w:spacing w:after="0"/>
              <w:rPr>
                <w:sz w:val="20"/>
                <w:szCs w:val="20"/>
                <w:color w:val="auto"/>
              </w:rPr>
            </w:pPr>
            <w:r>
              <w:rPr>
                <w:rFonts w:ascii="Arial" w:cs="Arial" w:eastAsia="Arial" w:hAnsi="Arial"/>
                <w:sz w:val="13"/>
                <w:szCs w:val="13"/>
                <w:color w:val="FFFFFF"/>
                <w:w w:val="82"/>
              </w:rPr>
              <w:t>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440" w:right="1440"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2nd Quarter Summary</w:t>
      </w:r>
    </w:p>
    <w:p>
      <w:pPr>
        <w:spacing w:after="0" w:line="204" w:lineRule="auto"/>
        <w:rPr>
          <w:sz w:val="20"/>
          <w:szCs w:val="20"/>
          <w:color w:val="auto"/>
        </w:rPr>
      </w:pPr>
      <w:r>
        <w:rPr>
          <w:rFonts w:ascii="Arial" w:cs="Arial" w:eastAsia="Arial" w:hAnsi="Arial"/>
          <w:sz w:val="2"/>
          <w:szCs w:val="2"/>
          <w:color w:val="FFFFFF"/>
        </w:rPr>
        <w:t xml:space="preserve">Balanced portfolio </w:t>
      </w:r>
      <w:r>
        <w:rPr>
          <w:rFonts w:ascii="Arial" w:cs="Arial" w:eastAsia="Arial" w:hAnsi="Arial"/>
          <w:sz w:val="4"/>
          <w:szCs w:val="4"/>
          <w:color w:val="FFFFFF"/>
          <w:vertAlign w:val="subscript"/>
        </w:rPr>
        <w:t>continues</w:t>
      </w:r>
      <w:r>
        <w:rPr>
          <w:rFonts w:ascii="Arial" w:cs="Arial" w:eastAsia="Arial" w:hAnsi="Arial"/>
          <w:sz w:val="2"/>
          <w:szCs w:val="2"/>
          <w:color w:val="FFFFFF"/>
        </w:rPr>
        <w:t xml:space="preserve"> to be benefit</w:t>
      </w:r>
    </w:p>
    <w:p>
      <w:pPr>
        <w:spacing w:after="0" w:line="182" w:lineRule="auto"/>
        <w:tabs>
          <w:tab w:leader="none" w:pos="1240" w:val="left"/>
        </w:tabs>
        <w:rPr>
          <w:sz w:val="20"/>
          <w:szCs w:val="20"/>
          <w:color w:val="auto"/>
        </w:rPr>
      </w:pPr>
      <w:r>
        <w:rPr>
          <w:rFonts w:ascii="Arial" w:cs="Arial" w:eastAsia="Arial" w:hAnsi="Arial"/>
          <w:sz w:val="9"/>
          <w:szCs w:val="9"/>
          <w:color w:val="FFFFFF"/>
        </w:rPr>
        <w:t>Continued weakness</w:t>
      </w:r>
      <w:r>
        <w:rPr>
          <w:sz w:val="20"/>
          <w:szCs w:val="20"/>
          <w:color w:val="auto"/>
        </w:rPr>
        <w:tab/>
      </w:r>
      <w:r>
        <w:rPr>
          <w:rFonts w:ascii="Arial" w:cs="Arial" w:eastAsia="Arial" w:hAnsi="Arial"/>
          <w:sz w:val="9"/>
          <w:szCs w:val="9"/>
          <w:color w:val="FFFFFF"/>
        </w:rPr>
        <w:t>the industrial end market impacted the top line</w:t>
      </w:r>
    </w:p>
    <w:p>
      <w:pPr>
        <w:spacing w:after="0" w:line="206" w:lineRule="auto"/>
        <w:rPr>
          <w:sz w:val="20"/>
          <w:szCs w:val="20"/>
          <w:color w:val="auto"/>
        </w:rPr>
      </w:pPr>
      <w:r>
        <w:rPr>
          <w:rFonts w:ascii="Arial" w:cs="Arial" w:eastAsia="Arial" w:hAnsi="Arial"/>
          <w:sz w:val="4"/>
          <w:szCs w:val="4"/>
          <w:color w:val="FFFFFF"/>
        </w:rPr>
        <w:t>NNExcludingOperatingindustrialsSystemourdrivingportfoliomargincontinuesexpansiontogrow in line with our expectations</w:t>
      </w:r>
    </w:p>
    <w:p>
      <w:pPr>
        <w:spacing w:after="0" w:line="189" w:lineRule="auto"/>
        <w:rPr>
          <w:sz w:val="20"/>
          <w:szCs w:val="20"/>
          <w:color w:val="auto"/>
        </w:rPr>
      </w:pPr>
      <w:r>
        <w:rPr>
          <w:rFonts w:ascii="Arial" w:cs="Arial" w:eastAsia="Arial" w:hAnsi="Arial"/>
          <w:sz w:val="13"/>
          <w:szCs w:val="13"/>
          <w:color w:val="FFFFFF"/>
        </w:rPr>
        <w:t>MarginFreeCashexpansionFlowoutperformanceaheadofplan</w:t>
      </w:r>
    </w:p>
    <w:p>
      <w:pPr>
        <w:spacing w:after="0"/>
        <w:rPr>
          <w:sz w:val="20"/>
          <w:szCs w:val="20"/>
          <w:color w:val="auto"/>
        </w:rPr>
      </w:pPr>
      <w:r>
        <w:rPr>
          <w:rFonts w:ascii="Arial" w:cs="Arial" w:eastAsia="Arial" w:hAnsi="Arial"/>
          <w:sz w:val="13"/>
          <w:szCs w:val="13"/>
          <w:color w:val="FFFFFF"/>
        </w:rPr>
        <w:t>11Integration of PEP remains on track</w:t>
      </w:r>
    </w:p>
    <w:p>
      <w:pPr>
        <w:sectPr>
          <w:pgSz w:w="11900" w:h="16838" w:orient="portrait"/>
          <w:cols w:equalWidth="0" w:num="1">
            <w:col w:w="10219"/>
          </w:cols>
          <w:pgMar w:left="2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1"/>
          <w:szCs w:val="11"/>
          <w:color w:val="FFFFFF"/>
        </w:rPr>
        <w:t>Guidance</w:t>
      </w:r>
    </w:p>
    <w:p>
      <w:pPr>
        <w:sectPr>
          <w:pgSz w:w="11900" w:h="16838" w:orient="portrait"/>
          <w:cols w:equalWidth="0" w:num="1">
            <w:col w:w="10219"/>
          </w:cols>
          <w:pgMar w:left="240" w:top="1440"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gridSpan w:val="3"/>
          </w:tcPr>
          <w:p>
            <w:pPr>
              <w:spacing w:after="0"/>
              <w:rPr>
                <w:sz w:val="20"/>
                <w:szCs w:val="20"/>
                <w:color w:val="auto"/>
              </w:rPr>
            </w:pPr>
            <w:r>
              <w:rPr>
                <w:rFonts w:ascii="Arial" w:cs="Arial" w:eastAsia="Arial" w:hAnsi="Arial"/>
                <w:sz w:val="13"/>
                <w:szCs w:val="13"/>
                <w:color w:val="FFFFFF"/>
                <w:w w:val="91"/>
              </w:rPr>
              <w:t>2nd Quarter 2016 Guidance</w:t>
            </w:r>
          </w:p>
        </w:tc>
        <w:tc>
          <w:tcPr>
            <w:tcW w:w="2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860" w:type="dxa"/>
            <w:vAlign w:val="bottom"/>
            <w:gridSpan w:val="2"/>
          </w:tcPr>
          <w:p>
            <w:pPr>
              <w:spacing w:after="0" w:line="40" w:lineRule="exact"/>
              <w:rPr>
                <w:sz w:val="20"/>
                <w:szCs w:val="20"/>
                <w:color w:val="auto"/>
              </w:rPr>
            </w:pPr>
            <w:r>
              <w:rPr>
                <w:rFonts w:ascii="Arial" w:cs="Arial" w:eastAsia="Arial" w:hAnsi="Arial"/>
                <w:sz w:val="4"/>
                <w:szCs w:val="4"/>
                <w:color w:val="FFFFFF"/>
              </w:rPr>
              <w:t>Second Quarter</w:t>
            </w:r>
          </w:p>
        </w:tc>
        <w:tc>
          <w:tcPr>
            <w:tcW w:w="3300" w:type="dxa"/>
            <w:vAlign w:val="bottom"/>
            <w:gridSpan w:val="2"/>
          </w:tcPr>
          <w:p>
            <w:pPr>
              <w:ind w:left="100"/>
              <w:spacing w:after="0" w:line="40" w:lineRule="exact"/>
              <w:rPr>
                <w:sz w:val="20"/>
                <w:szCs w:val="20"/>
                <w:color w:val="auto"/>
              </w:rPr>
            </w:pPr>
            <w:r>
              <w:rPr>
                <w:rFonts w:ascii="Arial" w:cs="Arial" w:eastAsia="Arial" w:hAnsi="Arial"/>
                <w:sz w:val="4"/>
                <w:szCs w:val="4"/>
                <w:color w:val="FFFFFF"/>
              </w:rPr>
              <w:t>Third Quarter</w:t>
            </w:r>
          </w:p>
        </w:tc>
        <w:tc>
          <w:tcPr>
            <w:tcW w:w="0" w:type="dxa"/>
            <w:vAlign w:val="bottom"/>
          </w:tcPr>
          <w:p>
            <w:pPr>
              <w:spacing w:after="0" w:line="20" w:lineRule="exact"/>
              <w:rPr>
                <w:sz w:val="1"/>
                <w:szCs w:val="1"/>
                <w:color w:val="auto"/>
              </w:rPr>
            </w:pPr>
          </w:p>
        </w:tc>
      </w:tr>
      <w:tr>
        <w:trPr>
          <w:trHeight w:val="39"/>
        </w:trPr>
        <w:tc>
          <w:tcPr>
            <w:tcW w:w="860" w:type="dxa"/>
            <w:vAlign w:val="bottom"/>
            <w:gridSpan w:val="2"/>
          </w:tcPr>
          <w:p>
            <w:pPr>
              <w:ind w:left="140"/>
              <w:spacing w:after="0" w:line="40" w:lineRule="exact"/>
              <w:rPr>
                <w:sz w:val="20"/>
                <w:szCs w:val="20"/>
                <w:color w:val="auto"/>
              </w:rPr>
            </w:pPr>
            <w:r>
              <w:rPr>
                <w:rFonts w:ascii="Arial" w:cs="Arial" w:eastAsia="Arial" w:hAnsi="Arial"/>
                <w:sz w:val="4"/>
                <w:szCs w:val="4"/>
                <w:color w:val="FFFFFF"/>
              </w:rPr>
              <w:t>Commentary</w:t>
            </w:r>
          </w:p>
        </w:tc>
        <w:tc>
          <w:tcPr>
            <w:tcW w:w="640" w:type="dxa"/>
            <w:vAlign w:val="bottom"/>
          </w:tcPr>
          <w:p>
            <w:pPr>
              <w:spacing w:after="0"/>
              <w:rPr>
                <w:sz w:val="3"/>
                <w:szCs w:val="3"/>
                <w:color w:val="auto"/>
              </w:rPr>
            </w:pPr>
          </w:p>
        </w:tc>
        <w:tc>
          <w:tcPr>
            <w:tcW w:w="2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500" w:type="dxa"/>
            <w:vAlign w:val="bottom"/>
            <w:gridSpan w:val="3"/>
          </w:tcPr>
          <w:p>
            <w:pPr>
              <w:spacing w:after="0" w:line="40" w:lineRule="exact"/>
              <w:rPr>
                <w:sz w:val="20"/>
                <w:szCs w:val="20"/>
                <w:color w:val="auto"/>
              </w:rPr>
            </w:pPr>
            <w:r>
              <w:rPr>
                <w:rFonts w:ascii="Arial" w:cs="Arial" w:eastAsia="Arial" w:hAnsi="Arial"/>
                <w:sz w:val="4"/>
                <w:szCs w:val="4"/>
                <w:color w:val="FFFFFF"/>
              </w:rPr>
              <w:t>Ac ual  Guidance</w:t>
            </w:r>
          </w:p>
        </w:tc>
        <w:tc>
          <w:tcPr>
            <w:tcW w:w="2660" w:type="dxa"/>
            <w:vAlign w:val="bottom"/>
            <w:vMerge w:val="restart"/>
          </w:tcPr>
          <w:p>
            <w:pPr>
              <w:jc w:val="center"/>
              <w:ind w:right="516"/>
              <w:spacing w:after="0" w:line="79" w:lineRule="exact"/>
              <w:rPr>
                <w:sz w:val="20"/>
                <w:szCs w:val="20"/>
                <w:color w:val="auto"/>
              </w:rPr>
            </w:pPr>
            <w:r>
              <w:rPr>
                <w:rFonts w:ascii="Arial" w:cs="Arial" w:eastAsia="Arial" w:hAnsi="Arial"/>
                <w:sz w:val="9"/>
                <w:szCs w:val="9"/>
                <w:color w:val="FFFFFF"/>
              </w:rPr>
              <w:t>-$228MIndustrial markets remain tepid</w:t>
            </w:r>
          </w:p>
        </w:tc>
        <w:tc>
          <w:tcPr>
            <w:tcW w:w="0" w:type="dxa"/>
            <w:vAlign w:val="bottom"/>
          </w:tcPr>
          <w:p>
            <w:pPr>
              <w:spacing w:after="0" w:line="20" w:lineRule="exact"/>
              <w:rPr>
                <w:sz w:val="1"/>
                <w:szCs w:val="1"/>
                <w:color w:val="auto"/>
              </w:rPr>
            </w:pPr>
          </w:p>
        </w:tc>
      </w:tr>
      <w:tr>
        <w:trPr>
          <w:trHeight w:val="39"/>
        </w:trPr>
        <w:tc>
          <w:tcPr>
            <w:tcW w:w="560" w:type="dxa"/>
            <w:vAlign w:val="bottom"/>
          </w:tcPr>
          <w:p>
            <w:pPr>
              <w:spacing w:after="0" w:line="40" w:lineRule="exact"/>
              <w:rPr>
                <w:sz w:val="20"/>
                <w:szCs w:val="20"/>
                <w:color w:val="auto"/>
              </w:rPr>
            </w:pPr>
            <w:r>
              <w:rPr>
                <w:rFonts w:ascii="Arial" w:cs="Arial" w:eastAsia="Arial" w:hAnsi="Arial"/>
                <w:sz w:val="4"/>
                <w:szCs w:val="4"/>
                <w:color w:val="FFFFFF"/>
              </w:rPr>
              <w:t>Net Sales</w:t>
            </w:r>
          </w:p>
        </w:tc>
        <w:tc>
          <w:tcPr>
            <w:tcW w:w="940" w:type="dxa"/>
            <w:vAlign w:val="bottom"/>
            <w:gridSpan w:val="2"/>
          </w:tcPr>
          <w:p>
            <w:pPr>
              <w:ind w:left="80"/>
              <w:spacing w:after="0" w:line="40" w:lineRule="exact"/>
              <w:rPr>
                <w:sz w:val="20"/>
                <w:szCs w:val="20"/>
                <w:color w:val="auto"/>
              </w:rPr>
            </w:pPr>
            <w:r>
              <w:rPr>
                <w:rFonts w:ascii="Arial" w:cs="Arial" w:eastAsia="Arial" w:hAnsi="Arial"/>
                <w:sz w:val="4"/>
                <w:szCs w:val="4"/>
                <w:color w:val="FFFFFF"/>
              </w:rPr>
              <w:t>$214.3M</w:t>
            </w:r>
          </w:p>
        </w:tc>
        <w:tc>
          <w:tcPr>
            <w:tcW w:w="2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60" w:type="dxa"/>
            <w:vAlign w:val="bottom"/>
            <w:gridSpan w:val="2"/>
          </w:tcPr>
          <w:p>
            <w:pPr>
              <w:spacing w:after="0" w:line="40" w:lineRule="exact"/>
              <w:rPr>
                <w:sz w:val="20"/>
                <w:szCs w:val="20"/>
                <w:color w:val="auto"/>
              </w:rPr>
            </w:pPr>
            <w:r>
              <w:rPr>
                <w:rFonts w:ascii="Arial" w:cs="Arial" w:eastAsia="Arial" w:hAnsi="Arial"/>
                <w:sz w:val="4"/>
                <w:szCs w:val="4"/>
                <w:color w:val="FFFFFF"/>
              </w:rPr>
              <w:t>Adj. Op Margin</w:t>
            </w:r>
          </w:p>
        </w:tc>
        <w:tc>
          <w:tcPr>
            <w:tcW w:w="3300" w:type="dxa"/>
            <w:vAlign w:val="bottom"/>
            <w:gridSpan w:val="2"/>
          </w:tcPr>
          <w:p>
            <w:pPr>
              <w:jc w:val="center"/>
              <w:ind w:left="98"/>
              <w:spacing w:after="0" w:line="40" w:lineRule="exact"/>
              <w:rPr>
                <w:sz w:val="20"/>
                <w:szCs w:val="20"/>
                <w:color w:val="auto"/>
              </w:rPr>
            </w:pPr>
            <w:r>
              <w:rPr>
                <w:rFonts w:ascii="Arial" w:cs="Arial" w:eastAsia="Arial" w:hAnsi="Arial"/>
                <w:sz w:val="4"/>
                <w:szCs w:val="4"/>
                <w:color w:val="FFFFFF"/>
              </w:rPr>
              <w:t>13.4%$213M.3%-14.5%Margin expansion driven by end market</w:t>
            </w:r>
          </w:p>
        </w:tc>
        <w:tc>
          <w:tcPr>
            <w:tcW w:w="0" w:type="dxa"/>
            <w:vAlign w:val="bottom"/>
          </w:tcPr>
          <w:p>
            <w:pPr>
              <w:spacing w:after="0" w:line="20" w:lineRule="exact"/>
              <w:rPr>
                <w:sz w:val="1"/>
                <w:szCs w:val="1"/>
                <w:color w:val="auto"/>
              </w:rPr>
            </w:pPr>
          </w:p>
        </w:tc>
      </w:tr>
      <w:tr>
        <w:trPr>
          <w:trHeight w:val="39"/>
        </w:trPr>
        <w:tc>
          <w:tcPr>
            <w:tcW w:w="4160" w:type="dxa"/>
            <w:vAlign w:val="bottom"/>
            <w:gridSpan w:val="4"/>
          </w:tcPr>
          <w:p>
            <w:pPr>
              <w:ind w:left="140"/>
              <w:spacing w:after="0" w:line="40" w:lineRule="exact"/>
              <w:rPr>
                <w:sz w:val="20"/>
                <w:szCs w:val="20"/>
                <w:color w:val="auto"/>
              </w:rPr>
            </w:pPr>
            <w:r>
              <w:rPr>
                <w:rFonts w:ascii="Arial" w:cs="Arial" w:eastAsia="Arial" w:hAnsi="Arial"/>
                <w:sz w:val="4"/>
                <w:szCs w:val="4"/>
                <w:color w:val="FFFFFF"/>
              </w:rPr>
              <w:t>diversification &amp; operational improvements</w:t>
            </w:r>
          </w:p>
        </w:tc>
        <w:tc>
          <w:tcPr>
            <w:tcW w:w="0" w:type="dxa"/>
            <w:vAlign w:val="bottom"/>
          </w:tcPr>
          <w:p>
            <w:pPr>
              <w:spacing w:after="0" w:line="20" w:lineRule="exact"/>
              <w:rPr>
                <w:sz w:val="1"/>
                <w:szCs w:val="1"/>
                <w:color w:val="auto"/>
              </w:rPr>
            </w:pPr>
          </w:p>
        </w:tc>
      </w:tr>
      <w:tr>
        <w:trPr>
          <w:trHeight w:val="39"/>
        </w:trPr>
        <w:tc>
          <w:tcPr>
            <w:tcW w:w="860" w:type="dxa"/>
            <w:vAlign w:val="bottom"/>
            <w:gridSpan w:val="2"/>
          </w:tcPr>
          <w:p>
            <w:pPr>
              <w:spacing w:after="0" w:line="40" w:lineRule="exact"/>
              <w:rPr>
                <w:sz w:val="20"/>
                <w:szCs w:val="20"/>
                <w:color w:val="auto"/>
              </w:rPr>
            </w:pPr>
            <w:r>
              <w:rPr>
                <w:rFonts w:ascii="Arial" w:cs="Arial" w:eastAsia="Arial" w:hAnsi="Arial"/>
                <w:sz w:val="4"/>
                <w:szCs w:val="4"/>
                <w:color w:val="FFFFFF"/>
              </w:rPr>
              <w:t>Adj. EBITDA</w:t>
            </w:r>
          </w:p>
        </w:tc>
        <w:tc>
          <w:tcPr>
            <w:tcW w:w="3300" w:type="dxa"/>
            <w:vAlign w:val="bottom"/>
            <w:gridSpan w:val="2"/>
          </w:tcPr>
          <w:p>
            <w:pPr>
              <w:ind w:left="20"/>
              <w:spacing w:after="0" w:line="40" w:lineRule="exact"/>
              <w:rPr>
                <w:sz w:val="20"/>
                <w:szCs w:val="20"/>
                <w:color w:val="auto"/>
              </w:rPr>
            </w:pPr>
            <w:r>
              <w:rPr>
                <w:rFonts w:ascii="Arial" w:cs="Arial" w:eastAsia="Arial" w:hAnsi="Arial"/>
                <w:sz w:val="4"/>
                <w:szCs w:val="4"/>
                <w:color w:val="FFFFFF"/>
              </w:rPr>
              <w:t>$40.1M $40.1M-$45.1M</w:t>
            </w:r>
          </w:p>
        </w:tc>
        <w:tc>
          <w:tcPr>
            <w:tcW w:w="0" w:type="dxa"/>
            <w:vAlign w:val="bottom"/>
          </w:tcPr>
          <w:p>
            <w:pPr>
              <w:spacing w:after="0" w:line="20" w:lineRule="exact"/>
              <w:rPr>
                <w:sz w:val="1"/>
                <w:szCs w:val="1"/>
                <w:color w:val="auto"/>
              </w:rPr>
            </w:pPr>
          </w:p>
        </w:tc>
      </w:tr>
      <w:tr>
        <w:trPr>
          <w:trHeight w:val="39"/>
        </w:trPr>
        <w:tc>
          <w:tcPr>
            <w:tcW w:w="4160" w:type="dxa"/>
            <w:vAlign w:val="bottom"/>
            <w:gridSpan w:val="4"/>
          </w:tcPr>
          <w:p>
            <w:pPr>
              <w:ind w:left="140"/>
              <w:spacing w:after="0" w:line="40" w:lineRule="exact"/>
              <w:rPr>
                <w:sz w:val="20"/>
                <w:szCs w:val="20"/>
                <w:color w:val="auto"/>
              </w:rPr>
            </w:pPr>
            <w:r>
              <w:rPr>
                <w:rFonts w:ascii="Arial" w:cs="Arial" w:eastAsia="Arial" w:hAnsi="Arial"/>
                <w:sz w:val="4"/>
                <w:szCs w:val="4"/>
                <w:color w:val="FFFFFF"/>
              </w:rPr>
              <w:t>Growth in non-industrial markets along</w:t>
            </w:r>
          </w:p>
        </w:tc>
        <w:tc>
          <w:tcPr>
            <w:tcW w:w="0" w:type="dxa"/>
            <w:vAlign w:val="bottom"/>
          </w:tcPr>
          <w:p>
            <w:pPr>
              <w:spacing w:after="0" w:line="20" w:lineRule="exact"/>
              <w:rPr>
                <w:sz w:val="1"/>
                <w:szCs w:val="1"/>
                <w:color w:val="auto"/>
              </w:rPr>
            </w:pPr>
          </w:p>
        </w:tc>
      </w:tr>
      <w:tr>
        <w:trPr>
          <w:trHeight w:val="39"/>
        </w:trPr>
        <w:tc>
          <w:tcPr>
            <w:tcW w:w="560" w:type="dxa"/>
            <w:vAlign w:val="bottom"/>
          </w:tcPr>
          <w:p>
            <w:pPr>
              <w:spacing w:after="0" w:line="40" w:lineRule="exact"/>
              <w:rPr>
                <w:sz w:val="20"/>
                <w:szCs w:val="20"/>
                <w:color w:val="auto"/>
              </w:rPr>
            </w:pPr>
            <w:r>
              <w:rPr>
                <w:rFonts w:ascii="Arial" w:cs="Arial" w:eastAsia="Arial" w:hAnsi="Arial"/>
                <w:sz w:val="4"/>
                <w:szCs w:val="4"/>
                <w:color w:val="FFFFFF"/>
              </w:rPr>
              <w:t>Adj. EPS</w:t>
            </w:r>
          </w:p>
        </w:tc>
        <w:tc>
          <w:tcPr>
            <w:tcW w:w="3600" w:type="dxa"/>
            <w:vAlign w:val="bottom"/>
            <w:gridSpan w:val="3"/>
          </w:tcPr>
          <w:p>
            <w:pPr>
              <w:ind w:left="60"/>
              <w:spacing w:after="0" w:line="40" w:lineRule="exact"/>
              <w:rPr>
                <w:sz w:val="20"/>
                <w:szCs w:val="20"/>
                <w:color w:val="auto"/>
              </w:rPr>
            </w:pPr>
            <w:r>
              <w:rPr>
                <w:rFonts w:ascii="Arial" w:cs="Arial" w:eastAsia="Arial" w:hAnsi="Arial"/>
                <w:sz w:val="4"/>
                <w:szCs w:val="4"/>
                <w:color w:val="FFFFFF"/>
              </w:rPr>
              <w:t>$0.46 $0.40-$0.50with operational improvements drive</w:t>
            </w:r>
          </w:p>
        </w:tc>
        <w:tc>
          <w:tcPr>
            <w:tcW w:w="0" w:type="dxa"/>
            <w:vAlign w:val="bottom"/>
          </w:tcPr>
          <w:p>
            <w:pPr>
              <w:spacing w:after="0" w:line="20" w:lineRule="exact"/>
              <w:rPr>
                <w:sz w:val="1"/>
                <w:szCs w:val="1"/>
                <w:color w:val="auto"/>
              </w:rPr>
            </w:pPr>
          </w:p>
        </w:tc>
      </w:tr>
      <w:tr>
        <w:trPr>
          <w:trHeight w:val="340"/>
        </w:trPr>
        <w:tc>
          <w:tcPr>
            <w:tcW w:w="1500" w:type="dxa"/>
            <w:vAlign w:val="bottom"/>
            <w:gridSpan w:val="3"/>
          </w:tcPr>
          <w:p>
            <w:pPr>
              <w:spacing w:after="0"/>
              <w:rPr>
                <w:sz w:val="20"/>
                <w:szCs w:val="20"/>
                <w:color w:val="auto"/>
              </w:rPr>
            </w:pPr>
            <w:r>
              <w:rPr>
                <w:rFonts w:ascii="Arial" w:cs="Arial" w:eastAsia="Arial" w:hAnsi="Arial"/>
                <w:sz w:val="26"/>
                <w:szCs w:val="26"/>
                <w:color w:val="FFFFFF"/>
                <w:w w:val="95"/>
                <w:vertAlign w:val="subscript"/>
              </w:rPr>
              <w:t>13</w:t>
            </w:r>
            <w:r>
              <w:rPr>
                <w:rFonts w:ascii="Arial" w:cs="Arial" w:eastAsia="Arial" w:hAnsi="Arial"/>
                <w:sz w:val="13"/>
                <w:szCs w:val="13"/>
                <w:color w:val="FFFFFF"/>
                <w:w w:val="95"/>
              </w:rPr>
              <w:t>consistent performance</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440" w:right="1440"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 w:type="dxa"/>
            <w:vAlign w:val="bottom"/>
            <w:gridSpan w:val="4"/>
          </w:tcPr>
          <w:p>
            <w:pPr>
              <w:spacing w:after="0"/>
              <w:rPr>
                <w:sz w:val="20"/>
                <w:szCs w:val="20"/>
                <w:color w:val="auto"/>
              </w:rPr>
            </w:pPr>
            <w:r>
              <w:rPr>
                <w:rFonts w:ascii="Arial" w:cs="Arial" w:eastAsia="Arial" w:hAnsi="Arial"/>
                <w:sz w:val="13"/>
                <w:szCs w:val="13"/>
                <w:color w:val="FFFFFF"/>
                <w:w w:val="90"/>
              </w:rPr>
              <w:t>2016 Guidance</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20" w:type="dxa"/>
            <w:vAlign w:val="bottom"/>
          </w:tcPr>
          <w:p>
            <w:pPr>
              <w:spacing w:after="0"/>
              <w:rPr>
                <w:sz w:val="3"/>
                <w:szCs w:val="3"/>
                <w:color w:val="auto"/>
              </w:rPr>
            </w:pPr>
          </w:p>
        </w:tc>
        <w:tc>
          <w:tcPr>
            <w:tcW w:w="780" w:type="dxa"/>
            <w:vAlign w:val="bottom"/>
            <w:gridSpan w:val="4"/>
          </w:tcPr>
          <w:p>
            <w:pPr>
              <w:ind w:left="20"/>
              <w:spacing w:after="0" w:line="40" w:lineRule="exact"/>
              <w:rPr>
                <w:sz w:val="20"/>
                <w:szCs w:val="20"/>
                <w:color w:val="auto"/>
              </w:rPr>
            </w:pPr>
            <w:r>
              <w:rPr>
                <w:rFonts w:ascii="Arial" w:cs="Arial" w:eastAsia="Arial" w:hAnsi="Arial"/>
                <w:sz w:val="4"/>
                <w:szCs w:val="4"/>
                <w:color w:val="FFFFFF"/>
              </w:rPr>
              <w:t>Updated 2016</w:t>
            </w: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20" w:type="dxa"/>
            <w:vAlign w:val="bottom"/>
          </w:tcPr>
          <w:p>
            <w:pPr>
              <w:spacing w:after="0"/>
              <w:rPr>
                <w:sz w:val="3"/>
                <w:szCs w:val="3"/>
                <w:color w:val="auto"/>
              </w:rPr>
            </w:pPr>
          </w:p>
        </w:tc>
        <w:tc>
          <w:tcPr>
            <w:tcW w:w="2360" w:type="dxa"/>
            <w:vAlign w:val="bottom"/>
            <w:gridSpan w:val="6"/>
          </w:tcPr>
          <w:p>
            <w:pPr>
              <w:ind w:left="20"/>
              <w:spacing w:after="0" w:line="40" w:lineRule="exact"/>
              <w:rPr>
                <w:sz w:val="20"/>
                <w:szCs w:val="20"/>
                <w:color w:val="auto"/>
              </w:rPr>
            </w:pPr>
            <w:r>
              <w:rPr>
                <w:rFonts w:ascii="Arial" w:cs="Arial" w:eastAsia="Arial" w:hAnsi="Arial"/>
                <w:sz w:val="4"/>
                <w:szCs w:val="4"/>
                <w:color w:val="FFFFFF"/>
              </w:rPr>
              <w:t>Prior 2016 Guidance 4Commentary</w:t>
            </w:r>
          </w:p>
        </w:tc>
        <w:tc>
          <w:tcPr>
            <w:tcW w:w="2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20" w:type="dxa"/>
            <w:vAlign w:val="bottom"/>
          </w:tcPr>
          <w:p>
            <w:pPr>
              <w:spacing w:after="0"/>
              <w:rPr>
                <w:sz w:val="3"/>
                <w:szCs w:val="3"/>
                <w:color w:val="auto"/>
              </w:rPr>
            </w:pPr>
          </w:p>
        </w:tc>
        <w:tc>
          <w:tcPr>
            <w:tcW w:w="700" w:type="dxa"/>
            <w:vAlign w:val="bottom"/>
            <w:gridSpan w:val="3"/>
          </w:tcPr>
          <w:p>
            <w:pPr>
              <w:ind w:left="20"/>
              <w:spacing w:after="0" w:line="40" w:lineRule="exact"/>
              <w:rPr>
                <w:sz w:val="20"/>
                <w:szCs w:val="20"/>
                <w:color w:val="auto"/>
              </w:rPr>
            </w:pPr>
            <w:r>
              <w:rPr>
                <w:rFonts w:ascii="Arial" w:cs="Arial" w:eastAsia="Arial" w:hAnsi="Arial"/>
                <w:sz w:val="4"/>
                <w:szCs w:val="4"/>
                <w:color w:val="FFFFFF"/>
              </w:rPr>
              <w:t>Guidance</w:t>
            </w: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20" w:type="dxa"/>
            <w:vAlign w:val="bottom"/>
            <w:gridSpan w:val="2"/>
          </w:tcPr>
          <w:p>
            <w:pPr>
              <w:spacing w:after="0" w:line="40" w:lineRule="exact"/>
              <w:rPr>
                <w:sz w:val="20"/>
                <w:szCs w:val="20"/>
                <w:color w:val="auto"/>
              </w:rPr>
            </w:pPr>
            <w:r>
              <w:rPr>
                <w:rFonts w:ascii="Arial" w:cs="Arial" w:eastAsia="Arial" w:hAnsi="Arial"/>
                <w:sz w:val="4"/>
                <w:szCs w:val="4"/>
                <w:color w:val="FFFFFF"/>
              </w:rPr>
              <w:t>Net Sales</w:t>
            </w:r>
          </w:p>
        </w:tc>
        <w:tc>
          <w:tcPr>
            <w:tcW w:w="40" w:type="dxa"/>
            <w:vAlign w:val="bottom"/>
          </w:tcPr>
          <w:p>
            <w:pPr>
              <w:spacing w:after="0"/>
              <w:rPr>
                <w:sz w:val="3"/>
                <w:szCs w:val="3"/>
                <w:color w:val="auto"/>
              </w:rPr>
            </w:pPr>
          </w:p>
        </w:tc>
        <w:tc>
          <w:tcPr>
            <w:tcW w:w="4480" w:type="dxa"/>
            <w:vAlign w:val="bottom"/>
            <w:gridSpan w:val="5"/>
          </w:tcPr>
          <w:p>
            <w:pPr>
              <w:ind w:left="80"/>
              <w:spacing w:after="0" w:line="40" w:lineRule="exact"/>
              <w:rPr>
                <w:sz w:val="20"/>
                <w:szCs w:val="20"/>
                <w:color w:val="auto"/>
              </w:rPr>
            </w:pPr>
            <w:r>
              <w:rPr>
                <w:rFonts w:ascii="Arial" w:cs="Arial" w:eastAsia="Arial" w:hAnsi="Arial"/>
                <w:sz w:val="4"/>
                <w:szCs w:val="4"/>
                <w:color w:val="FFFFFF"/>
              </w:rPr>
              <w:t>$875M -$905M$850M -$875MGrowth in other end markets offset by industrial</w:t>
            </w:r>
          </w:p>
        </w:tc>
        <w:tc>
          <w:tcPr>
            <w:tcW w:w="0" w:type="dxa"/>
            <w:vAlign w:val="bottom"/>
          </w:tcPr>
          <w:p>
            <w:pPr>
              <w:spacing w:after="0" w:line="20" w:lineRule="exact"/>
              <w:rPr>
                <w:sz w:val="1"/>
                <w:szCs w:val="1"/>
                <w:color w:val="auto"/>
              </w:rPr>
            </w:pPr>
          </w:p>
        </w:tc>
      </w:tr>
      <w:tr>
        <w:trPr>
          <w:trHeight w:val="39"/>
        </w:trPr>
        <w:tc>
          <w:tcPr>
            <w:tcW w:w="120" w:type="dxa"/>
            <w:vAlign w:val="bottom"/>
          </w:tcPr>
          <w:p>
            <w:pPr>
              <w:spacing w:after="0"/>
              <w:rPr>
                <w:sz w:val="3"/>
                <w:szCs w:val="3"/>
                <w:color w:val="auto"/>
              </w:rPr>
            </w:pPr>
          </w:p>
        </w:tc>
        <w:tc>
          <w:tcPr>
            <w:tcW w:w="700" w:type="dxa"/>
            <w:vAlign w:val="bottom"/>
            <w:gridSpan w:val="3"/>
          </w:tcPr>
          <w:p>
            <w:pPr>
              <w:ind w:left="20"/>
              <w:spacing w:after="0" w:line="40" w:lineRule="exact"/>
              <w:rPr>
                <w:sz w:val="20"/>
                <w:szCs w:val="20"/>
                <w:color w:val="auto"/>
              </w:rPr>
            </w:pPr>
            <w:r>
              <w:rPr>
                <w:rFonts w:ascii="Arial" w:cs="Arial" w:eastAsia="Arial" w:hAnsi="Arial"/>
                <w:sz w:val="4"/>
                <w:szCs w:val="4"/>
                <w:color w:val="FFFFFF"/>
              </w:rPr>
              <w:t>uncertainty</w:t>
            </w:r>
          </w:p>
        </w:tc>
        <w:tc>
          <w:tcPr>
            <w:tcW w:w="80" w:type="dxa"/>
            <w:vAlign w:val="bottom"/>
          </w:tcPr>
          <w:p>
            <w:pPr>
              <w:spacing w:after="0"/>
              <w:rPr>
                <w:sz w:val="3"/>
                <w:szCs w:val="3"/>
                <w:color w:val="auto"/>
              </w:rPr>
            </w:pPr>
          </w:p>
        </w:tc>
        <w:tc>
          <w:tcPr>
            <w:tcW w:w="4140" w:type="dxa"/>
            <w:vAlign w:val="bottom"/>
            <w:gridSpan w:val="3"/>
            <w:vMerge w:val="restart"/>
          </w:tcPr>
          <w:p>
            <w:pPr>
              <w:ind w:left="20"/>
              <w:spacing w:after="0" w:line="79" w:lineRule="exact"/>
              <w:rPr>
                <w:sz w:val="20"/>
                <w:szCs w:val="20"/>
                <w:color w:val="auto"/>
              </w:rPr>
            </w:pPr>
            <w:r>
              <w:rPr>
                <w:rFonts w:ascii="Arial" w:cs="Arial" w:eastAsia="Arial" w:hAnsi="Arial"/>
                <w:sz w:val="9"/>
                <w:szCs w:val="9"/>
                <w:color w:val="FFFFFF"/>
              </w:rPr>
              <w:t>Continued improvements in the NN Operating System</w:t>
            </w:r>
          </w:p>
        </w:tc>
        <w:tc>
          <w:tcPr>
            <w:tcW w:w="0" w:type="dxa"/>
            <w:vAlign w:val="bottom"/>
          </w:tcPr>
          <w:p>
            <w:pPr>
              <w:spacing w:after="0" w:line="20" w:lineRule="exact"/>
              <w:rPr>
                <w:sz w:val="1"/>
                <w:szCs w:val="1"/>
                <w:color w:val="auto"/>
              </w:rPr>
            </w:pPr>
          </w:p>
        </w:tc>
      </w:tr>
      <w:tr>
        <w:trPr>
          <w:trHeight w:val="39"/>
        </w:trPr>
        <w:tc>
          <w:tcPr>
            <w:tcW w:w="820" w:type="dxa"/>
            <w:vAlign w:val="bottom"/>
            <w:gridSpan w:val="4"/>
          </w:tcPr>
          <w:p>
            <w:pPr>
              <w:spacing w:after="0" w:line="40" w:lineRule="exact"/>
              <w:rPr>
                <w:sz w:val="20"/>
                <w:szCs w:val="20"/>
                <w:color w:val="auto"/>
              </w:rPr>
            </w:pPr>
            <w:r>
              <w:rPr>
                <w:rFonts w:ascii="Arial" w:cs="Arial" w:eastAsia="Arial" w:hAnsi="Arial"/>
                <w:sz w:val="4"/>
                <w:szCs w:val="4"/>
                <w:color w:val="FFFFFF"/>
              </w:rPr>
              <w:t>Adj. Operating</w:t>
            </w:r>
          </w:p>
        </w:tc>
        <w:tc>
          <w:tcPr>
            <w:tcW w:w="80" w:type="dxa"/>
            <w:vAlign w:val="bottom"/>
          </w:tcPr>
          <w:p>
            <w:pPr>
              <w:spacing w:after="0"/>
              <w:rPr>
                <w:sz w:val="3"/>
                <w:szCs w:val="3"/>
                <w:color w:val="auto"/>
              </w:rPr>
            </w:pPr>
          </w:p>
        </w:tc>
        <w:tc>
          <w:tcPr>
            <w:tcW w:w="41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20" w:type="dxa"/>
            <w:vAlign w:val="bottom"/>
          </w:tcPr>
          <w:p>
            <w:pPr>
              <w:spacing w:after="0"/>
              <w:rPr>
                <w:sz w:val="3"/>
                <w:szCs w:val="3"/>
                <w:color w:val="auto"/>
              </w:rPr>
            </w:pPr>
          </w:p>
        </w:tc>
        <w:tc>
          <w:tcPr>
            <w:tcW w:w="1740" w:type="dxa"/>
            <w:vAlign w:val="bottom"/>
            <w:gridSpan w:val="5"/>
          </w:tcPr>
          <w:p>
            <w:pPr>
              <w:ind w:left="20"/>
              <w:spacing w:after="0" w:line="40" w:lineRule="exact"/>
              <w:rPr>
                <w:sz w:val="20"/>
                <w:szCs w:val="20"/>
                <w:color w:val="auto"/>
              </w:rPr>
            </w:pPr>
            <w:r>
              <w:rPr>
                <w:rFonts w:ascii="Arial" w:cs="Arial" w:eastAsia="Arial" w:hAnsi="Arial"/>
                <w:sz w:val="4"/>
                <w:szCs w:val="4"/>
                <w:color w:val="FFFFFF"/>
              </w:rPr>
              <w:t>12.5% -13.2%12.9% -13.3%</w:t>
            </w:r>
          </w:p>
        </w:tc>
        <w:tc>
          <w:tcPr>
            <w:tcW w:w="6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20" w:type="dxa"/>
            <w:vAlign w:val="bottom"/>
            <w:gridSpan w:val="2"/>
          </w:tcPr>
          <w:p>
            <w:pPr>
              <w:spacing w:after="0" w:line="40" w:lineRule="exact"/>
              <w:rPr>
                <w:sz w:val="20"/>
                <w:szCs w:val="20"/>
                <w:color w:val="auto"/>
              </w:rPr>
            </w:pPr>
            <w:r>
              <w:rPr>
                <w:rFonts w:ascii="Arial" w:cs="Arial" w:eastAsia="Arial" w:hAnsi="Arial"/>
                <w:sz w:val="4"/>
                <w:szCs w:val="4"/>
                <w:color w:val="FFFFFF"/>
              </w:rPr>
              <w:t>Margin</w:t>
            </w:r>
          </w:p>
        </w:tc>
        <w:tc>
          <w:tcPr>
            <w:tcW w:w="1340" w:type="dxa"/>
            <w:vAlign w:val="bottom"/>
            <w:gridSpan w:val="4"/>
          </w:tcPr>
          <w:p>
            <w:pPr>
              <w:spacing w:after="0" w:line="40" w:lineRule="exact"/>
              <w:rPr>
                <w:sz w:val="20"/>
                <w:szCs w:val="20"/>
                <w:color w:val="auto"/>
              </w:rPr>
            </w:pPr>
            <w:r>
              <w:rPr>
                <w:rFonts w:ascii="Arial" w:cs="Arial" w:eastAsia="Arial" w:hAnsi="Arial"/>
                <w:sz w:val="4"/>
                <w:szCs w:val="4"/>
                <w:color w:val="FFFFFF"/>
              </w:rPr>
              <w:t>driving expansion</w:t>
            </w:r>
          </w:p>
        </w:tc>
        <w:tc>
          <w:tcPr>
            <w:tcW w:w="3180" w:type="dxa"/>
            <w:vAlign w:val="bottom"/>
            <w:gridSpan w:val="2"/>
            <w:vMerge w:val="restart"/>
          </w:tcPr>
          <w:p>
            <w:pPr>
              <w:ind w:left="400"/>
              <w:spacing w:after="0" w:line="79" w:lineRule="exact"/>
              <w:rPr>
                <w:sz w:val="20"/>
                <w:szCs w:val="20"/>
                <w:color w:val="auto"/>
              </w:rPr>
            </w:pPr>
            <w:r>
              <w:rPr>
                <w:rFonts w:ascii="Arial" w:cs="Arial" w:eastAsia="Arial" w:hAnsi="Arial"/>
                <w:sz w:val="9"/>
                <w:szCs w:val="9"/>
                <w:color w:val="FFFFFF"/>
              </w:rPr>
              <w:t>-$166M</w:t>
            </w:r>
          </w:p>
        </w:tc>
        <w:tc>
          <w:tcPr>
            <w:tcW w:w="0" w:type="dxa"/>
            <w:vAlign w:val="bottom"/>
          </w:tcPr>
          <w:p>
            <w:pPr>
              <w:spacing w:after="0" w:line="20" w:lineRule="exact"/>
              <w:rPr>
                <w:sz w:val="1"/>
                <w:szCs w:val="1"/>
                <w:color w:val="auto"/>
              </w:rPr>
            </w:pPr>
          </w:p>
        </w:tc>
      </w:tr>
      <w:tr>
        <w:trPr>
          <w:trHeight w:val="39"/>
        </w:trPr>
        <w:tc>
          <w:tcPr>
            <w:tcW w:w="120" w:type="dxa"/>
            <w:vAlign w:val="bottom"/>
          </w:tcPr>
          <w:p>
            <w:pPr>
              <w:spacing w:after="0"/>
              <w:rPr>
                <w:sz w:val="3"/>
                <w:szCs w:val="3"/>
                <w:color w:val="auto"/>
              </w:rPr>
            </w:pPr>
          </w:p>
        </w:tc>
        <w:tc>
          <w:tcPr>
            <w:tcW w:w="700" w:type="dxa"/>
            <w:vAlign w:val="bottom"/>
            <w:gridSpan w:val="3"/>
          </w:tcPr>
          <w:p>
            <w:pPr>
              <w:ind w:left="220"/>
              <w:spacing w:after="0" w:line="40" w:lineRule="exact"/>
              <w:rPr>
                <w:sz w:val="20"/>
                <w:szCs w:val="20"/>
                <w:color w:val="auto"/>
              </w:rPr>
            </w:pPr>
            <w:r>
              <w:rPr>
                <w:rFonts w:ascii="Arial" w:cs="Arial" w:eastAsia="Arial" w:hAnsi="Arial"/>
                <w:sz w:val="4"/>
                <w:szCs w:val="4"/>
                <w:color w:val="FFFFFF"/>
              </w:rPr>
              <w:t>BITDA</w:t>
            </w:r>
          </w:p>
        </w:tc>
        <w:tc>
          <w:tcPr>
            <w:tcW w:w="1040" w:type="dxa"/>
            <w:vAlign w:val="bottom"/>
            <w:gridSpan w:val="2"/>
          </w:tcPr>
          <w:p>
            <w:pPr>
              <w:ind w:left="60"/>
              <w:spacing w:after="0" w:line="40" w:lineRule="exact"/>
              <w:rPr>
                <w:sz w:val="20"/>
                <w:szCs w:val="20"/>
                <w:color w:val="auto"/>
              </w:rPr>
            </w:pPr>
            <w:r>
              <w:rPr>
                <w:rFonts w:ascii="Arial" w:cs="Arial" w:eastAsia="Arial" w:hAnsi="Arial"/>
                <w:sz w:val="4"/>
                <w:szCs w:val="4"/>
                <w:color w:val="FFFFFF"/>
              </w:rPr>
              <w:t>$162.5M—</w:t>
            </w:r>
          </w:p>
        </w:tc>
        <w:tc>
          <w:tcPr>
            <w:tcW w:w="31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60" w:type="dxa"/>
            <w:vAlign w:val="bottom"/>
            <w:gridSpan w:val="3"/>
          </w:tcPr>
          <w:p>
            <w:pPr>
              <w:spacing w:after="0" w:line="40" w:lineRule="exact"/>
              <w:rPr>
                <w:sz w:val="20"/>
                <w:szCs w:val="20"/>
                <w:color w:val="auto"/>
              </w:rPr>
            </w:pPr>
            <w:r>
              <w:rPr>
                <w:rFonts w:ascii="Arial" w:cs="Arial" w:eastAsia="Arial" w:hAnsi="Arial"/>
                <w:sz w:val="4"/>
                <w:szCs w:val="4"/>
                <w:color w:val="FFFFFF"/>
              </w:rPr>
              <w:t>Adj. EPS1</w:t>
            </w:r>
          </w:p>
        </w:tc>
        <w:tc>
          <w:tcPr>
            <w:tcW w:w="1300" w:type="dxa"/>
            <w:vAlign w:val="bottom"/>
            <w:gridSpan w:val="3"/>
          </w:tcPr>
          <w:p>
            <w:pPr>
              <w:ind w:left="120"/>
              <w:spacing w:after="0" w:line="40" w:lineRule="exact"/>
              <w:rPr>
                <w:sz w:val="20"/>
                <w:szCs w:val="20"/>
                <w:color w:val="auto"/>
              </w:rPr>
            </w:pPr>
            <w:r>
              <w:rPr>
                <w:rFonts w:ascii="Arial" w:cs="Arial" w:eastAsia="Arial" w:hAnsi="Arial"/>
                <w:sz w:val="4"/>
                <w:szCs w:val="4"/>
                <w:color w:val="FFFFFF"/>
              </w:rPr>
              <w:t>$1.60 -$1.80$1.55$175M-</w:t>
            </w:r>
          </w:p>
        </w:tc>
        <w:tc>
          <w:tcPr>
            <w:tcW w:w="620" w:type="dxa"/>
            <w:vAlign w:val="bottom"/>
          </w:tcPr>
          <w:p>
            <w:pPr>
              <w:spacing w:after="0" w:line="40" w:lineRule="exact"/>
              <w:rPr>
                <w:sz w:val="20"/>
                <w:szCs w:val="20"/>
                <w:color w:val="auto"/>
              </w:rPr>
            </w:pPr>
            <w:r>
              <w:rPr>
                <w:rFonts w:ascii="Arial" w:cs="Arial" w:eastAsia="Arial" w:hAnsi="Arial"/>
                <w:sz w:val="4"/>
                <w:szCs w:val="4"/>
                <w:color w:val="FFFFFF"/>
              </w:rPr>
              <w:t>$.65Benefits158M</w:t>
            </w:r>
          </w:p>
        </w:tc>
        <w:tc>
          <w:tcPr>
            <w:tcW w:w="2560" w:type="dxa"/>
            <w:vAlign w:val="bottom"/>
          </w:tcPr>
          <w:p>
            <w:pPr>
              <w:spacing w:after="0" w:line="40" w:lineRule="exact"/>
              <w:rPr>
                <w:sz w:val="20"/>
                <w:szCs w:val="20"/>
                <w:color w:val="auto"/>
              </w:rPr>
            </w:pPr>
            <w:r>
              <w:rPr>
                <w:rFonts w:ascii="Arial" w:cs="Arial" w:eastAsia="Arial" w:hAnsi="Arial"/>
                <w:sz w:val="4"/>
                <w:szCs w:val="4"/>
                <w:color w:val="FFFFFF"/>
              </w:rPr>
              <w:t>of our portfolio balance and operating</w:t>
            </w:r>
          </w:p>
        </w:tc>
        <w:tc>
          <w:tcPr>
            <w:tcW w:w="0" w:type="dxa"/>
            <w:vAlign w:val="bottom"/>
          </w:tcPr>
          <w:p>
            <w:pPr>
              <w:spacing w:after="0" w:line="20" w:lineRule="exact"/>
              <w:rPr>
                <w:sz w:val="1"/>
                <w:szCs w:val="1"/>
                <w:color w:val="auto"/>
              </w:rPr>
            </w:pPr>
          </w:p>
        </w:tc>
      </w:tr>
      <w:tr>
        <w:trPr>
          <w:trHeight w:val="39"/>
        </w:trPr>
        <w:tc>
          <w:tcPr>
            <w:tcW w:w="120" w:type="dxa"/>
            <w:vAlign w:val="bottom"/>
          </w:tcPr>
          <w:p>
            <w:pPr>
              <w:spacing w:after="0"/>
              <w:rPr>
                <w:sz w:val="3"/>
                <w:szCs w:val="3"/>
                <w:color w:val="auto"/>
              </w:rPr>
            </w:pPr>
          </w:p>
        </w:tc>
        <w:tc>
          <w:tcPr>
            <w:tcW w:w="4920" w:type="dxa"/>
            <w:vAlign w:val="bottom"/>
            <w:gridSpan w:val="7"/>
          </w:tcPr>
          <w:p>
            <w:pPr>
              <w:ind w:left="20"/>
              <w:spacing w:after="0" w:line="40" w:lineRule="exact"/>
              <w:rPr>
                <w:sz w:val="20"/>
                <w:szCs w:val="20"/>
                <w:color w:val="auto"/>
              </w:rPr>
            </w:pPr>
            <w:r>
              <w:rPr>
                <w:rFonts w:ascii="Arial" w:cs="Arial" w:eastAsia="Arial" w:hAnsi="Arial"/>
                <w:sz w:val="4"/>
                <w:szCs w:val="4"/>
                <w:color w:val="FFFFFF"/>
              </w:rPr>
              <w:t>improvements will continue to offset industrial weakness</w:t>
            </w:r>
          </w:p>
        </w:tc>
        <w:tc>
          <w:tcPr>
            <w:tcW w:w="0" w:type="dxa"/>
            <w:vAlign w:val="bottom"/>
          </w:tcPr>
          <w:p>
            <w:pPr>
              <w:spacing w:after="0" w:line="20" w:lineRule="exact"/>
              <w:rPr>
                <w:sz w:val="1"/>
                <w:szCs w:val="1"/>
                <w:color w:val="auto"/>
              </w:rPr>
            </w:pPr>
          </w:p>
        </w:tc>
      </w:tr>
      <w:tr>
        <w:trPr>
          <w:trHeight w:val="39"/>
        </w:trPr>
        <w:tc>
          <w:tcPr>
            <w:tcW w:w="520" w:type="dxa"/>
            <w:vAlign w:val="bottom"/>
            <w:gridSpan w:val="2"/>
          </w:tcPr>
          <w:p>
            <w:pPr>
              <w:spacing w:after="0" w:line="40" w:lineRule="exact"/>
              <w:rPr>
                <w:sz w:val="20"/>
                <w:szCs w:val="20"/>
                <w:color w:val="auto"/>
              </w:rPr>
            </w:pPr>
            <w:r>
              <w:rPr>
                <w:rFonts w:ascii="Arial" w:cs="Arial" w:eastAsia="Arial" w:hAnsi="Arial"/>
                <w:sz w:val="4"/>
                <w:szCs w:val="4"/>
                <w:color w:val="FFFFFF"/>
              </w:rPr>
              <w:t>CAPEX</w:t>
            </w:r>
          </w:p>
        </w:tc>
        <w:tc>
          <w:tcPr>
            <w:tcW w:w="40" w:type="dxa"/>
            <w:vAlign w:val="bottom"/>
          </w:tcPr>
          <w:p>
            <w:pPr>
              <w:spacing w:after="0"/>
              <w:rPr>
                <w:sz w:val="3"/>
                <w:szCs w:val="3"/>
                <w:color w:val="auto"/>
              </w:rPr>
            </w:pPr>
          </w:p>
        </w:tc>
        <w:tc>
          <w:tcPr>
            <w:tcW w:w="4480" w:type="dxa"/>
            <w:vAlign w:val="bottom"/>
            <w:gridSpan w:val="5"/>
          </w:tcPr>
          <w:p>
            <w:pPr>
              <w:spacing w:after="0" w:line="40" w:lineRule="exact"/>
              <w:rPr>
                <w:sz w:val="20"/>
                <w:szCs w:val="20"/>
                <w:color w:val="auto"/>
              </w:rPr>
            </w:pPr>
            <w:r>
              <w:rPr>
                <w:rFonts w:ascii="Arial" w:cs="Arial" w:eastAsia="Arial" w:hAnsi="Arial"/>
                <w:sz w:val="4"/>
                <w:szCs w:val="4"/>
                <w:color w:val="FFFFFF"/>
              </w:rPr>
              <w:t>$40M -$50M$35M -$40MWe continue to invest in growth</w:t>
            </w:r>
          </w:p>
        </w:tc>
        <w:tc>
          <w:tcPr>
            <w:tcW w:w="0" w:type="dxa"/>
            <w:vAlign w:val="bottom"/>
          </w:tcPr>
          <w:p>
            <w:pPr>
              <w:spacing w:after="0" w:line="20" w:lineRule="exact"/>
              <w:rPr>
                <w:sz w:val="1"/>
                <w:szCs w:val="1"/>
                <w:color w:val="auto"/>
              </w:rPr>
            </w:pPr>
          </w:p>
        </w:tc>
      </w:tr>
      <w:tr>
        <w:trPr>
          <w:trHeight w:val="39"/>
        </w:trPr>
        <w:tc>
          <w:tcPr>
            <w:tcW w:w="820" w:type="dxa"/>
            <w:vAlign w:val="bottom"/>
            <w:gridSpan w:val="4"/>
          </w:tcPr>
          <w:p>
            <w:pPr>
              <w:spacing w:after="0" w:line="40" w:lineRule="exact"/>
              <w:rPr>
                <w:sz w:val="20"/>
                <w:szCs w:val="20"/>
                <w:color w:val="auto"/>
              </w:rPr>
            </w:pPr>
            <w:r>
              <w:rPr>
                <w:rFonts w:ascii="Arial" w:cs="Arial" w:eastAsia="Arial" w:hAnsi="Arial"/>
                <w:sz w:val="4"/>
                <w:szCs w:val="4"/>
                <w:color w:val="FFFFFF"/>
              </w:rPr>
              <w:t>Adj. Tax Rate2</w:t>
            </w:r>
          </w:p>
        </w:tc>
        <w:tc>
          <w:tcPr>
            <w:tcW w:w="80" w:type="dxa"/>
            <w:vAlign w:val="bottom"/>
          </w:tcPr>
          <w:p>
            <w:pPr>
              <w:spacing w:after="0"/>
              <w:rPr>
                <w:sz w:val="3"/>
                <w:szCs w:val="3"/>
                <w:color w:val="auto"/>
              </w:rPr>
            </w:pPr>
          </w:p>
        </w:tc>
        <w:tc>
          <w:tcPr>
            <w:tcW w:w="1580" w:type="dxa"/>
            <w:vAlign w:val="bottom"/>
            <w:gridSpan w:val="2"/>
          </w:tcPr>
          <w:p>
            <w:pPr>
              <w:ind w:left="40"/>
              <w:spacing w:after="0" w:line="40" w:lineRule="exact"/>
              <w:rPr>
                <w:sz w:val="20"/>
                <w:szCs w:val="20"/>
                <w:color w:val="auto"/>
              </w:rPr>
            </w:pPr>
            <w:r>
              <w:rPr>
                <w:rFonts w:ascii="Arial" w:cs="Arial" w:eastAsia="Arial" w:hAnsi="Arial"/>
                <w:sz w:val="4"/>
                <w:szCs w:val="4"/>
                <w:color w:val="FFFFFF"/>
              </w:rPr>
              <w:t>22% -26%14% -22%</w:t>
            </w:r>
          </w:p>
        </w:tc>
        <w:tc>
          <w:tcPr>
            <w:tcW w:w="2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040" w:type="dxa"/>
            <w:vAlign w:val="bottom"/>
            <w:gridSpan w:val="8"/>
          </w:tcPr>
          <w:p>
            <w:pPr>
              <w:spacing w:after="0" w:line="40" w:lineRule="exact"/>
              <w:rPr>
                <w:sz w:val="20"/>
                <w:szCs w:val="20"/>
                <w:color w:val="auto"/>
              </w:rPr>
            </w:pPr>
            <w:r>
              <w:rPr>
                <w:rFonts w:ascii="Arial" w:cs="Arial" w:eastAsia="Arial" w:hAnsi="Arial"/>
                <w:sz w:val="4"/>
                <w:szCs w:val="4"/>
                <w:color w:val="FFFFFF"/>
              </w:rPr>
              <w:t>Free Cash Flow3  $50M -$60M$50M -$60MSignificant increase in free cash flow allows us to</w:t>
            </w:r>
          </w:p>
        </w:tc>
        <w:tc>
          <w:tcPr>
            <w:tcW w:w="0" w:type="dxa"/>
            <w:vAlign w:val="bottom"/>
          </w:tcPr>
          <w:p>
            <w:pPr>
              <w:spacing w:after="0" w:line="20" w:lineRule="exact"/>
              <w:rPr>
                <w:sz w:val="1"/>
                <w:szCs w:val="1"/>
                <w:color w:val="auto"/>
              </w:rPr>
            </w:pPr>
          </w:p>
        </w:tc>
      </w:tr>
      <w:tr>
        <w:trPr>
          <w:trHeight w:val="39"/>
        </w:trPr>
        <w:tc>
          <w:tcPr>
            <w:tcW w:w="120" w:type="dxa"/>
            <w:vAlign w:val="bottom"/>
            <w:vMerge w:val="restart"/>
          </w:tcPr>
          <w:p>
            <w:pPr>
              <w:spacing w:after="0" w:line="38" w:lineRule="exact"/>
              <w:rPr>
                <w:sz w:val="20"/>
                <w:szCs w:val="20"/>
                <w:color w:val="auto"/>
              </w:rPr>
            </w:pPr>
            <w:r>
              <w:rPr>
                <w:rFonts w:ascii="Arial" w:cs="Arial" w:eastAsia="Arial" w:hAnsi="Arial"/>
                <w:sz w:val="4"/>
                <w:szCs w:val="4"/>
                <w:color w:val="FFFFFF"/>
              </w:rPr>
              <w:t>1:</w:t>
            </w:r>
          </w:p>
        </w:tc>
        <w:tc>
          <w:tcPr>
            <w:tcW w:w="780" w:type="dxa"/>
            <w:vAlign w:val="bottom"/>
            <w:gridSpan w:val="4"/>
          </w:tcPr>
          <w:p>
            <w:pPr>
              <w:ind w:left="20"/>
              <w:spacing w:after="0" w:line="40" w:lineRule="exact"/>
              <w:rPr>
                <w:sz w:val="20"/>
                <w:szCs w:val="20"/>
                <w:color w:val="auto"/>
              </w:rPr>
            </w:pPr>
            <w:r>
              <w:rPr>
                <w:rFonts w:ascii="Arial" w:cs="Arial" w:eastAsia="Arial" w:hAnsi="Arial"/>
                <w:sz w:val="4"/>
                <w:szCs w:val="4"/>
                <w:color w:val="FFFFFF"/>
              </w:rPr>
              <w:t>de-lever faster</w:t>
            </w: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0"/>
        </w:trPr>
        <w:tc>
          <w:tcPr>
            <w:tcW w:w="12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20" w:type="dxa"/>
            <w:vAlign w:val="bottom"/>
            <w:gridSpan w:val="4"/>
          </w:tcPr>
          <w:p>
            <w:pPr>
              <w:ind w:left="20"/>
              <w:spacing w:after="0" w:line="78" w:lineRule="exact"/>
              <w:rPr>
                <w:sz w:val="20"/>
                <w:szCs w:val="20"/>
                <w:color w:val="auto"/>
              </w:rPr>
            </w:pPr>
            <w:r>
              <w:rPr>
                <w:rFonts w:ascii="Arial" w:cs="Arial" w:eastAsia="Arial" w:hAnsi="Arial"/>
                <w:sz w:val="8"/>
                <w:szCs w:val="8"/>
                <w:color w:val="FFFFFF"/>
              </w:rPr>
              <w:t>amortization of intangibles and the amortization of financing charges</w:t>
            </w:r>
          </w:p>
        </w:tc>
        <w:tc>
          <w:tcPr>
            <w:tcW w:w="0" w:type="dxa"/>
            <w:vAlign w:val="bottom"/>
          </w:tcPr>
          <w:p>
            <w:pPr>
              <w:spacing w:after="0" w:line="20" w:lineRule="exact"/>
              <w:rPr>
                <w:sz w:val="1"/>
                <w:szCs w:val="1"/>
                <w:color w:val="auto"/>
              </w:rPr>
            </w:pPr>
          </w:p>
        </w:tc>
      </w:tr>
    </w:tbl>
    <w:p>
      <w:pPr>
        <w:spacing w:after="0" w:line="24" w:lineRule="auto"/>
        <w:rPr>
          <w:sz w:val="20"/>
          <w:szCs w:val="20"/>
          <w:color w:val="auto"/>
        </w:rPr>
      </w:pPr>
      <w:r>
        <w:rPr>
          <w:rFonts w:ascii="Arial" w:cs="Arial" w:eastAsia="Arial" w:hAnsi="Arial"/>
          <w:sz w:val="1"/>
          <w:szCs w:val="1"/>
          <w:color w:val="FFFFFF"/>
        </w:rPr>
        <w:t>2: Excludes the effects of M&amp;A activity</w:t>
      </w:r>
    </w:p>
    <w:p>
      <w:pPr>
        <w:spacing w:after="0" w:line="205" w:lineRule="auto"/>
        <w:tabs>
          <w:tab w:leader="none" w:pos="240" w:val="left"/>
        </w:tabs>
        <w:rPr>
          <w:sz w:val="20"/>
          <w:szCs w:val="20"/>
          <w:color w:val="auto"/>
        </w:rPr>
      </w:pPr>
      <w:r>
        <w:rPr>
          <w:rFonts w:ascii="Arial" w:cs="Arial" w:eastAsia="Arial" w:hAnsi="Arial"/>
          <w:sz w:val="4"/>
          <w:szCs w:val="4"/>
          <w:color w:val="FFFFFF"/>
        </w:rPr>
        <w:t>14</w:t>
      </w:r>
      <w:r>
        <w:rPr>
          <w:sz w:val="20"/>
          <w:szCs w:val="20"/>
          <w:color w:val="auto"/>
        </w:rPr>
        <w:tab/>
      </w:r>
      <w:r>
        <w:rPr>
          <w:rFonts w:ascii="Arial" w:cs="Arial" w:eastAsia="Arial" w:hAnsi="Arial"/>
          <w:sz w:val="4"/>
          <w:szCs w:val="4"/>
          <w:color w:val="FFFFFF"/>
        </w:rPr>
        <w:t>3: Free Cash Flow available for debt repayment</w:t>
      </w:r>
    </w:p>
    <w:p>
      <w:pPr>
        <w:spacing w:after="0"/>
        <w:rPr>
          <w:sz w:val="20"/>
          <w:szCs w:val="20"/>
          <w:color w:val="auto"/>
        </w:rPr>
      </w:pPr>
      <w:r>
        <w:rPr>
          <w:rFonts w:ascii="Arial" w:cs="Arial" w:eastAsia="Arial" w:hAnsi="Arial"/>
          <w:sz w:val="11"/>
          <w:szCs w:val="11"/>
          <w:color w:val="FFFFFF"/>
        </w:rPr>
        <w:t>4: Reconciliation of prior 2016 guidance can be found in the Q1 presentation located on our website</w:t>
      </w:r>
    </w:p>
    <w:p>
      <w:pPr>
        <w:sectPr>
          <w:pgSz w:w="11900" w:h="16838" w:orient="portrait"/>
          <w:cols w:equalWidth="0" w:num="1">
            <w:col w:w="10219"/>
          </w:cols>
          <w:pgMar w:left="240" w:top="1440" w:right="1440"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1"/>
          <w:szCs w:val="11"/>
          <w:color w:val="FFFFFF"/>
        </w:rPr>
        <w:t>Reconciliation Tables</w:t>
      </w:r>
    </w:p>
    <w:p>
      <w:pPr>
        <w:sectPr>
          <w:pgSz w:w="11900" w:h="16838" w:orient="portrait"/>
          <w:cols w:equalWidth="0" w:num="1">
            <w:col w:w="10219"/>
          </w:cols>
          <w:pgMar w:left="240" w:top="1440" w:right="1440"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1"/>
          <w:szCs w:val="11"/>
          <w:color w:val="FFFFFF"/>
        </w:rPr>
        <w:t>16Reconciliation of Adjusted Income from Operations</w:t>
      </w:r>
    </w:p>
    <w:p>
      <w:pPr>
        <w:sectPr>
          <w:pgSz w:w="11900" w:h="16838" w:orient="portrait"/>
          <w:cols w:equalWidth="0" w:num="1">
            <w:col w:w="10219"/>
          </w:cols>
          <w:pgMar w:left="240" w:top="1440" w:right="1440"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1"/>
          <w:szCs w:val="11"/>
          <w:color w:val="FFFFFF"/>
        </w:rPr>
        <w:t>17Reconciliation of Adjusted EBITDA</w:t>
      </w:r>
    </w:p>
    <w:p>
      <w:pPr>
        <w:sectPr>
          <w:pgSz w:w="11900" w:h="16838" w:orient="portrait"/>
          <w:cols w:equalWidth="0" w:num="1">
            <w:col w:w="10219"/>
          </w:cols>
          <w:pgMar w:left="240" w:top="1440" w:right="1440"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1"/>
          <w:szCs w:val="11"/>
          <w:color w:val="FFFFFF"/>
        </w:rPr>
        <w:t>18Reconciliation of Adjusted Net Income</w:t>
      </w:r>
    </w:p>
    <w:p>
      <w:pPr>
        <w:sectPr>
          <w:pgSz w:w="11900" w:h="16838" w:orient="portrait"/>
          <w:cols w:equalWidth="0" w:num="1">
            <w:col w:w="10219"/>
          </w:cols>
          <w:pgMar w:left="240" w:top="1440" w:right="1440"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1"/>
          <w:szCs w:val="11"/>
          <w:color w:val="FFFFFF"/>
        </w:rPr>
        <w:t>193rd Quarter &amp; Full Year Guidance – Adjusted Operating Margin</w:t>
      </w:r>
    </w:p>
    <w:p>
      <w:pPr>
        <w:sectPr>
          <w:pgSz w:w="11900" w:h="16838" w:orient="portrait"/>
          <w:cols w:equalWidth="0" w:num="1">
            <w:col w:w="10219"/>
          </w:cols>
          <w:pgMar w:left="240" w:top="1440" w:right="1440"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1"/>
          <w:szCs w:val="11"/>
          <w:color w:val="FFFFFF"/>
        </w:rPr>
        <w:t>203rd Quarter &amp; Full Year Guidance – Adjusted EBITDA</w:t>
      </w:r>
    </w:p>
    <w:p>
      <w:pPr>
        <w:sectPr>
          <w:pgSz w:w="11900" w:h="16838" w:orient="portrait"/>
          <w:cols w:equalWidth="0" w:num="1">
            <w:col w:w="10219"/>
          </w:cols>
          <w:pgMar w:left="240" w:top="1440" w:right="1440"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1"/>
          <w:szCs w:val="11"/>
          <w:color w:val="FFFFFF"/>
        </w:rPr>
        <w:t>213rd Quarter &amp; Full Year Guidance – Adjusted Net Income &amp; EPS</w:t>
      </w:r>
    </w:p>
    <w:p>
      <w:pPr>
        <w:sectPr>
          <w:pgSz w:w="11900" w:h="16838" w:orient="portrait"/>
          <w:cols w:equalWidth="0" w:num="1">
            <w:col w:w="10219"/>
          </w:cols>
          <w:pgMar w:left="240" w:top="1440" w:right="1440"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1"/>
          <w:szCs w:val="11"/>
          <w:color w:val="FFFFFF"/>
        </w:rPr>
        <w:t>22Full Year Guidance – Free Cash Flow</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upperLetter"/>
      <w:start w:val="40"/>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2019-12-06T04:15:04Z</dcterms:created>
  <dcterms:modified xsi:type="dcterms:W3CDTF">2019-12-06T04:15:04Z</dcterms:modified>
</cp:coreProperties>
</file>