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1700" w:type="dxa"/>
        <w:tblCellMar>
          <w:top w:w="0" w:type="dxa"/>
          <w:left w:w="0" w:type="dxa"/>
          <w:bottom w:w="0" w:type="dxa"/>
          <w:right w:w="0" w:type="dxa"/>
        </w:tblCellMar>
      </w:tblPr>
      <w:tr>
        <w:trPr>
          <w:trHeight w:val="207"/>
        </w:trPr>
        <w:tc>
          <w:tcPr>
            <w:tcW w:w="4180" w:type="dxa"/>
            <w:vAlign w:val="bottom"/>
            <w:gridSpan w:val="2"/>
          </w:tcPr>
          <w:p>
            <w:pPr>
              <w:ind w:left="1800"/>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gridSpan w:val="2"/>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gridSpan w:val="2"/>
          </w:tcPr>
          <w:p>
            <w:pPr>
              <w:spacing w:after="0"/>
              <w:rPr>
                <w:sz w:val="17"/>
                <w:szCs w:val="17"/>
                <w:color w:val="auto"/>
              </w:rPr>
            </w:pPr>
          </w:p>
        </w:tc>
        <w:tc>
          <w:tcPr>
            <w:tcW w:w="1300" w:type="dxa"/>
            <w:vAlign w:val="bottom"/>
          </w:tcPr>
          <w:p>
            <w:pPr>
              <w:spacing w:after="0"/>
              <w:rPr>
                <w:sz w:val="17"/>
                <w:szCs w:val="17"/>
                <w:color w:val="auto"/>
              </w:rPr>
            </w:pPr>
          </w:p>
        </w:tc>
      </w:tr>
      <w:tr>
        <w:trPr>
          <w:trHeight w:val="412"/>
        </w:trPr>
        <w:tc>
          <w:tcPr>
            <w:tcW w:w="7520" w:type="dxa"/>
            <w:vAlign w:val="bottom"/>
            <w:gridSpan w:val="9"/>
          </w:tcPr>
          <w:p>
            <w:pPr>
              <w:jc w:val="center"/>
              <w:ind w:left="436"/>
              <w:spacing w:after="0"/>
              <w:rPr>
                <w:sz w:val="20"/>
                <w:szCs w:val="20"/>
                <w:color w:val="auto"/>
              </w:rPr>
            </w:pPr>
            <w:r>
              <w:rPr>
                <w:rFonts w:ascii="Arial" w:cs="Arial" w:eastAsia="Arial" w:hAnsi="Arial"/>
                <w:sz w:val="18"/>
                <w:szCs w:val="18"/>
                <w:b w:val="1"/>
                <w:bCs w:val="1"/>
                <w:color w:val="auto"/>
                <w:w w:val="90"/>
              </w:rPr>
              <w:t>Commission file number 000-23486</w:t>
            </w:r>
          </w:p>
        </w:tc>
      </w:tr>
      <w:tr>
        <w:trPr>
          <w:trHeight w:val="372"/>
        </w:trPr>
        <w:tc>
          <w:tcPr>
            <w:tcW w:w="28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91"/>
        </w:trPr>
        <w:tc>
          <w:tcPr>
            <w:tcW w:w="2820" w:type="dxa"/>
            <w:vAlign w:val="bottom"/>
          </w:tcPr>
          <w:p>
            <w:pPr>
              <w:spacing w:after="0"/>
              <w:rPr>
                <w:sz w:val="24"/>
                <w:szCs w:val="24"/>
                <w:color w:val="auto"/>
              </w:rPr>
            </w:pPr>
          </w:p>
        </w:tc>
        <w:tc>
          <w:tcPr>
            <w:tcW w:w="2260" w:type="dxa"/>
            <w:vAlign w:val="bottom"/>
            <w:gridSpan w:val="3"/>
          </w:tcPr>
          <w:p>
            <w:pPr>
              <w:jc w:val="center"/>
              <w:spacing w:after="0"/>
              <w:rPr>
                <w:sz w:val="20"/>
                <w:szCs w:val="20"/>
                <w:color w:val="auto"/>
              </w:rPr>
            </w:pPr>
            <w:r>
              <w:rPr>
                <w:rFonts w:ascii="Arial" w:cs="Arial" w:eastAsia="Arial" w:hAnsi="Arial"/>
                <w:sz w:val="43"/>
                <w:szCs w:val="43"/>
                <w:b w:val="1"/>
                <w:bCs w:val="1"/>
                <w:color w:val="auto"/>
              </w:rPr>
              <w:t>NN,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7520" w:type="dxa"/>
            <w:vAlign w:val="bottom"/>
            <w:gridSpan w:val="9"/>
          </w:tcPr>
          <w:p>
            <w:pPr>
              <w:jc w:val="center"/>
              <w:ind w:left="41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65"/>
        </w:trPr>
        <w:tc>
          <w:tcPr>
            <w:tcW w:w="28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7"/>
        </w:trPr>
        <w:tc>
          <w:tcPr>
            <w:tcW w:w="508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3"/>
              </w:rPr>
              <w:t>Delaware</w:t>
            </w:r>
          </w:p>
        </w:tc>
        <w:tc>
          <w:tcPr>
            <w:tcW w:w="2440" w:type="dxa"/>
            <w:vAlign w:val="bottom"/>
            <w:gridSpan w:val="5"/>
          </w:tcPr>
          <w:p>
            <w:pPr>
              <w:jc w:val="right"/>
              <w:ind w:right="68"/>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5080" w:type="dxa"/>
            <w:vAlign w:val="bottom"/>
            <w:gridSpan w:val="4"/>
          </w:tcPr>
          <w:p>
            <w:pPr>
              <w:jc w:val="center"/>
              <w:ind w:right="26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080" w:type="dxa"/>
            <w:vAlign w:val="bottom"/>
            <w:gridSpan w:val="4"/>
          </w:tcPr>
          <w:p>
            <w:pPr>
              <w:jc w:val="center"/>
              <w:ind w:right="2680"/>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5080" w:type="dxa"/>
            <w:vAlign w:val="bottom"/>
            <w:gridSpan w:val="4"/>
          </w:tcPr>
          <w:p>
            <w:pPr>
              <w:jc w:val="center"/>
              <w:ind w:right="2680"/>
              <w:spacing w:after="0"/>
              <w:rPr>
                <w:sz w:val="20"/>
                <w:szCs w:val="20"/>
                <w:color w:val="auto"/>
              </w:rPr>
            </w:pPr>
            <w:r>
              <w:rPr>
                <w:rFonts w:ascii="Arial" w:cs="Arial" w:eastAsia="Arial" w:hAnsi="Arial"/>
                <w:sz w:val="18"/>
                <w:szCs w:val="18"/>
                <w:b w:val="1"/>
                <w:bCs w:val="1"/>
                <w:color w:val="auto"/>
                <w:w w:val="93"/>
              </w:rPr>
              <w:t>207 Mockingbird Lane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508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85"/>
              </w:rPr>
              <w:t>Johnson City, Tennessee</w:t>
            </w:r>
          </w:p>
        </w:tc>
        <w:tc>
          <w:tcPr>
            <w:tcW w:w="2440" w:type="dxa"/>
            <w:vAlign w:val="bottom"/>
            <w:gridSpan w:val="5"/>
          </w:tcPr>
          <w:p>
            <w:pPr>
              <w:jc w:val="right"/>
              <w:ind w:right="268"/>
              <w:spacing w:after="0"/>
              <w:rPr>
                <w:sz w:val="20"/>
                <w:szCs w:val="20"/>
                <w:color w:val="auto"/>
              </w:rPr>
            </w:pPr>
            <w:r>
              <w:rPr>
                <w:rFonts w:ascii="Arial" w:cs="Arial" w:eastAsia="Arial" w:hAnsi="Arial"/>
                <w:sz w:val="18"/>
                <w:szCs w:val="18"/>
                <w:b w:val="1"/>
                <w:bCs w:val="1"/>
                <w:color w:val="auto"/>
              </w:rPr>
              <w:t>37604</w:t>
            </w:r>
          </w:p>
        </w:tc>
      </w:tr>
      <w:tr>
        <w:trPr>
          <w:trHeight w:val="186"/>
        </w:trPr>
        <w:tc>
          <w:tcPr>
            <w:tcW w:w="5080" w:type="dxa"/>
            <w:vAlign w:val="bottom"/>
            <w:gridSpan w:val="4"/>
          </w:tcPr>
          <w:p>
            <w:pPr>
              <w:jc w:val="center"/>
              <w:ind w:right="2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(423) 434-8300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1660" w:type="dxa"/>
        <w:tblCellMar>
          <w:top w:w="0" w:type="dxa"/>
          <w:left w:w="0" w:type="dxa"/>
          <w:bottom w:w="0" w:type="dxa"/>
          <w:right w:w="0" w:type="dxa"/>
        </w:tblCellMar>
      </w:tblPr>
      <w:tr>
        <w:trPr>
          <w:trHeight w:val="171"/>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w w:val="84"/>
              </w:rPr>
              <w:t>Common</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Title of each class</w:t>
            </w:r>
          </w:p>
        </w:tc>
        <w:tc>
          <w:tcPr>
            <w:tcW w:w="3880" w:type="dxa"/>
            <w:vAlign w:val="bottom"/>
          </w:tcPr>
          <w:p>
            <w:pPr>
              <w:spacing w:after="0"/>
              <w:rPr>
                <w:sz w:val="14"/>
                <w:szCs w:val="14"/>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680" w:type="dxa"/>
            <w:vAlign w:val="bottom"/>
            <w:vMerge w:val="continue"/>
          </w:tcPr>
          <w:p>
            <w:pPr>
              <w:spacing w:after="0"/>
              <w:rPr>
                <w:sz w:val="19"/>
                <w:szCs w:val="19"/>
                <w:color w:val="auto"/>
              </w:rPr>
            </w:pPr>
          </w:p>
        </w:tc>
        <w:tc>
          <w:tcPr>
            <w:tcW w:w="4980" w:type="dxa"/>
            <w:vAlign w:val="bottom"/>
            <w:gridSpan w:val="2"/>
          </w:tcPr>
          <w:p>
            <w:pPr>
              <w:ind w:left="80"/>
              <w:spacing w:after="0"/>
              <w:rPr>
                <w:sz w:val="20"/>
                <w:szCs w:val="20"/>
                <w:color w:val="auto"/>
              </w:rPr>
            </w:pPr>
            <w:r>
              <w:rPr>
                <w:rFonts w:ascii="Arial" w:cs="Arial" w:eastAsia="Arial" w:hAnsi="Arial"/>
                <w:sz w:val="18"/>
                <w:szCs w:val="18"/>
                <w:b w:val="1"/>
                <w:bCs w:val="1"/>
                <w:color w:val="auto"/>
              </w:rPr>
              <w:t>Stock, par value $0.01</w:t>
            </w: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bookmarkStart w:id="1" w:name="page2"/>
    <w:bookmarkEnd w:id="1"/>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9" w:lineRule="exact"/>
        <w:rPr>
          <w:sz w:val="20"/>
          <w:szCs w:val="20"/>
          <w:color w:val="auto"/>
        </w:rPr>
      </w:pPr>
    </w:p>
    <w:p>
      <w:pPr>
        <w:sectPr>
          <w:pgSz w:w="11900" w:h="16838" w:orient="portrait"/>
          <w:cols w:equalWidth="0" w:num="5">
            <w:col w:w="8460" w:space="180"/>
            <w:col w:w="260" w:space="80"/>
            <w:col w:w="160" w:space="180"/>
            <w:col w:w="220" w:space="100"/>
            <w:col w:w="1780"/>
          </w:cols>
          <w:pgMar w:left="240" w:top="91" w:right="2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620" w:space="160"/>
            <w:col w:w="260" w:space="100"/>
            <w:col w:w="160" w:space="180"/>
            <w:col w:w="220" w:space="80"/>
            <w:col w:w="1640"/>
          </w:cols>
          <w:pgMar w:left="240" w:top="91" w:right="239" w:bottom="1440" w:gutter="0" w:footer="0" w:header="0"/>
          <w:type w:val="continuous"/>
        </w:sectPr>
      </w:pPr>
    </w:p>
    <w:p>
      <w:pPr>
        <w:spacing w:after="0" w:line="37" w:lineRule="exact"/>
        <w:rPr>
          <w:sz w:val="20"/>
          <w:szCs w:val="20"/>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91" w:right="2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91"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9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7420" w:space="180"/>
            <w:col w:w="260" w:space="80"/>
            <w:col w:w="160" w:space="180"/>
            <w:col w:w="220" w:space="100"/>
            <w:col w:w="2820"/>
          </w:cols>
          <w:pgMar w:left="240" w:top="91" w:right="239" w:bottom="1440" w:gutter="0" w:footer="0" w:header="0"/>
          <w:type w:val="continuous"/>
        </w:sectPr>
      </w:pPr>
    </w:p>
    <w:p>
      <w:pPr>
        <w:spacing w:after="0" w:line="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2015, based on the closing price on the NASDAQ Stock Market LLC on that date was approximately $464,000,000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February 26, 2016 was 26,842,051.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Portions of the Proxy Statement with respect to the 2016 Annual Meeting of Stockholders are incorporated by reference in Part III, Items 10 to 14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Annual Report on Form 10-K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us,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our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presented in tables that follow are in thousands (except for share data) unless otherwise indicated.</w:t>
      </w:r>
    </w:p>
    <w:p>
      <w:pPr>
        <w:spacing w:after="0" w:line="370"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NN, Inc. is a diversified industrial company and a leading global manufacturer of high precision bearing components, industrial plastic products and precision metal components to a variety of markets on a global basis. We have 42 manufacturing plants in North America, Western Europe, Eastern Europe, South America and China. As used in this Annual Report on Form 10-K, the terms “NN,” “the Company,” “we,” “our,” or “us” mean NN, Inc. and its subsidiaries.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is aggregated into three reportable segments, the Precision Bearing Components Group (formerly known as our Metal Bearing Components Group), the Precision Engineered Products Group (formerly known as our Plastics and Rubber Components Group) and the Autocam Precision Components Group. We completed two acquisitions and one divestiture in 2015 to further our growth and implement our strategic plan. Our business segments and each of our recent transactions are described further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May 29, 2015, we completed the acquisition of Caprock Manufacturing, Inc. and Caprock Enclosures, LLC (collectively referred to as “Caprock”). Caprock was a privately held plastic components supplier located in Lubbock, Texas. Caprock serves multiple end markets; including aerospace, medical and general industrial. The acquisition provided further balancing of our end markets and represented the first step in our strategic plan related to transforming our plastics business. The results of Caprock have been consolidated with NN since the date of acquisition as part of the Precision Engineered Products Group.</w:t>
      </w:r>
    </w:p>
    <w:p>
      <w:pPr>
        <w:spacing w:after="0" w:line="15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October 19, 2015, we completed the acquisition (the “PEP Acquisition”) of Precision Engineered Products Holdings, Inc. (“PEP”). As a result of the PEP Acquisition, PEP became a wholly owned subsidiary of NN. PEP is a global manufacturer of highly engineered precision customized solutions serving the medical, electrical, automotive and aerospace end markets. PEP combines materials science expertise with advanced engineering and production capabilities to design and manufacture a broad range of high-precision metal and plastic components, assemblies, and finished devices. Following the PEP Acquisition and the divestiture of Delta Rubber Company (described below), we combined the operations of PEP with our Plastics and Rubber Components Group, and renamed the group as the Precision Engineered Products Group.</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30, 2015, we completed the divestiture of Delta Rubber Company, a wholly owned subsidiary (“Delta Rubber”). The sale of Delta Rubber was in furtherance of our strategic plan and provided further balance to our portfolio of businesses.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20, 2014, we acquired V-S Industries (“V-S”), a manufacturer of precision metal components with locations in Wheeling, Illinois and Juarez, Mexico. The acquisition of V-S provided us with a broader product offering and allowed for penetration into adjacent markets. V-S’s products serve a variety of industries including electric motors, HVAC, power tools, automotive and medical. V-S’s operations were integrated with the Autocam Precision Components Group.</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20, 2014, we acquired RFK Industries (“RFK” or the “Konjic Plant”), a manufacturer of tapered rollers located in Konjic, Bosnia and Herzegovina. RFK’s products are complementary to our existing roller bearing products and broaden our product offerings and allows penetration into adjacent markets. RFK currently exports all of its products to customers serving the European truck, industrial vehicle and railway markets. RFK’s operations were integrated with our Precision Bearing Components Group.</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July 15, 2014, we acquired Chelsea Grinding Company (“Chelsea”), a manufacturer of cylindrical rollers used primarily in the hydraulic pump industry. Following the acquisition of Chelsea, we relocated Chelsea’s operations to our Erwin, Tennessee plant. Chelsea’s operations were integrated with the Precision Bearing Components Group.</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August 29, 2014, we acquired Autocam Corporation (“Autocam”), a manufacturer of high precision metal components serving primarily the automotive and commercial vehicle HVAC and fluid power industries. Based in Kentwood, Michigan, Autocam manufactures and assembles highly complex, system critical components for fuel systems, engines, transmission, power steering and electric motors. Autocam and its subsidiaries employ over 2,100 employees with 15 manufacturing facilities in the U.S., Europe, South America and Asia. With the acquisition of Autocam, we combined our Whirlaway and V-S businesses under the renamed Autocam Precision Components Group.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were founded in October 1980 and are incorporated in Delaware. Our principal executive offices are located at 207 Mockingbird Lane, Johnson City, Tennessee, and our telephone number is (423) 434-8300. Our website address is </w:t>
      </w:r>
      <w:r>
        <w:rPr>
          <w:rFonts w:ascii="Arial" w:cs="Arial" w:eastAsia="Arial" w:hAnsi="Arial"/>
          <w:sz w:val="18"/>
          <w:szCs w:val="18"/>
          <w:i w:val="1"/>
          <w:iCs w:val="1"/>
          <w:color w:val="auto"/>
        </w:rPr>
        <w:t>www.nninc.com</w:t>
      </w:r>
      <w:r>
        <w:rPr>
          <w:rFonts w:ascii="Arial" w:cs="Arial" w:eastAsia="Arial" w:hAnsi="Arial"/>
          <w:sz w:val="18"/>
          <w:szCs w:val="18"/>
          <w:color w:val="auto"/>
        </w:rPr>
        <w:t xml:space="preserve">. Information contained on our website is not part of this Annual Report on Form 10-K. Our Annual Report on Form 10-K, quarterly reports on Form 10-Q, current reports on Form 8-K and related amendments are available via a link to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on our website under “Investor Relations.” Additionally, all required interactive data files pursuant to Item 405 of Regulation S-T are posted on our website.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sales, income from operations and assets for each of our business segments is presented in Management’s Discussion and Analysis of Financial Condition Results of Operations and Note 2 and Note 12 of the Notes to the Consolidated Financial Statements. Additional information regarding our three business segments (Precision Bearing Components Group, Precision Engineered Products Group and Autocam Precision Components Group) is presented below.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Bearing Components Group</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Beginning with the fourth quarter we have rebranded our Metal Bearing Components Group as the Precision Bearing Components Group. This important change aligns with our core belief that everything we do requires precision and provides for the groups continued increased production in materials other than metal. Within our Precision Bearing Components Group, we manufacture and supply high precision bearing components, consisting of balls, cylindrical rollers, tapered rollers, spherical rollers and metal retainers, for leading bearing and CV-joint manufacturers on a global basis. We are a leading independent manufacturer of precision steel bearing balls and rollers for the North American, European and Asian markets. We offer one of the industry’s most complete lines of commercially available bearing components. We emphasize application-specific engineered products that take advantage of competencies in product design and tight tolerance manufacturing processes. Our customers use our components in fully assembled ball and roller bearings and CV-joints, which serve a wide variety of end markets, including the automotive, electrical, agricultural, construction, machinery, heavy truck, and rail.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Engineered Products Group</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Following the PEP Acquisition and the divestiture of Delta Rubber, we combined the operations of PEP with our Plastics and Rubber Components Segment, and renamed the segment as the Precision Engineered Products Group. Within our Precision Engineered Products Group, we combine materials science expertise with advanced engineering and production capabilities to design and manufacture a broad range of high-precision metal and plastic components, assemblies, and finished devices for the medical, electrical, automotive and aerospace end markets.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Autocam Precision Components Group</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Within our Autocam Precision Components Group, we manufacture highly engineered, difficult-to-manufacture precision metal components and subassemblies for the automotive, HVAC, fluid power and diesel engine end markets. Our entry into the precision metal components market began in 2006 with the acquisition of Whirlaway Corporation. We dramatically expanded the segment in 2014 with the acquisitions of Autocam and V-S. These acquisitions furthered our strategy to diversify our end markets and build upon our core manufacturing competency of high-precision metal machining.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Bearing Components Group</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Precision Steel Balls</w:t>
      </w:r>
      <w:r>
        <w:rPr>
          <w:rFonts w:ascii="Arial" w:cs="Arial" w:eastAsia="Arial" w:hAnsi="Arial"/>
          <w:sz w:val="18"/>
          <w:szCs w:val="18"/>
          <w:color w:val="auto"/>
        </w:rPr>
        <w:t>. At our Precision Bearing Components Group facilities (with the exception of our Veenendaal plant), we manufacture and sell high</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precision steel balls. Our steel balls are used primarily by manufacturers of anti-friction bearings and constant velocity joints where precise spherical, tolerance and surface finish accuracies are required.</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Steel Rollers</w:t>
      </w:r>
      <w:r>
        <w:rPr>
          <w:rFonts w:ascii="Arial" w:cs="Arial" w:eastAsia="Arial" w:hAnsi="Arial"/>
          <w:sz w:val="18"/>
          <w:szCs w:val="18"/>
          <w:color w:val="auto"/>
        </w:rPr>
        <w:t>. We manufacture tapered rollers at our Veenendaal, Erwin, and Konjic plants and cylindrical rollers at our Erwin plant. Rollers are an alternative</w:t>
      </w:r>
      <w:r>
        <w:rPr>
          <w:rFonts w:ascii="Arial" w:cs="Arial" w:eastAsia="Arial" w:hAnsi="Arial"/>
          <w:sz w:val="18"/>
          <w:szCs w:val="18"/>
          <w:i w:val="1"/>
          <w:iCs w:val="1"/>
          <w:color w:val="auto"/>
        </w:rPr>
        <w:t xml:space="preserve"> </w:t>
      </w:r>
      <w:r>
        <w:rPr>
          <w:rFonts w:ascii="Arial" w:cs="Arial" w:eastAsia="Arial" w:hAnsi="Arial"/>
          <w:sz w:val="18"/>
          <w:szCs w:val="18"/>
          <w:color w:val="auto"/>
        </w:rPr>
        <w:t>rolling element used instead of balls in anti-friction bearings that typically have heavier loading or different speed requirements. Our roller products are used primarily for applications similar to those of our precision steel ball product line, plus certain non-bearing applications such as hydraulic pumps and motors. Tapered rollers are a component in tapered roller bearings that are used in a variety of applications including automotive gearbox applications, automotive wheel bearings and a wide variety of industrial applications. Most cylindrical rollers are made to specific customer requirements for diameter and length and are used in a variety of industrial applications.</w:t>
      </w:r>
    </w:p>
    <w:p>
      <w:pPr>
        <w:spacing w:after="0" w:line="19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 xml:space="preserve">Metal Retainers. </w:t>
      </w:r>
      <w:r>
        <w:rPr>
          <w:rFonts w:ascii="Arial" w:cs="Arial" w:eastAsia="Arial" w:hAnsi="Arial"/>
          <w:sz w:val="17"/>
          <w:szCs w:val="17"/>
          <w:color w:val="auto"/>
        </w:rPr>
        <w:t>We manufacture and sell precision metal retainers for roller bearings used in a wide variety of industrial applications. Retainers are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and space the rolling elements within a fully assembled bearing. We manufacture metal retainers at our Veenendaal plant.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Engineered Products Group</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Precision Solutions</w:t>
      </w:r>
      <w:r>
        <w:rPr>
          <w:rFonts w:ascii="Arial" w:cs="Arial" w:eastAsia="Arial" w:hAnsi="Arial"/>
          <w:sz w:val="16"/>
          <w:szCs w:val="16"/>
          <w:color w:val="auto"/>
        </w:rPr>
        <w:t>. With the addition of PEP, we manufacture a variety of components, assemblies and instruments, such as surgical knives, bioresorbable</w:t>
      </w:r>
      <w:r>
        <w:rPr>
          <w:rFonts w:ascii="Arial" w:cs="Arial" w:eastAsia="Arial" w:hAnsi="Arial"/>
          <w:sz w:val="16"/>
          <w:szCs w:val="16"/>
          <w:i w:val="1"/>
          <w:iCs w:val="1"/>
          <w:color w:val="auto"/>
        </w:rPr>
        <w:t xml:space="preserve"> </w:t>
      </w:r>
      <w:r>
        <w:rPr>
          <w:rFonts w:ascii="Arial" w:cs="Arial" w:eastAsia="Arial" w:hAnsi="Arial"/>
          <w:sz w:val="16"/>
          <w:szCs w:val="16"/>
          <w:color w:val="auto"/>
        </w:rPr>
        <w:t>implants, surgical staples, orthopedic system tools, laparoscopic devices, drug delivery devices and catheter components for the medical end market, electrical contacts, connectors, contact assemblies and precision stampings for the electrical control end market, precision components, assemblies and electrical contacts for the automotive end market, and a variety of engineered materials for the aerospace and defense end market, including optical grade plastics, thermally conductive plastics, and titanium, Inconel, magnesium and gold electroplating. At our Lubbock plant, we manufacture and sell precision plastic retainers for ball and roller bearings used in a wide variety of industrial applications. We also manufacture and sell a wide range of specialized plastic products including automotive under-the-hood components, electronic instrument cases and precision electronic connectors and lenses.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Autocam Precision Components Group</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i w:val="1"/>
          <w:iCs w:val="1"/>
          <w:color w:val="auto"/>
        </w:rPr>
        <w:t>Precision Components</w:t>
      </w:r>
      <w:r>
        <w:rPr>
          <w:rFonts w:ascii="Arial" w:cs="Arial" w:eastAsia="Arial" w:hAnsi="Arial"/>
          <w:sz w:val="18"/>
          <w:szCs w:val="18"/>
          <w:color w:val="auto"/>
        </w:rPr>
        <w:t>. We sell a wide range of highly engineered, extremely close tolerance, precision-machined metal components and subassemblies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consumer transportation, industrial technology, HVAC, fluid power and diesel engine end markets. We have developed an expertise in manufacturing highly complex, system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critical components for fuel systems, engines and transmissions, power steering systems and electromechanical motors. This expertise has been gained through investment in technical capabilities, processes and systems, and skilled program management and product launch capabilities.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a part of our strategic plan, we are in the process of enhancing our research and development efforts. We will initially focus on adjacent markets, manufacturing process enhancements and continuing to improve our product quality. In addition, we intend to develop patented products that can be presented to and sold by our customers. Patent applications for two medical devices were filed in 2015, a surgical knife and impactor adapter and screw assembly. In general, these research and development efforts will entail using dedicated internal experts and resources. The amounts spent on research and development activities by us during each of the last three fiscal years are not material and are expensed as incurred.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are supplied primarily to manufacturers for use in a broad range of industrial applications, including automotive, electrical, agricultural, construction, machinery, heavy truck, rail, medical, aerospace and defense, HVAC, fluid power and diesel engines. Our top ten customers account for approximately 53% of our revenue. Sales to each of these top ten customers are made to multiple customer locations and divisions throughout the world. Only one of these customers, AB SKF (“SKF”), had sales levels that were over 10% of total net sales. Sales to various U.S. and foreign divisions of SKF accounted for approximately 16% of net sales in 2015. In 2015, 56% of our products were sold to customers in North America, 26% to customers in Europe, 13% to customers in Asia and the remaining 5% to customers in South America.</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 Accordingly, we generally have an insignificant amount of open (backlog) orders from customers at month end.</w:t>
      </w:r>
    </w:p>
    <w:p>
      <w:pPr>
        <w:spacing w:after="0" w:line="18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See Note 12 of the Notes to Consolidated Financial Statements and “Management’s Discussion and Analysis of Financial Condition and Results of Operations — Results of Operations” for additional segment financial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primary emphasis of our marketing strategy is to expand key customer relationships by offering high quality, high-precision, application-specific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Each of our groups use a distinct direct sales force supported by senior segment management and engineering involvement. Our Precision Bearing Components Group marketing strategy focuses on our ability to provide consistent, high quality products that meet the most precise specifications of leading global brands. Our marketing strategy for the Precision Engineered Products Group and the Autocam Precision Components Group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breakdown of our net sales for fiscal years 2015,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r>
      <w:tr>
        <w:trPr>
          <w:trHeight w:val="88"/>
        </w:trPr>
        <w:tc>
          <w:tcPr>
            <w:tcW w:w="62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Precision Bearing Components Group</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$261,837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$278,026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$259,459</w:t>
            </w:r>
          </w:p>
        </w:tc>
        <w:tc>
          <w:tcPr>
            <w:tcW w:w="200" w:type="dxa"/>
            <w:vAlign w:val="bottom"/>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57%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r>
      <w:tr>
        <w:trPr>
          <w:trHeight w:val="94"/>
        </w:trPr>
        <w:tc>
          <w:tcPr>
            <w:tcW w:w="6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Precision Engineered Products Group</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77,183</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33,351</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34,991</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r>
      <w:tr>
        <w:trPr>
          <w:trHeight w:val="94"/>
        </w:trPr>
        <w:tc>
          <w:tcPr>
            <w:tcW w:w="6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Autocam Precision Components Group</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328,260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177,224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78,756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36%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r>
      <w:tr>
        <w:trPr>
          <w:trHeight w:val="27"/>
        </w:trPr>
        <w:tc>
          <w:tcPr>
            <w:tcW w:w="6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667,280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488,601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373,206</w:t>
            </w:r>
          </w:p>
        </w:tc>
        <w:tc>
          <w:tcPr>
            <w:tcW w:w="200" w:type="dxa"/>
            <w:vAlign w:val="bottom"/>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624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Following the PEP Acquisition and the divestiture of Delta Rubber, we combined the operations of PEP with our Plastics and Rubber Components Group, and renamed the segment as the Precision Engineered Products Group. The Precision Engineered Products Group includes the Plastic and Rubber Components Group as presented in our previous filings. Net sales for the Plastics and Rubber Components Group in 2015 include $36.5 million, or 5%, relating to our former Plastic and Rubber Components Segment. Net sales for fiscal years 2014 and 2013 solely relate to our former Plastic and Rubber Components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of December 31, 2015, we employed a total of 4,741 full-time employees and 572 full time equivalent temporary workers. Of our total employment, 17% are management/staff employees and 83% are production employees. The employees at the Pinerolo, Veenendaal and Autocam France plants are unionized. We believe we have a good working relationship with our employees and the unions that represent them.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Bearing Components Group</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Precision Bearing Components Group operates in intensely competitive markets. Our primary domestic competitor is Hoover Precision Products, Inc., a wholly owned subsidiary of Tsubaki Nakashima Co., LTD. Our primary foreign competitors are Amatsuji Steel Ball Manufacturing Company, Ltd. (Japan), a wholly owned division of NSK LTD., Tsubaki Nakashima Co., LTD (Japan) and Jiangsu General Ball and Roller Co., LTD (China). Additionally, we compete with bearing manufacturers’ in-house (captive) production.</w:t>
      </w:r>
    </w:p>
    <w:p>
      <w:pPr>
        <w:spacing w:after="0" w:line="187" w:lineRule="exact"/>
        <w:rPr>
          <w:sz w:val="20"/>
          <w:szCs w:val="20"/>
          <w:color w:val="auto"/>
        </w:rPr>
      </w:pPr>
    </w:p>
    <w:p>
      <w:pPr>
        <w:ind w:right="600"/>
        <w:spacing w:after="0" w:line="312" w:lineRule="auto"/>
        <w:rPr>
          <w:sz w:val="20"/>
          <w:szCs w:val="20"/>
          <w:color w:val="auto"/>
        </w:rPr>
      </w:pPr>
      <w:r>
        <w:rPr>
          <w:rFonts w:ascii="Arial" w:cs="Arial" w:eastAsia="Arial" w:hAnsi="Arial"/>
          <w:sz w:val="16"/>
          <w:szCs w:val="16"/>
          <w:color w:val="auto"/>
        </w:rPr>
        <w:t>We believe that competition within the Precision Bearing Components Group is based principally on quality, price and the ability to consistently meet customer delivery requirements. Management believes that our competitive strengths are our precision manufacturing capabilities, our wide product assortment, our reputation for consistent quality and reliability, our global manufacturing footprint and the productivity of our workforce.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Engineered Products Group</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Precision Engineered Products Group also operates in intensely competitive markets. We must compete with numerous companies in each industry market segment. Many of these companies have substantially greater financial resources than we do and many currently offer competing products nationally and internationally.</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primary competitors in the plastic bearing retainer market are Nakanishi Manufacturing Corporation, and Pressey. Domestically, National, Nypro Inc., Thermotech, GW Plastics, C&amp;J Industries and Nyloncraft are amongst the largest players in the precision plastic components markets. Our primary competitors in the medical device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market are Tecomet, Inc., Lake Region Medical, Inc., and Vention Medical, Inc. Our primary competitors in the electrical market are Deringer-Ney, Inc., Doduco GmbH and Metalor Technologies International. Our primary competitors in the automotive and aerospace market are Interplex Industries, Inc. and Accu-Mold, LLC.</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competition within the plastic injection molding, plastic bearing retainer, precision plastic components, medical device, electrical, automotive and aerospace markets is based principally on quality, price, design capabilities and speed of responsiveness and delivery. Management believes that our competitive strengths are product development, tool design, fabrication, and tight tolerance molding processes. With these strengths, we have built our reputation in the marketplace as a quality producer of technically difficult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Autocam Precision Components Group</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market in which our Autocam Precision Components Group operates, internal production of components by our customers can impact our business as the customers weigh the risk of outsourcing strategically critical components or producing in-house. Our primary outside competitors are Häring, A. Berger, C&amp;A Tool, American Turned Products, Camcraft and AB Heller. We generally win new business on the basis of technical competence and our proven track record of successful product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Bearing Components Group</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primary raw material used in our core ball and roller business of the Precision Bearing Components Group is 52100 Steel, which is high quality chromium steel. Our other steel requirements include metal strip, stainless steel, and type S2 rock bit steel.</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Precision Bearing Components Group businesses purchase substantially all of their 52100 Steel requirements from suppliers in Europe and Japan, and all of their metal strip requirements from European suppliers and traders. We purchase steel on the basis of composition, quality, availability and price. For precision steel balls, the pricing arrangements with our suppliers are typically subject to adjustment every three to six months in North America and contractually adjusted on an annual basis within the European locations for the base steel price and quarterly for surcharge adjustments. If any of our current suppliers were unable to supply 52100 Steel to us, higher costs and/or production interruptions could occur as a result of obtaining 52100 Steel from alternate sources. Our operating results would be negatively affected in the event that North American or European governments impose any significant quotas, tariffs or other duties or restrictions on the import of such steel, if the U.S. dollar decreases in value relative to foreign currencies or if supplies available to us would significantly decrease.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Engineered Products Group</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Precision Engineered Products Group uses a wide variety of metals in various forms, including precious metals like gold, silver, palladium and platinum. Through our diverse network of suppliers, we minimize supplier concentration risk and provide a stable supply of raw materials at competitive pricing. This group also procures resins and metal stampings from several domestic and foreign suppliers.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Precision Engineered Products Group, we base purchase decisions on quality, service and price. Generally, we do not enter into written supply contracts with our suppliers or commit to maintain minimum monthly purchases of materials. However, we carefully manage raw material price volatility, particularly with respect to precious metals, through the use of consignment agreements. In effect, we lease the precious metals for our own stock and buy the raw materials only on the same day customer shipments are priced, thereby eliminating speculation. In addition, our products with precious metal content are priced with a margin on the raw material cost to further protect against raw material price volatility and to provide incremental profit.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Autocam Precision Components Group</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Autocam Precision Components Group produces products from a wide variety of metals in various forms from various sources located in the North America, Europe and Japan.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each of our three segments, we have historically been affected by upward price pressure on steel principally due to general increases in global demand. In general, we pass through material cost fluctuations to our customers in the form of changes in selling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Historically, we have not owned any U.S. or foreign patents, trademarks or licenses that are material to our business; however, in connection with the PEP Acquisition, we acquired six U.S. patents, four patent applications and trademarks for various trade names. Furthermore, we intend to develop patented products that can be presented to and sold by our customers.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we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 Additionally, all employees are subject to company code of ethics policies that prohibit the disclosure of information critical to the operations of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Historically, due to a substantial portion of sales to European customers, seasonality has been a factor for our business in that some European customers typically reduce their production activities during the month of August.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operations and products are subject to extensive federal, state and local regulatory requirements both domestically and abroad relating to pollution control and protection of the environment. These laws and regulations govern, among other things, discharges to air or water, the generation, storage, handling, and use of automotive hazardous materials and the handling and disposal of 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the costs relating to any contamination at its past or present facilities and at third-party waste disposal sites. We maintain a compliance program to assist in preventing and, if necessary, correcting environmental problems. In the Precision Bearing Components Group, the Kysucke plant, the Veenendaal plant, the Pinerolo plant and Kunshan plant are ISO 14000 or 14001 certified and all received the EPD (Environmental Product Declaration), except for the Veenendaal plant’s stamped metal parts business.</w:t>
      </w:r>
    </w:p>
    <w:p>
      <w:pPr>
        <w:spacing w:after="0" w:line="18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Based on information compiled to date, management believes that our current operations are in substantial compliance with applicable environmental laws and regulations, the violation of which could have a material adverse effect on our business and financial condition. We have assessed conditional asset retirement obligations and have found them to be immaterial to the consolidated financial statements. We cannot assure that currently unknown matters, new laws and regulations, or stricter interpretations of existing laws and regulations will not materially affect our business or operations in the future. More specifically, although we believe that we dispose of waste in material compliance with applicable environmental laws and regulations, we cannot be certain that we will not incur significant liabilities in the future in connection with the clean-up of waste disposal sites.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Compliance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a contract manufacturer of medical devices, certain of our subsidiaries, including PEP, are required to register as such with the U.S. Food and Drug Administration (“FDA”). Each of our facilities that manufacture finished medical devices is registered with the FDA. To maintain our registration, we deploy a robust quality management system across all of our manufacturing facilities.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With respect to medical products that we are specifically developing to sell to our customers, before these devices can be marketed, we will seek to obtain a marketing clearance from the FDA under Section 510(k) of the United States Federal Food, Drug, and Cosmetic Act. The FDA typically grants a 510(k) clearance if the applicant can establish that the device is substantially equivalent to a predicate device. Clearance under Section 510(k) typically takes about three months from the date of submission.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100" w:type="dxa"/>
            <w:vAlign w:val="bottom"/>
          </w:tcPr>
          <w:p>
            <w:pPr>
              <w:spacing w:after="0"/>
              <w:rPr>
                <w:sz w:val="16"/>
                <w:szCs w:val="16"/>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8700" w:type="dxa"/>
            <w:vAlign w:val="bottom"/>
            <w:gridSpan w:val="3"/>
          </w:tcPr>
          <w:p>
            <w:pPr>
              <w:ind w:left="2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Executive Officer and President</w:t>
            </w:r>
          </w:p>
        </w:tc>
        <w:tc>
          <w:tcPr>
            <w:tcW w:w="0" w:type="dxa"/>
            <w:vAlign w:val="bottom"/>
          </w:tcPr>
          <w:p>
            <w:pPr>
              <w:spacing w:after="0" w:line="20" w:lineRule="exact"/>
              <w:rPr>
                <w:sz w:val="1"/>
                <w:szCs w:val="1"/>
                <w:color w:val="auto"/>
              </w:rPr>
            </w:pPr>
          </w:p>
        </w:tc>
      </w:tr>
      <w:tr>
        <w:trPr>
          <w:trHeight w:val="196"/>
        </w:trPr>
        <w:tc>
          <w:tcPr>
            <w:tcW w:w="2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Richard D. Holder</w:t>
            </w:r>
          </w:p>
        </w:tc>
        <w:tc>
          <w:tcPr>
            <w:tcW w:w="2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53</w:t>
            </w:r>
          </w:p>
        </w:tc>
        <w:tc>
          <w:tcPr>
            <w:tcW w:w="2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Chief</w:t>
            </w:r>
          </w:p>
        </w:tc>
        <w:tc>
          <w:tcPr>
            <w:tcW w:w="7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87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 Chief Financial Officer</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S. Heiter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8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and General Counsel</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L. Jeffery Manzagol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87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 General Manager of the Precision Bearing Components Group</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Manzi</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8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 General Manager, Precision Engineered Products Group</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Warren Veltman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87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 General Manager Autocam Precision Components Group</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Widders</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8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 Integration and Corporate Transformation</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700" w:type="dxa"/>
            <w:vAlign w:val="bottom"/>
            <w:gridSpan w:val="3"/>
          </w:tcPr>
          <w:p>
            <w:pPr>
              <w:ind w:left="220"/>
              <w:spacing w:after="0"/>
              <w:rPr>
                <w:sz w:val="20"/>
                <w:szCs w:val="20"/>
                <w:color w:val="auto"/>
              </w:rPr>
            </w:pPr>
            <w:r>
              <w:rPr>
                <w:rFonts w:ascii="Arial" w:cs="Arial" w:eastAsia="Arial" w:hAnsi="Arial"/>
                <w:sz w:val="18"/>
                <w:szCs w:val="18"/>
                <w:color w:val="auto"/>
              </w:rPr>
              <w:t>Vice President – Chief Accounting Officer and Corporate Controller</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Kelly, Jr.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 Chief Administrative Officer and Secretary</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additional information with respect to each of our executive officers.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Richard D. Holder joined us as President and Chief Executive Officer in June 2013. Prior to joining us, Mr. Holder served as President of Eaton Electrical Components Group of Eaton Corporation’s Electrical Sector from 2010 to 2013, Executive Vice President of the Eaton Business Systems from 2007 to 2010, Vice President and General Manager of the Power Distribution and Assemblies Division from 2004 to 2006 and Vice President Supply Chain and Operational Excellence from 2001 to 2004. Prior to joining Eaton, Mr. Holder served as Director of Aircraft &amp; Technical Purchasing for US Airways from 1999 to 2001. Prior to this position, Mr. Holder held a variety of leadership positions at Allied Signal Corporation, an aerospace, automotive and engineering company, and Parker Hannifin Corporation, a global motion and control technology manufacturer.</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James H. Dorton joined us as Vice President of Corporate Development and Chief Financial Officer in June 2005. In May 2010, Mr. Dorton was promoted to Senior Vice President. Prior to joining us, Mr. Dorton served as Executive Vice President and Chief Financial Officer of Specialty Foods Group, Inc. from 2003 to 2004, Vice President Corporate Development and Strategy and Vice President – Treasurer of Bowater Incorporated from 1996 to 2002 and as Treasurer of Intergraph Corporation from 1989 to 1996. Mr. Dorton is a Certified Public Accountant.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Matthew S. Heiter joined us as Senior Vice President and General Counsel in July 2015. Prior to joining us, Mr. Heiter was a shareholder in the law firm of Baker, Donelson, Bearman, Caldwell and Berkowitz, PC from May 1996 to December 1999 and from July 2002 to July 2015, where he served as chairman of the firm’s Securities and Corporate Governance Practice Group. From January 2000 to July 2002, Mr. Heiter served as the Executive Vice President, General Counsel and Secretary of Internet Pictures Corporation, a publicly traded internet technology company.</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 Jeffery Manzagol joined us as Senior Vice President - General Manager of the Precision Bearing Components Group in October 2014. Manzagol stepped into his role with more than 36 years of metal bearings and high precision manufacturing experience. He most recently served as President of the Bearings Division at Kaydon Corporation. Previously, Manzagol held various leadership positions at SKF Group, including President and General Manager at the Armada, Michigan facility.</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John Manzi joined us as Senior Vice President - General Manager of Precision Engineered Products Group in October 2015 in connection with the completion of the PEP Acquisition. Previously, Mr. Manzi served as the President and Chief Executive Officer of PEP. Mr. Manzi was instrumental in leading PEP’s development and, together with PEP’s management team, has successfully enhanced PEP’s end market reach, expanded its product breadth and executed on key strategic acquisitions. Mr. Manzi has 20 years of experience with PEP. Prior to joining PEP’s management team, Mr. Manzi held various positions including President of PEP’s Attleboro operations, Vice President of Operations, and Engineering Manager.</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Warren Veltman joined us as Senior Vice President and General Manager of our Autocam Precision Components Group in September 2014. Veltman served as Chief Financial Officer of Autocam Corporation from 1990 and Secretary and Treasurer since 1991. Prior to Mr. Veltman’s service at Autocam, Mr. Veltman was an Audit Manager with Deloitte &amp; Touche LLP.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James R. Widders was appointed us as Senior Vice President of Integration and Corporate Transformation in September 2014. Prior to that appointment, Mr. Widders was Vice President and General Manager of our then-named Metal Bearing Components Group beginning in December 2010. Mr. Widders had 13 years of service at Whirlaway prior to its acquisition by NN. Prior to joining us, he served as Vice President and General Manager at Technifab, Inc. a manufacturer of molded foam components for the Aerospace industry and in various management positions with GE Superabrasives, a division of General Electric.</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Thomas C. Burwell, Jr. joined us as Corporate Controller in September 2005. He was promoted to Vice President Chief Accounting Officer and Corporate Controller in 2011. Prior to joining NN, Mr. Burwell held various positions at Coats, PLC from 1997 to 2005 ultimately becoming the Vice President of Finance for the U.S. Industrial Division. From 1992 to 1997, Mr. Burwell held various positions at the international accounting firm BDO Seidman, LLP. Mr. Burwell is a Certified Public Accountant.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William C. Kelly, Jr. was appointed our Vice President and Chief Administrative Officer since June 2005. In March, 2003, Mr. Kelly was elected to serve as our Chief Administrative Officer. In March 1999, he was elected Secretary and still serves in that capacity. In February 1995, Mr. Kelly was elected Treasurer and Assistant Secretary. He joined us in 1993 as Assistant Treasurer and Manager of Investor Relations. In July 1994, Mr. Kelly was elected to serve as our Chief Accounting Officer, and served in that capacity through March 2003. Prior to joining us, Mr. Kelly served from 1988 to 1993 as a Staff Accountant and as a Senior Auditor with the accounting firm of PricewaterhouseCoopers LLP. As previously disclosed, Mr. Kelly has notified us that he will retire effective as of May 12, 2016.</w:t>
      </w:r>
    </w:p>
    <w:p>
      <w:pPr>
        <w:spacing w:after="0" w:line="338" w:lineRule="exact"/>
        <w:rPr>
          <w:sz w:val="20"/>
          <w:szCs w:val="20"/>
          <w:color w:val="auto"/>
        </w:rPr>
      </w:pPr>
    </w:p>
    <w:p>
      <w:pPr>
        <w:ind w:left="1480"/>
        <w:spacing w:after="0"/>
        <w:tabs>
          <w:tab w:leader="none" w:pos="27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The following are risk factors that affect our business, prospects, financial condition, results of operations, and cash flows, some of which are beyond our control. These risk factors should be considered in connection with evaluating the forward-looking statements contained in this Annual Report on Form 10-K. If any of the events described below were to actually occur, our business, prospects, financial condition, results of operations or cash flows could be adversely affected and results could differ materially from expected and historical results.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realize all of the anticipated benefits from the six acquisitions closed since January 1, 2014 or any future strategic portfolio acquisition, or those benefits may take longer to realize than expected.</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ability to realize the anticipated benefits of the six acquisitions closed since January 1, 2014 will depend, to a large extent, on our ability to integrate these businesses and any future strategic portfolio acquisitions. The integration process may disrupt the businesses and, if implemented ineffectively, would preclude realization of the full benefits expected. The difficulties of combining the operations of the acquired companies include, among others:</w:t>
      </w:r>
    </w:p>
    <w:p>
      <w:pPr>
        <w:spacing w:after="0" w:line="7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the acquired businesses with our own;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the integration of operations and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significantly larger and more complex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Many of these factors will be outside of our control and any one of them could result in increased costs, decreases in the amount of expected revenues and diversion of management’s time and energy, which could materially impact our business, financial condition, or results of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Additionally, we incurred a significant amount of debt in connection with these six acquisitions. Finally, in relation to these acquisitions we have significantly higher amounts of intangible assets, including goodwill. These intangible assets will be subject to impairment testing and we could incur a significant impact to our financial statements in the form of an impairment if assumptions and expectations related to these five acquisitions are not realized.</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 recession impacting our end markets or the geographic regions in which we or our customers operate could have a material adverse effect on our ability to finance our operations and implement our growth strategy.</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three month period ended December 31, 2008 and the year ended December 31, 2009, we experienced a sudden and significant reduction in customer orders driven by reductions in automotive and industrial end market demand across all our businesses. Additionally, during the latter part of 2011 and all of 2012, we experienced the impacts of a European recession in our European businesses. Prior to this time, we had never been affected by a recession that had impacted both of our key geographic markets of the U.S. and Europe simultaneously. If we are impacted by a global recession in the future, this could have a material adverse effect on our business, financial condition, results of operations and cash flows from operations and could lead to additional restructuring and/or impairment charges being incurred and our ability to implement our growth strategy. However, we believe we would be in a much better position to weather any recession or economic downturn given the actions taken to permanently reduce our cost base including closing or ceasing operations at four former manufacturing locations.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end markets for fully assembled bearings and industrial and automotive components are cyclical and tend to decline in response to overall declines in industrial and automotive production. As a result, the market for the bearing components and precision metal and industrial plastic products we sell is also cyclical and impacted by overall levels of industrial and automotive production. Our sales have been, and can be in the future, negatively affected by adverse conditions in the industrial and/or automotive production sectors of the economy or by adverse global or national economic conditions generally. Additionally, any inflation in oil and any resulting increase in gasoline prices could have a negative impact on demand for our products as a result of consumer and corporate spending reductions.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steel that we use to manufacture our precision bearing components is of an extremely high quality and is available from only a limited number of producers on a global basis. Due to quality constraints in the U.S. steel industry, we obtain substantially all of the steel used in our U.S. operations of our Precision Bearing Components Group from non-U.S. suppliers. In addition, we obtain most of the steel used in our European operations from a single European source. If we had to obtain steel from sources other than our current suppliers, we could face higher prices and automotive costs, increased duties or taxes and shortages of steel. Problems in obtaining steel, particularly 52100 chrome steel in the quantities that we require, on commercially reasonable terms could increase our costs, adversely impact our ability to operate our business efficiently and have a material adverse effect on our revenues and operating and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2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Sales to various U.S. and foreign divisions of SKF, one of the largest bearing manufacturers in the world, accounted for approximately 16% of consolidated net sales in 2015. No other customers accounted for more than 10% of sales. During 2015, sales to various U.S. and foreign divisions of our ten largest customers accounted for approximately 53% of our consolidated net sales. The loss of all or a substantial portion of sales to these customers would cause us to lose a substantial portion of our revenue and would lower our operating profit margin and cash flows from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results of operations.</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are highly leveraged. As of December 31, 2015, we had approximately $820 million of indebtedness outstanding, and had an additional $90.9 million available for borrowing under our debt agreements. Our high degree of leverage could have important consequences, including:</w:t>
      </w:r>
    </w:p>
    <w:p>
      <w:pPr>
        <w:spacing w:after="0" w:line="52" w:lineRule="exact"/>
        <w:rPr>
          <w:sz w:val="20"/>
          <w:szCs w:val="20"/>
          <w:color w:val="auto"/>
        </w:rPr>
      </w:pPr>
    </w:p>
    <w:p>
      <w:pPr>
        <w:ind w:left="5620" w:right="4080" w:hanging="5166"/>
        <w:spacing w:after="0" w:line="449" w:lineRule="auto"/>
        <w:tabs>
          <w:tab w:leader="none" w:pos="89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 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446"/>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requiring a substantial portion of our cash flows from operations to be dedicated to the payment of principal and interest on our indebtedness, therefore reducing our ability to use our cash flows to fund operations, capital expenditures, and future business opportunities;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which could cause our debt service obligations to increase significantly;</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debt agreements;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and service development, debt service requirements, acquisitions, and general corporate or other purposes; and</w:t>
      </w:r>
    </w:p>
    <w:p>
      <w:pPr>
        <w:spacing w:after="0" w:line="75"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If any one of these events were to occur, our financial condition and results of operations could be materially and adversely affected. For more information regarding our indebtedness, please see “Management’s Discussion and Analysis of Financial Condition and Results of Operations — Liquidity and Capital Resources.”</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Despite our high indebtedness level, we will still be able to incur substantial additional amounts of debt, which could further exacerbate the risks associated with our substantial indebtedness.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and our subsidiaries may be able to incur substantial additional indebtedness in the future. Although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and our subsidiaries’ debt levels, the related risks that we now face would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debt agreements contain various covenants that limit our ability to engage in specified types of transactions. These covenants will limit our ability to, among other things:</w:t>
      </w:r>
    </w:p>
    <w:p>
      <w:pPr>
        <w:spacing w:after="0" w:line="7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equity;</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prepay, redeem, or repurchase certain debt or make other restricted payments;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to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addition, the restrictive covenants in our debt agreements require us to maintain specified financial ratios and satisfy other financial condition tests. Our ability to meet those financial ratios and tests will depend on our ongoing financial and operating performance, which, in turn, will be subject to economic conditions and to financial, market, and competitive factors, many of which are beyond our control. A breach of any of these covenants could result in a default under one or more of our debt agreements, and permit our lenders to cease making loans to us under our credit facilities. Furthermore, if we were unable to repay the amounts due and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payable under our secured debt agreements, our secured lenders could proceed against the collateral granted to them to secure our borrowings. Such actions by the lenders could also cause cross defaults under our other debt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generate sufficient cash to service all of our indebtedness and we may not be able to refinance our debt obligations as they mature.</w:t>
      </w:r>
    </w:p>
    <w:p>
      <w:pPr>
        <w:spacing w:after="0" w:line="260"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our debt obligations mature or if our cash flows and capital resources are insufficient to fund our debt service obligations, we may be forced to reduce or delay investments and capital expenditures, or to sell assets, seek additional capital, or restructure or refinance our indebtedness, including the Senior Notes.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our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 stoppages or similar difficulties could significantly disrupt our operations, reduce our revenues and materially affect our earnings.</w:t>
      </w:r>
    </w:p>
    <w:p>
      <w:pPr>
        <w:spacing w:after="0" w:line="2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work stoppage at one or more of our facilities could have a material adverse effect on our business, prospects, financial condition, results of operations or cash flows from operations. Also, if one or more of our customers were to experience a work stoppage, that customer would likely halt or limit purchases of our products, which could have a material adverse effect on our business, prospects, financial condition and results of operations or cash flows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and sell products to customers outside the U.S. and are subject to several risks related to doing business internationally.</w:t>
      </w:r>
    </w:p>
    <w:p>
      <w:pPr>
        <w:spacing w:after="0" w:line="2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7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tariff regulations, which may make our products more costly to export or import;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monetary and fiscal policies, laws and regulations, and other activities of governments, agencies and similar organizations;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imposition of trade restrictions or prohibitions;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U.S. federal tax code that discourages the repatriation of funds to the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imposition of import or other duties or 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establishing and maintaining relationships with local original equipment manufacturers, distributors and 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staffing and managing geographically diverse operations;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financial condition, results of operations and cash flows from operations.</w:t>
      </w:r>
    </w:p>
    <w:p>
      <w:pPr>
        <w:spacing w:after="0" w:line="18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we could be adversely affected by violations of the Foreign Corrupt Practices Act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prospects, financial condition, results of operations and cash flows from operations.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of each year will be lower than in the other quarters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international operations that are subject to foreign economic uncertainties and foreign currency fluctuation.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Approximately 39%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In 2015, the U.S. dollar continued to strengthen compared to the euro, which adversely affected our revenue by $39.1 million. Further strengthening of the U.S. dollar may adversely affect our financial condition and results of operations.</w:t>
      </w:r>
    </w:p>
    <w:p>
      <w:pPr>
        <w:spacing w:after="0" w:line="18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Environmental, health and safety laws and regulations impose substantial costs and limitations on our operations; environmental compliance may be more costly than we expect, and any adverse regulatory action may materially adversely affect our business.</w:t>
      </w:r>
    </w:p>
    <w:p>
      <w:pPr>
        <w:spacing w:after="0" w:line="14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prospects, financial condition or results of operations.</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medical devices are subject to regulation by numerous government agencies, including the FDA and comparable agencies outside the U.S. To varying degrees, each of these agencies requires us to comply with laws and regulations governing the development, testing, manufacturing, labeling, marketing and distribution of our medical devices. We cannot guarantee that we will be able to obtain marketing clearance for our new products or enhancements or modifications to existing products. If such approval is obtained, it may:</w:t>
      </w:r>
    </w:p>
    <w:p>
      <w:pPr>
        <w:spacing w:after="0" w:line="9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involve stringent clinical and pre-clinical testing, as well as increased post-market surveillance;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 in limitations on the proposed uses of our products.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regulations. We are also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Since 2009, the FDA has significantly increased its oversight of companies subject to its regulations, including medical device companies, by hiring new investigators and stepping up inspections of manufacturing facilities. The FDA has recently also significantly increased the number of warning letters issued to companies.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Foreign governmental regulations have become increasingly stringent and more common, and we may become subject to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products could result in a product recall.</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majority of our products are components of our customers’ products that are used in the automotive industry and other critical industrial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 successful product recall claim requiring that we bear a substantial part of the cost of correction or the loss of a key customer could have a material adverse effect on our business, prospects, financial condition, results of operations and cash flows from operations.</w:t>
      </w:r>
    </w:p>
    <w:p>
      <w:pPr>
        <w:spacing w:after="0" w:line="15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growth strategy depends in part on companies outsourcing critical components, and if outsourcing does not continue, our business could be adversely affected.</w:t>
      </w:r>
    </w:p>
    <w:p>
      <w:pPr>
        <w:spacing w:after="0" w:line="17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growth strategy depends in part on major customers continuing to outsource components and expanding the number of components being outsourced. This requires manufacturers to depart significantly from their traditional methods of operations. If major customers do not continue to expand outsourcing efforts or determine to reduce their use of outsourcing, our ability to grow our business could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is highly competitive, and many of our competitors have significant advantages that could adversely affect our business.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global markets for precision bearing components and precision metal and plastic components are highly competitive, with a majority of production represented by the captive production operations of large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we do. Our competitors are continuously exploring and implementing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improvements in technology and manufacturing processes in order to improve product quality, and our ability to remain competitive will depend, among other things, on whether we are able to keep pace with such quality improvements in a cost effective manner. Due to this competitiveness, we may not be able to increase prices for our products to cover cost increases. In many cases we face pressure from our customers to reduce prices, which could adversely affect our business, financial condition, results of operations and cash flows from operations. In addition, our customers may choose to purchase products from one of our competitors rather than pay the prices we seek for our products, which could adversely affect our business, prospects, financial condition, results of operations and cash flows from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capacity has been expanded geographically in recent years to operate in the same markets as our customers.</w:t>
      </w:r>
    </w:p>
    <w:p>
      <w:pPr>
        <w:spacing w:after="0" w:line="22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We have expanded our precision bearing components production facilities and capacity over the last several years. Historically, precision bearing component production facilities have not always operated at full capacity. Over the past several years, we have undertaken steps to address a portion of the capacity risk including closing or ceasing operations at certain plants and downsizing employment levels at others. As such, the risk exists that our customers may exit the geographic markets in which our production capacity is located and/or develop vendors in lower cost countries in which we do not have production capacity.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5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macro or micro-economic factors;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Delaware law may inhibit a takeover, which could adversely affect the value of our common stock.</w:t>
      </w:r>
    </w:p>
    <w:p>
      <w:pPr>
        <w:spacing w:after="0" w:line="23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five million preferred shares without a stockholder vote. In addition, our certificate of incorporation provides that stockholders may not call a special meeting.</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 unable to integrate PEP’s businesses with ours successfully or realize the anticipated synergies and other benefits of the PEP Acquisition or do so within the anticipated timeframe.</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will be required to devote significant management attention and resources to integrating the operations and business practices of PEP with our existing operations and business practices. Potential difficulties we may encounter as part of the integration process include the following:</w:t>
      </w:r>
    </w:p>
    <w:p>
      <w:pPr>
        <w:spacing w:after="0" w:line="52" w:lineRule="exact"/>
        <w:rPr>
          <w:sz w:val="20"/>
          <w:szCs w:val="20"/>
          <w:color w:val="auto"/>
        </w:rPr>
      </w:pPr>
    </w:p>
    <w:p>
      <w:pPr>
        <w:ind w:left="900" w:right="1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successfully integrate PEP in a manner that permits us to achieve the full revenue and other benefits anticipated to result from the PEP Acquisition;</w:t>
      </w:r>
    </w:p>
    <w:p>
      <w:pPr>
        <w:spacing w:after="0" w:line="75" w:lineRule="exact"/>
        <w:rPr>
          <w:rFonts w:ascii="Arial" w:cs="Arial" w:eastAsia="Arial" w:hAnsi="Arial"/>
          <w:sz w:val="18"/>
          <w:szCs w:val="18"/>
          <w:color w:val="auto"/>
        </w:rPr>
      </w:pPr>
    </w:p>
    <w:p>
      <w:pPr>
        <w:ind w:left="900" w:right="60" w:hanging="446"/>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complexities associated with managing the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suppliers, employees and other constituencies;</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PEP Acquisition;</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implement effective internal controls, procedures and policies for PEP as required by the Sarbanes-Oxley Act of 2002 within the time periods prescribed thereby;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implement effectively our new NN Operating System with respect to PEP;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negotiations concerning possible modifications to PEP contracts as a result of the PEP acquisition;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the attention of our management and the management of PEP;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disruption of, or the loss of momentum in, ongoing operations or inconsistencies in standards, controls, procedures and policies.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These potential difficulties could adversely affect our and the managers of PEP’s ability to maintain relationships with customers, suppliers, employees and other constituencies and the ability to achieve the anticipated benefits of the PEP Acquisition, and could adversely affect our business, prospects, financial results or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realize the anticipated cost or capital expenditure savings or may incur additional and/or unexpected costs in order to realize them.</w:t>
      </w:r>
    </w:p>
    <w:p>
      <w:pPr>
        <w:spacing w:after="0" w:line="26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can be no assurance that we will be able to realize the anticipated cost or capital expenditure savings from the PEP Acquisition in the anticipated amounts or within the anticipated timeframes or at all. We anticipate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implementing a series of cost savings initiatives that we expect to result in recurring, annual run-rate cost savings. We expect to incur one-time, non-recurring costs to achieve such synergies, including certain costs during 2015 and 2016. These or any other cost or capital expenditure savings that we realize may differ materially from our estimates. We cannot provide assurances that these anticipated savings will be achieved or that our programs and improvements will be completed as anticipated or at all. In addition, any cost savings that we realize may be offset, in whole or in part, by reductions in revenues or through increases in other expenses.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projections and assumptions related to cost savings are based on our current estimates, but they involve risks, uncertainties, projections and other factors that may cause actual results, performance or achievements to be materially different from any future results, performance or achievements, express or implied. Neither our independent auditors nor any other independent auditors, have examined, compiled or performed any procedures with respect to these projections, nor have they expressed any opinion, or any other form of assurance on such information or their achievability. Assumptions relating to our projections involve subjective decisions and judgments with respect to, among other things, the estimated impact of certain operational adjustments, including Six Sigma/OpEx optimization programs, product grouping and rationalization, facility rationalization and shared services cost savings and other cost and savings adjustments, as well as future economic, competitive, industry and market conditions and future business decisions, all of which are inherently uncertain and may be beyond the control of our management.</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Failure to realize the expected costs savings and operating synergies related to the PEP Acquisition could result in increased costs and have an adverse effect on our business, prospects, financial results or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could suffer if we cannot effectively manage our expanded operations following the PEP Acquisition.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result of the PEP Acquisition, the size of our operations were significantly increased. Our future success depends, in part, upon our ability to manage the expanded operations, which will pose substantial challenges for management, including challenges related to the management and monitoring of new operations and associated increased costs and complexity. There can be no assurance that we will be successful or that we will realize any operating efficiencies, cost savings, revenue enhancements or other benefits currently anticipated from the PEP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retain key employees as a result of the PEP Acquisition.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success will depend in part upon the ability to retain key former employees of PEP, as well as our key employees. Key employees may depart because of, among other things, issues relating to the uncertainty and difficulty of integration or a desire not to remain with us following the PEP Acquisition. Accordingly, no assurance can be given that we will be able to retain key employees to the same extent as in the past.</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PEP operates in a different line of business from our historical business, and the PEP Acquisition is significantly larger than any other acquisition we have made to date. We may face challenges managing PEP as a new business and may not realize anticipated benefits.</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PEP Acquisition, our largest acquisition to date in terms of acquisition price, resulted in our being significantly engaged in lines of business of which we have little to no historical operations. Because we are entering into a new line of business, we may not have the expertise, experience and resources to pursue all of our businesses at once, or we may be unable to successfully operate the businesses. The administration of our businesses will require implementation of appropriate operations, management, compliance and financial reporting systems and controls. We may experience difficulties in effectively implementing these and other systems. PEP’s management team will require the focused attention of their management team, including a significant commitment of its time and resources. The need for management to focus on these matters could have a material and adverse impact on our revenues and operating results. If PEP’s operations are less profitable than we currently anticipate or if we do not have the experience, the appropriate expertise, or the resources to pursue all of our businesses, our business, prospects, financial results or operations may be materially and adversely affected.</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incurred substantial expenses related to the PEP Acquisition and expect to incur substantial expenses relating to the integration of our operations with PEP.</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expect to incur substantial expenses in connection with the Acquisition and the integration of our operations with PEP. There are a large number of processes, policies, procedures, operations, technologies and systems that must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integrated, including purchasing, accounting and finance, sales, payroll, pricing, marketing and benefits.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 These integration expenses may result in us taking significant charges against earnings following the consummation of the Acquisition, and the amount and timing of such charges are uncertain at present.</w:t>
      </w:r>
    </w:p>
    <w:p>
      <w:pPr>
        <w:spacing w:after="0" w:line="299"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manufacturing plants for each of our segments are listed below. In addition, we lease an office building in Johnson City, Tennessee which serves as our corporate offices.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Bearing Components Group</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Manufacturing Operation</w:t>
            </w:r>
          </w:p>
        </w:tc>
        <w:tc>
          <w:tcPr>
            <w:tcW w:w="2120" w:type="dxa"/>
            <w:vAlign w:val="bottom"/>
          </w:tcPr>
          <w:p>
            <w:pPr>
              <w:spacing w:after="0"/>
              <w:rPr>
                <w:sz w:val="14"/>
                <w:szCs w:val="14"/>
                <w:color w:val="auto"/>
              </w:rPr>
            </w:pPr>
          </w:p>
        </w:tc>
        <w:tc>
          <w:tcPr>
            <w:tcW w:w="1460" w:type="dxa"/>
            <w:vAlign w:val="bottom"/>
            <w:gridSpan w:val="4"/>
            <w:vMerge w:val="restart"/>
          </w:tcPr>
          <w:p>
            <w:pPr>
              <w:jc w:val="center"/>
              <w:ind w:right="940"/>
              <w:spacing w:after="0"/>
              <w:rPr>
                <w:sz w:val="20"/>
                <w:szCs w:val="20"/>
                <w:color w:val="auto"/>
              </w:rPr>
            </w:pPr>
            <w:r>
              <w:rPr>
                <w:rFonts w:ascii="Arial" w:cs="Arial" w:eastAsia="Arial" w:hAnsi="Arial"/>
                <w:sz w:val="14"/>
                <w:szCs w:val="14"/>
                <w:b w:val="1"/>
                <w:bCs w:val="1"/>
                <w:color w:val="auto"/>
                <w:w w:val="96"/>
              </w:rPr>
              <w:t>Country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Owned or Leased</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3480" w:type="dxa"/>
            <w:vAlign w:val="bottom"/>
            <w:gridSpan w:val="2"/>
            <w:vMerge w:val="continue"/>
          </w:tcPr>
          <w:p>
            <w:pPr>
              <w:spacing w:after="0"/>
              <w:rPr>
                <w:sz w:val="16"/>
                <w:szCs w:val="16"/>
                <w:color w:val="auto"/>
              </w:rPr>
            </w:pPr>
          </w:p>
        </w:tc>
        <w:tc>
          <w:tcPr>
            <w:tcW w:w="2120" w:type="dxa"/>
            <w:vAlign w:val="bottom"/>
          </w:tcPr>
          <w:p>
            <w:pPr>
              <w:spacing w:after="0"/>
              <w:rPr>
                <w:sz w:val="16"/>
                <w:szCs w:val="16"/>
                <w:color w:val="auto"/>
              </w:rPr>
            </w:pPr>
          </w:p>
        </w:tc>
        <w:tc>
          <w:tcPr>
            <w:tcW w:w="1460" w:type="dxa"/>
            <w:vAlign w:val="bottom"/>
            <w:gridSpan w:val="4"/>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Sq. Feet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6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Erwin Plant</w:t>
            </w:r>
          </w:p>
        </w:tc>
        <w:tc>
          <w:tcPr>
            <w:tcW w:w="1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2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2"/>
              </w:rPr>
              <w:t>U.S.A.</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155,000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Kunshan Plant</w:t>
            </w:r>
          </w:p>
        </w:tc>
        <w:tc>
          <w:tcPr>
            <w:tcW w:w="2120" w:type="dxa"/>
            <w:vAlign w:val="bottom"/>
          </w:tcPr>
          <w:p>
            <w:pPr>
              <w:spacing w:after="0"/>
              <w:rPr>
                <w:sz w:val="18"/>
                <w:szCs w:val="18"/>
                <w:color w:val="auto"/>
              </w:rPr>
            </w:pPr>
          </w:p>
        </w:tc>
        <w:tc>
          <w:tcPr>
            <w:tcW w:w="1460" w:type="dxa"/>
            <w:vAlign w:val="bottom"/>
            <w:gridSpan w:val="4"/>
          </w:tcPr>
          <w:p>
            <w:pPr>
              <w:jc w:val="center"/>
              <w:ind w:right="940"/>
              <w:spacing w:after="0"/>
              <w:rPr>
                <w:sz w:val="20"/>
                <w:szCs w:val="20"/>
                <w:color w:val="auto"/>
              </w:rPr>
            </w:pPr>
            <w:r>
              <w:rPr>
                <w:rFonts w:ascii="Arial" w:cs="Arial" w:eastAsia="Arial" w:hAnsi="Arial"/>
                <w:sz w:val="18"/>
                <w:szCs w:val="18"/>
                <w:color w:val="auto"/>
                <w:w w:val="93"/>
              </w:rPr>
              <w:t>China</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185,000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Kysucke Plant</w:t>
            </w:r>
          </w:p>
        </w:tc>
        <w:tc>
          <w:tcPr>
            <w:tcW w:w="3580" w:type="dxa"/>
            <w:vAlign w:val="bottom"/>
            <w:gridSpan w:val="5"/>
          </w:tcPr>
          <w:p>
            <w:pPr>
              <w:jc w:val="center"/>
              <w:ind w:left="1090"/>
              <w:spacing w:after="0"/>
              <w:rPr>
                <w:sz w:val="20"/>
                <w:szCs w:val="20"/>
                <w:color w:val="auto"/>
              </w:rPr>
            </w:pPr>
            <w:r>
              <w:rPr>
                <w:rFonts w:ascii="Arial" w:cs="Arial" w:eastAsia="Arial" w:hAnsi="Arial"/>
                <w:sz w:val="18"/>
                <w:szCs w:val="18"/>
                <w:color w:val="auto"/>
                <w:w w:val="94"/>
              </w:rPr>
              <w:t>Slovakia</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135,000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Mountain City Plant</w:t>
            </w:r>
          </w:p>
        </w:tc>
        <w:tc>
          <w:tcPr>
            <w:tcW w:w="2120" w:type="dxa"/>
            <w:vAlign w:val="bottom"/>
          </w:tcPr>
          <w:p>
            <w:pPr>
              <w:spacing w:after="0"/>
              <w:rPr>
                <w:sz w:val="18"/>
                <w:szCs w:val="18"/>
                <w:color w:val="auto"/>
              </w:rPr>
            </w:pPr>
          </w:p>
        </w:tc>
        <w:tc>
          <w:tcPr>
            <w:tcW w:w="1460" w:type="dxa"/>
            <w:vAlign w:val="bottom"/>
            <w:gridSpan w:val="4"/>
          </w:tcPr>
          <w:p>
            <w:pPr>
              <w:jc w:val="center"/>
              <w:ind w:right="9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86,000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Pinerolo Plant</w:t>
            </w:r>
          </w:p>
        </w:tc>
        <w:tc>
          <w:tcPr>
            <w:tcW w:w="2120" w:type="dxa"/>
            <w:vAlign w:val="bottom"/>
          </w:tcPr>
          <w:p>
            <w:pPr>
              <w:spacing w:after="0"/>
              <w:rPr>
                <w:sz w:val="18"/>
                <w:szCs w:val="18"/>
                <w:color w:val="auto"/>
              </w:rPr>
            </w:pPr>
          </w:p>
        </w:tc>
        <w:tc>
          <w:tcPr>
            <w:tcW w:w="1460" w:type="dxa"/>
            <w:vAlign w:val="bottom"/>
            <w:gridSpan w:val="4"/>
          </w:tcPr>
          <w:p>
            <w:pPr>
              <w:jc w:val="center"/>
              <w:ind w:right="940"/>
              <w:spacing w:after="0"/>
              <w:rPr>
                <w:sz w:val="20"/>
                <w:szCs w:val="20"/>
                <w:color w:val="auto"/>
              </w:rPr>
            </w:pPr>
            <w:r>
              <w:rPr>
                <w:rFonts w:ascii="Arial" w:cs="Arial" w:eastAsia="Arial" w:hAnsi="Arial"/>
                <w:sz w:val="18"/>
                <w:szCs w:val="18"/>
                <w:color w:val="auto"/>
                <w:w w:val="96"/>
              </w:rPr>
              <w:t>Italy</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330,000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RFK Valjcici d. d. Konjic Plant</w:t>
            </w:r>
          </w:p>
        </w:tc>
        <w:tc>
          <w:tcPr>
            <w:tcW w:w="2120" w:type="dxa"/>
            <w:vAlign w:val="bottom"/>
          </w:tcPr>
          <w:p>
            <w:pPr>
              <w:spacing w:after="0"/>
              <w:rPr>
                <w:sz w:val="18"/>
                <w:szCs w:val="18"/>
                <w:color w:val="auto"/>
              </w:rPr>
            </w:pPr>
          </w:p>
        </w:tc>
        <w:tc>
          <w:tcPr>
            <w:tcW w:w="1460" w:type="dxa"/>
            <w:vAlign w:val="bottom"/>
            <w:gridSpan w:val="4"/>
          </w:tcPr>
          <w:p>
            <w:pPr>
              <w:jc w:val="center"/>
              <w:ind w:right="920"/>
              <w:spacing w:after="0"/>
              <w:rPr>
                <w:sz w:val="20"/>
                <w:szCs w:val="20"/>
                <w:color w:val="auto"/>
              </w:rPr>
            </w:pPr>
            <w:r>
              <w:rPr>
                <w:rFonts w:ascii="Arial" w:cs="Arial" w:eastAsia="Arial" w:hAnsi="Arial"/>
                <w:sz w:val="18"/>
                <w:szCs w:val="18"/>
                <w:color w:val="auto"/>
                <w:w w:val="90"/>
              </w:rPr>
              <w:t>Bosnia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54,500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Veenendaal Plant</w:t>
            </w:r>
          </w:p>
        </w:tc>
        <w:tc>
          <w:tcPr>
            <w:tcW w:w="3580" w:type="dxa"/>
            <w:vAlign w:val="bottom"/>
            <w:gridSpan w:val="5"/>
          </w:tcPr>
          <w:p>
            <w:pPr>
              <w:jc w:val="center"/>
              <w:ind w:left="1090"/>
              <w:spacing w:after="0"/>
              <w:rPr>
                <w:sz w:val="20"/>
                <w:szCs w:val="20"/>
                <w:color w:val="auto"/>
              </w:rPr>
            </w:pPr>
            <w:r>
              <w:rPr>
                <w:rFonts w:ascii="Arial" w:cs="Arial" w:eastAsia="Arial" w:hAnsi="Arial"/>
                <w:sz w:val="18"/>
                <w:szCs w:val="18"/>
                <w:color w:val="auto"/>
                <w:w w:val="90"/>
              </w:rPr>
              <w:t>The Netherlands</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159,000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540"/>
        </w:trPr>
        <w:tc>
          <w:tcPr>
            <w:tcW w:w="44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Precision Engineered Products Group</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Manufacturing Operation</w:t>
            </w:r>
          </w:p>
        </w:tc>
        <w:tc>
          <w:tcPr>
            <w:tcW w:w="2120" w:type="dxa"/>
            <w:vAlign w:val="bottom"/>
          </w:tcPr>
          <w:p>
            <w:pPr>
              <w:spacing w:after="0"/>
              <w:rPr>
                <w:sz w:val="24"/>
                <w:szCs w:val="24"/>
                <w:color w:val="auto"/>
              </w:rPr>
            </w:pPr>
          </w:p>
        </w:tc>
        <w:tc>
          <w:tcPr>
            <w:tcW w:w="1460" w:type="dxa"/>
            <w:vAlign w:val="bottom"/>
            <w:gridSpan w:val="4"/>
            <w:vMerge w:val="restart"/>
          </w:tcPr>
          <w:p>
            <w:pPr>
              <w:jc w:val="center"/>
              <w:ind w:right="740"/>
              <w:spacing w:after="0"/>
              <w:rPr>
                <w:sz w:val="20"/>
                <w:szCs w:val="20"/>
                <w:color w:val="auto"/>
              </w:rPr>
            </w:pPr>
            <w:r>
              <w:rPr>
                <w:rFonts w:ascii="Arial" w:cs="Arial" w:eastAsia="Arial" w:hAnsi="Arial"/>
                <w:sz w:val="14"/>
                <w:szCs w:val="14"/>
                <w:b w:val="1"/>
                <w:bCs w:val="1"/>
                <w:color w:val="auto"/>
                <w:w w:val="96"/>
              </w:rPr>
              <w:t>Country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460" w:type="dxa"/>
            <w:vAlign w:val="bottom"/>
          </w:tcPr>
          <w:p>
            <w:pPr>
              <w:spacing w:after="0"/>
              <w:rPr>
                <w:sz w:val="24"/>
                <w:szCs w:val="24"/>
                <w:color w:val="auto"/>
              </w:rPr>
            </w:pP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Owned or Leased</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3480" w:type="dxa"/>
            <w:vAlign w:val="bottom"/>
            <w:gridSpan w:val="2"/>
            <w:vMerge w:val="continue"/>
          </w:tcPr>
          <w:p>
            <w:pPr>
              <w:spacing w:after="0"/>
              <w:rPr>
                <w:sz w:val="16"/>
                <w:szCs w:val="16"/>
                <w:color w:val="auto"/>
              </w:rPr>
            </w:pPr>
          </w:p>
        </w:tc>
        <w:tc>
          <w:tcPr>
            <w:tcW w:w="2120" w:type="dxa"/>
            <w:vAlign w:val="bottom"/>
          </w:tcPr>
          <w:p>
            <w:pPr>
              <w:spacing w:after="0"/>
              <w:rPr>
                <w:sz w:val="16"/>
                <w:szCs w:val="16"/>
                <w:color w:val="auto"/>
              </w:rPr>
            </w:pPr>
          </w:p>
        </w:tc>
        <w:tc>
          <w:tcPr>
            <w:tcW w:w="1460" w:type="dxa"/>
            <w:vAlign w:val="bottom"/>
            <w:gridSpan w:val="4"/>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Sq. Feet</w:t>
            </w:r>
          </w:p>
        </w:tc>
        <w:tc>
          <w:tcPr>
            <w:tcW w:w="4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6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Algonquin Plant</w:t>
            </w:r>
          </w:p>
        </w:tc>
        <w:tc>
          <w:tcPr>
            <w:tcW w:w="1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2"/>
              </w:rPr>
              <w:t>U.S.A.</w:t>
            </w:r>
          </w:p>
        </w:tc>
        <w:tc>
          <w:tcPr>
            <w:tcW w:w="840" w:type="dxa"/>
            <w:vAlign w:val="bottom"/>
          </w:tcPr>
          <w:p>
            <w:pPr>
              <w:spacing w:after="0"/>
              <w:rPr>
                <w:sz w:val="15"/>
                <w:szCs w:val="15"/>
                <w:color w:val="auto"/>
              </w:rPr>
            </w:pPr>
          </w:p>
        </w:tc>
        <w:tc>
          <w:tcPr>
            <w:tcW w:w="8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45,000</w:t>
            </w:r>
          </w:p>
        </w:tc>
        <w:tc>
          <w:tcPr>
            <w:tcW w:w="4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51"/>
              <w:spacing w:after="0" w:line="182" w:lineRule="exact"/>
              <w:rPr>
                <w:sz w:val="20"/>
                <w:szCs w:val="20"/>
                <w:color w:val="auto"/>
              </w:rPr>
            </w:pPr>
            <w:r>
              <w:rPr>
                <w:rFonts w:ascii="Arial" w:cs="Arial" w:eastAsia="Arial" w:hAnsi="Arial"/>
                <w:sz w:val="18"/>
                <w:szCs w:val="18"/>
                <w:color w:val="auto"/>
                <w:w w:val="91"/>
              </w:rPr>
              <w:t>Owned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Attleboro Plant 1</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109,457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Attleboro Plant 2</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43,000</w:t>
            </w:r>
          </w:p>
        </w:tc>
        <w:tc>
          <w:tcPr>
            <w:tcW w:w="1680" w:type="dxa"/>
            <w:vAlign w:val="bottom"/>
            <w:gridSpan w:val="4"/>
          </w:tcPr>
          <w:p>
            <w:pPr>
              <w:jc w:val="center"/>
              <w:ind w:left="210"/>
              <w:spacing w:after="0"/>
              <w:rPr>
                <w:sz w:val="20"/>
                <w:szCs w:val="20"/>
                <w:color w:val="auto"/>
              </w:rPr>
            </w:pPr>
            <w:r>
              <w:rPr>
                <w:rFonts w:ascii="Arial" w:cs="Arial" w:eastAsia="Arial" w:hAnsi="Arial"/>
                <w:sz w:val="18"/>
                <w:szCs w:val="18"/>
                <w:color w:val="auto"/>
                <w:w w:val="91"/>
              </w:rPr>
              <w:t>Owned &amp; 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Aurora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75,000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Bridgeport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172,620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East Providence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64,485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Elgin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25,000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Fairfield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51,354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Foshan City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3"/>
              </w:rPr>
              <w:t>China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27,202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Franklin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27,040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Hingham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35,000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Lubbock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228,000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Medsorb Clean Room</w:t>
            </w:r>
          </w:p>
        </w:tc>
        <w:tc>
          <w:tcPr>
            <w:tcW w:w="3580" w:type="dxa"/>
            <w:vAlign w:val="bottom"/>
            <w:gridSpan w:val="5"/>
          </w:tcPr>
          <w:p>
            <w:pPr>
              <w:jc w:val="center"/>
              <w:ind w:left="1290"/>
              <w:spacing w:after="0"/>
              <w:rPr>
                <w:sz w:val="20"/>
                <w:szCs w:val="20"/>
                <w:color w:val="auto"/>
              </w:rPr>
            </w:pPr>
            <w:r>
              <w:rPr>
                <w:rFonts w:ascii="Arial" w:cs="Arial" w:eastAsia="Arial" w:hAnsi="Arial"/>
                <w:sz w:val="18"/>
                <w:szCs w:val="18"/>
                <w:color w:val="auto"/>
                <w:w w:val="92"/>
              </w:rPr>
              <w:t>Dominican Republic</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Mexico City Plant</w:t>
            </w:r>
          </w:p>
        </w:tc>
        <w:tc>
          <w:tcPr>
            <w:tcW w:w="2120" w:type="dxa"/>
            <w:vAlign w:val="bottom"/>
          </w:tcPr>
          <w:p>
            <w:pPr>
              <w:spacing w:after="0"/>
              <w:rPr>
                <w:sz w:val="18"/>
                <w:szCs w:val="18"/>
                <w:color w:val="auto"/>
              </w:rPr>
            </w:pPr>
          </w:p>
        </w:tc>
        <w:tc>
          <w:tcPr>
            <w:tcW w:w="1460" w:type="dxa"/>
            <w:vAlign w:val="bottom"/>
            <w:gridSpan w:val="4"/>
          </w:tcPr>
          <w:p>
            <w:pPr>
              <w:jc w:val="center"/>
              <w:ind w:right="740"/>
              <w:spacing w:after="0"/>
              <w:rPr>
                <w:sz w:val="20"/>
                <w:szCs w:val="20"/>
                <w:color w:val="auto"/>
              </w:rPr>
            </w:pPr>
            <w:r>
              <w:rPr>
                <w:rFonts w:ascii="Arial" w:cs="Arial" w:eastAsia="Arial" w:hAnsi="Arial"/>
                <w:sz w:val="18"/>
                <w:szCs w:val="18"/>
                <w:color w:val="auto"/>
                <w:w w:val="98"/>
              </w:rPr>
              <w:t>Mexico</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34,000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North Attleboro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69,080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Palmer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75,590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Wallingford Plant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23,000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Warsaw Plant</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U.S.A.</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11,200</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20" w:type="dxa"/>
            <w:vAlign w:val="bottom"/>
          </w:tcPr>
          <w:p>
            <w:pPr>
              <w:jc w:val="right"/>
              <w:ind w:right="6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Autocam Precision Components Group</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6"/>
              </w:rPr>
              <w:t>Manufacturing Operation</w:t>
            </w:r>
          </w:p>
        </w:tc>
        <w:tc>
          <w:tcPr>
            <w:tcW w:w="35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7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Approximate</w:t>
            </w:r>
          </w:p>
        </w:tc>
        <w:tc>
          <w:tcPr>
            <w:tcW w:w="86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Owned or Leased</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3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Sq. Feet</w:t>
            </w:r>
          </w:p>
        </w:tc>
        <w:tc>
          <w:tcPr>
            <w:tcW w:w="86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5120" w:type="dxa"/>
            <w:vAlign w:val="bottom"/>
            <w:gridSpan w:val="2"/>
          </w:tcPr>
          <w:p>
            <w:pPr>
              <w:spacing w:after="0" w:line="182" w:lineRule="exact"/>
              <w:rPr>
                <w:sz w:val="20"/>
                <w:szCs w:val="20"/>
                <w:color w:val="auto"/>
              </w:rPr>
            </w:pPr>
            <w:r>
              <w:rPr>
                <w:rFonts w:ascii="Arial" w:cs="Arial" w:eastAsia="Arial" w:hAnsi="Arial"/>
                <w:sz w:val="18"/>
                <w:szCs w:val="18"/>
                <w:color w:val="auto"/>
              </w:rPr>
              <w:t>Autocam Boutuva Plant</w:t>
            </w:r>
          </w:p>
        </w:tc>
        <w:tc>
          <w:tcPr>
            <w:tcW w:w="280" w:type="dxa"/>
            <w:vAlign w:val="bottom"/>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7"/>
              </w:rPr>
              <w:t>Brazil</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left="84"/>
              <w:spacing w:after="0" w:line="182" w:lineRule="exact"/>
              <w:rPr>
                <w:sz w:val="20"/>
                <w:szCs w:val="20"/>
                <w:color w:val="auto"/>
              </w:rPr>
            </w:pPr>
            <w:r>
              <w:rPr>
                <w:rFonts w:ascii="Arial" w:cs="Arial" w:eastAsia="Arial" w:hAnsi="Arial"/>
                <w:sz w:val="18"/>
                <w:szCs w:val="18"/>
                <w:color w:val="auto"/>
                <w:w w:val="90"/>
              </w:rPr>
              <w:t>42,000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jc w:val="center"/>
              <w:spacing w:after="0" w:line="182" w:lineRule="exact"/>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Autocam China Plant</w:t>
            </w:r>
          </w:p>
        </w:tc>
        <w:tc>
          <w:tcPr>
            <w:tcW w:w="280" w:type="dxa"/>
            <w:vAlign w:val="bottom"/>
          </w:tcPr>
          <w:p>
            <w:pPr>
              <w:spacing w:after="0"/>
              <w:rPr>
                <w:sz w:val="18"/>
                <w:szCs w:val="18"/>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89"/>
              </w:rPr>
              <w:t>China</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68,900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Autocam Dowagiac Plant</w:t>
            </w:r>
          </w:p>
        </w:tc>
        <w:tc>
          <w:tcPr>
            <w:tcW w:w="280" w:type="dxa"/>
            <w:vAlign w:val="bottom"/>
          </w:tcPr>
          <w:p>
            <w:pPr>
              <w:spacing w:after="0"/>
              <w:rPr>
                <w:sz w:val="18"/>
                <w:szCs w:val="18"/>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96"/>
              </w:rPr>
              <w:t>U.S.A.</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67,000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Autocam Kentwood Plant 1</w:t>
            </w:r>
          </w:p>
        </w:tc>
        <w:tc>
          <w:tcPr>
            <w:tcW w:w="280" w:type="dxa"/>
            <w:vAlign w:val="bottom"/>
          </w:tcPr>
          <w:p>
            <w:pPr>
              <w:spacing w:after="0"/>
              <w:rPr>
                <w:sz w:val="18"/>
                <w:szCs w:val="18"/>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96"/>
              </w:rPr>
              <w:t>U.S.A.</w:t>
            </w:r>
          </w:p>
        </w:tc>
        <w:tc>
          <w:tcPr>
            <w:tcW w:w="980" w:type="dxa"/>
            <w:vAlign w:val="bottom"/>
            <w:gridSpan w:val="3"/>
          </w:tcPr>
          <w:p>
            <w:pPr>
              <w:jc w:val="center"/>
              <w:ind w:left="71"/>
              <w:spacing w:after="0"/>
              <w:rPr>
                <w:sz w:val="20"/>
                <w:szCs w:val="20"/>
                <w:color w:val="auto"/>
              </w:rPr>
            </w:pPr>
            <w:r>
              <w:rPr>
                <w:rFonts w:ascii="Arial" w:cs="Arial" w:eastAsia="Arial" w:hAnsi="Arial"/>
                <w:sz w:val="18"/>
                <w:szCs w:val="18"/>
                <w:color w:val="auto"/>
                <w:w w:val="89"/>
              </w:rPr>
              <w:t>188,000</w:t>
            </w: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Autocam Kentwood Plant 2</w:t>
            </w:r>
          </w:p>
        </w:tc>
        <w:tc>
          <w:tcPr>
            <w:tcW w:w="280" w:type="dxa"/>
            <w:vAlign w:val="bottom"/>
          </w:tcPr>
          <w:p>
            <w:pPr>
              <w:spacing w:after="0"/>
              <w:rPr>
                <w:sz w:val="18"/>
                <w:szCs w:val="18"/>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96"/>
              </w:rPr>
              <w:t>U.S.A.</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38,500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Autocam Marshall Plant 1</w:t>
            </w:r>
          </w:p>
        </w:tc>
        <w:tc>
          <w:tcPr>
            <w:tcW w:w="280" w:type="dxa"/>
            <w:vAlign w:val="bottom"/>
          </w:tcPr>
          <w:p>
            <w:pPr>
              <w:spacing w:after="0"/>
              <w:rPr>
                <w:sz w:val="18"/>
                <w:szCs w:val="18"/>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96"/>
              </w:rPr>
              <w:t>U.S.A.</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56,000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Autocam Marshall Plant 2</w:t>
            </w:r>
          </w:p>
        </w:tc>
        <w:tc>
          <w:tcPr>
            <w:tcW w:w="280" w:type="dxa"/>
            <w:vAlign w:val="bottom"/>
          </w:tcPr>
          <w:p>
            <w:pPr>
              <w:spacing w:after="0"/>
              <w:rPr>
                <w:sz w:val="18"/>
                <w:szCs w:val="18"/>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96"/>
              </w:rPr>
              <w:t>U.S.A.</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58,700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Autocam Poland Plant</w:t>
            </w:r>
          </w:p>
        </w:tc>
        <w:tc>
          <w:tcPr>
            <w:tcW w:w="280" w:type="dxa"/>
            <w:vAlign w:val="bottom"/>
          </w:tcPr>
          <w:p>
            <w:pPr>
              <w:spacing w:after="0"/>
              <w:rPr>
                <w:sz w:val="18"/>
                <w:szCs w:val="18"/>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89"/>
              </w:rPr>
              <w:t>Poland</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71,000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Autocam Sao Joao da Boa Plant 1</w:t>
            </w:r>
          </w:p>
        </w:tc>
        <w:tc>
          <w:tcPr>
            <w:tcW w:w="280" w:type="dxa"/>
            <w:vAlign w:val="bottom"/>
          </w:tcPr>
          <w:p>
            <w:pPr>
              <w:spacing w:after="0"/>
              <w:rPr>
                <w:sz w:val="18"/>
                <w:szCs w:val="18"/>
                <w:color w:val="auto"/>
              </w:rPr>
            </w:pPr>
          </w:p>
        </w:tc>
        <w:tc>
          <w:tcPr>
            <w:tcW w:w="1260" w:type="dxa"/>
            <w:vAlign w:val="bottom"/>
            <w:gridSpan w:val="3"/>
          </w:tcPr>
          <w:p>
            <w:pPr>
              <w:jc w:val="center"/>
              <w:ind w:right="700"/>
              <w:spacing w:after="0"/>
              <w:rPr>
                <w:sz w:val="20"/>
                <w:szCs w:val="20"/>
                <w:color w:val="auto"/>
              </w:rPr>
            </w:pPr>
            <w:r>
              <w:rPr>
                <w:rFonts w:ascii="Arial" w:cs="Arial" w:eastAsia="Arial" w:hAnsi="Arial"/>
                <w:sz w:val="18"/>
                <w:szCs w:val="18"/>
                <w:color w:val="auto"/>
                <w:w w:val="97"/>
              </w:rPr>
              <w:t>Brazil</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76,500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Autocam Sao Joao da Boa Plant 2</w:t>
            </w:r>
          </w:p>
        </w:tc>
        <w:tc>
          <w:tcPr>
            <w:tcW w:w="280" w:type="dxa"/>
            <w:vAlign w:val="bottom"/>
          </w:tcPr>
          <w:p>
            <w:pPr>
              <w:spacing w:after="0"/>
              <w:rPr>
                <w:sz w:val="18"/>
                <w:szCs w:val="18"/>
                <w:color w:val="auto"/>
              </w:rPr>
            </w:pPr>
          </w:p>
        </w:tc>
        <w:tc>
          <w:tcPr>
            <w:tcW w:w="1260" w:type="dxa"/>
            <w:vAlign w:val="bottom"/>
            <w:gridSpan w:val="3"/>
          </w:tcPr>
          <w:p>
            <w:pPr>
              <w:jc w:val="center"/>
              <w:ind w:right="700"/>
              <w:spacing w:after="0"/>
              <w:rPr>
                <w:sz w:val="20"/>
                <w:szCs w:val="20"/>
                <w:color w:val="auto"/>
              </w:rPr>
            </w:pPr>
            <w:r>
              <w:rPr>
                <w:rFonts w:ascii="Arial" w:cs="Arial" w:eastAsia="Arial" w:hAnsi="Arial"/>
                <w:sz w:val="18"/>
                <w:szCs w:val="18"/>
                <w:color w:val="auto"/>
                <w:w w:val="97"/>
              </w:rPr>
              <w:t>Brazil</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73,200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Bouverat Industries Plant</w:t>
            </w:r>
          </w:p>
        </w:tc>
        <w:tc>
          <w:tcPr>
            <w:tcW w:w="280" w:type="dxa"/>
            <w:vAlign w:val="bottom"/>
          </w:tcPr>
          <w:p>
            <w:pPr>
              <w:spacing w:after="0"/>
              <w:rPr>
                <w:sz w:val="18"/>
                <w:szCs w:val="18"/>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89"/>
              </w:rPr>
              <w:t>France</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75,300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V-S Products Juarez Plant</w:t>
            </w:r>
          </w:p>
        </w:tc>
        <w:tc>
          <w:tcPr>
            <w:tcW w:w="1540" w:type="dxa"/>
            <w:vAlign w:val="bottom"/>
            <w:gridSpan w:val="4"/>
          </w:tcPr>
          <w:p>
            <w:pPr>
              <w:jc w:val="center"/>
              <w:ind w:right="440"/>
              <w:spacing w:after="0"/>
              <w:rPr>
                <w:sz w:val="20"/>
                <w:szCs w:val="20"/>
                <w:color w:val="auto"/>
              </w:rPr>
            </w:pPr>
            <w:r>
              <w:rPr>
                <w:rFonts w:ascii="Arial" w:cs="Arial" w:eastAsia="Arial" w:hAnsi="Arial"/>
                <w:sz w:val="18"/>
                <w:szCs w:val="18"/>
                <w:color w:val="auto"/>
                <w:w w:val="94"/>
              </w:rPr>
              <w:t>Mexico</w:t>
            </w:r>
          </w:p>
        </w:tc>
        <w:tc>
          <w:tcPr>
            <w:tcW w:w="980" w:type="dxa"/>
            <w:vAlign w:val="bottom"/>
            <w:gridSpan w:val="3"/>
          </w:tcPr>
          <w:p>
            <w:pPr>
              <w:jc w:val="center"/>
              <w:ind w:left="71"/>
              <w:spacing w:after="0"/>
              <w:rPr>
                <w:sz w:val="20"/>
                <w:szCs w:val="20"/>
                <w:color w:val="auto"/>
              </w:rPr>
            </w:pPr>
            <w:r>
              <w:rPr>
                <w:rFonts w:ascii="Arial" w:cs="Arial" w:eastAsia="Arial" w:hAnsi="Arial"/>
                <w:sz w:val="18"/>
                <w:szCs w:val="18"/>
                <w:color w:val="auto"/>
                <w:w w:val="89"/>
              </w:rPr>
              <w:t>135,000</w:t>
            </w: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V-S Products Wheeling Plant</w:t>
            </w:r>
          </w:p>
        </w:tc>
        <w:tc>
          <w:tcPr>
            <w:tcW w:w="280" w:type="dxa"/>
            <w:vAlign w:val="bottom"/>
          </w:tcPr>
          <w:p>
            <w:pPr>
              <w:spacing w:after="0"/>
              <w:rPr>
                <w:sz w:val="18"/>
                <w:szCs w:val="18"/>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96"/>
              </w:rPr>
              <w:t>U.S.A.</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76,000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Wellington Plant 1</w:t>
            </w:r>
          </w:p>
        </w:tc>
        <w:tc>
          <w:tcPr>
            <w:tcW w:w="280" w:type="dxa"/>
            <w:vAlign w:val="bottom"/>
          </w:tcPr>
          <w:p>
            <w:pPr>
              <w:spacing w:after="0"/>
              <w:rPr>
                <w:sz w:val="18"/>
                <w:szCs w:val="18"/>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96"/>
              </w:rPr>
              <w:t>U.S.A.</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86,000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Wellington Plant 2</w:t>
            </w:r>
          </w:p>
        </w:tc>
        <w:tc>
          <w:tcPr>
            <w:tcW w:w="280" w:type="dxa"/>
            <w:vAlign w:val="bottom"/>
          </w:tcPr>
          <w:p>
            <w:pPr>
              <w:spacing w:after="0"/>
              <w:rPr>
                <w:sz w:val="18"/>
                <w:szCs w:val="18"/>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96"/>
              </w:rPr>
              <w:t>U.S.A.</w:t>
            </w:r>
          </w:p>
        </w:tc>
        <w:tc>
          <w:tcPr>
            <w:tcW w:w="980" w:type="dxa"/>
            <w:vAlign w:val="bottom"/>
            <w:gridSpan w:val="3"/>
          </w:tcPr>
          <w:p>
            <w:pPr>
              <w:jc w:val="center"/>
              <w:ind w:left="71"/>
              <w:spacing w:after="0"/>
              <w:rPr>
                <w:sz w:val="20"/>
                <w:szCs w:val="20"/>
                <w:color w:val="auto"/>
              </w:rPr>
            </w:pPr>
            <w:r>
              <w:rPr>
                <w:rFonts w:ascii="Arial" w:cs="Arial" w:eastAsia="Arial" w:hAnsi="Arial"/>
                <w:sz w:val="18"/>
                <w:szCs w:val="18"/>
                <w:color w:val="auto"/>
                <w:w w:val="89"/>
              </w:rPr>
              <w:t>132,000</w:t>
            </w:r>
          </w:p>
        </w:tc>
        <w:tc>
          <w:tcPr>
            <w:tcW w:w="8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Caprock Manufacturing Plant</w:t>
            </w:r>
          </w:p>
        </w:tc>
        <w:tc>
          <w:tcPr>
            <w:tcW w:w="280" w:type="dxa"/>
            <w:vAlign w:val="bottom"/>
          </w:tcPr>
          <w:p>
            <w:pPr>
              <w:spacing w:after="0"/>
              <w:rPr>
                <w:sz w:val="20"/>
                <w:szCs w:val="20"/>
                <w:color w:val="auto"/>
              </w:rPr>
            </w:pPr>
          </w:p>
        </w:tc>
        <w:tc>
          <w:tcPr>
            <w:tcW w:w="1260" w:type="dxa"/>
            <w:vAlign w:val="bottom"/>
            <w:gridSpan w:val="3"/>
          </w:tcPr>
          <w:p>
            <w:pPr>
              <w:jc w:val="center"/>
              <w:ind w:right="720"/>
              <w:spacing w:after="0"/>
              <w:rPr>
                <w:sz w:val="20"/>
                <w:szCs w:val="20"/>
                <w:color w:val="auto"/>
              </w:rPr>
            </w:pPr>
            <w:r>
              <w:rPr>
                <w:rFonts w:ascii="Arial" w:cs="Arial" w:eastAsia="Arial" w:hAnsi="Arial"/>
                <w:sz w:val="18"/>
                <w:szCs w:val="18"/>
                <w:color w:val="auto"/>
                <w:w w:val="96"/>
              </w:rPr>
              <w:t>U.S.A.</w:t>
            </w:r>
          </w:p>
        </w:tc>
        <w:tc>
          <w:tcPr>
            <w:tcW w:w="820" w:type="dxa"/>
            <w:vAlign w:val="bottom"/>
            <w:gridSpan w:val="2"/>
          </w:tcPr>
          <w:p>
            <w:pPr>
              <w:jc w:val="center"/>
              <w:ind w:left="231"/>
              <w:spacing w:after="0"/>
              <w:rPr>
                <w:sz w:val="20"/>
                <w:szCs w:val="20"/>
                <w:color w:val="auto"/>
              </w:rPr>
            </w:pPr>
            <w:r>
              <w:rPr>
                <w:rFonts w:ascii="Arial" w:cs="Arial" w:eastAsia="Arial" w:hAnsi="Arial"/>
                <w:sz w:val="18"/>
                <w:szCs w:val="18"/>
                <w:color w:val="auto"/>
                <w:w w:val="90"/>
              </w:rPr>
              <w:t>54,234</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540"/>
        </w:trPr>
        <w:tc>
          <w:tcPr>
            <w:tcW w:w="60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Joint Venture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6"/>
              </w:rPr>
              <w:t>Manufacturing Operation</w:t>
            </w:r>
          </w:p>
        </w:tc>
        <w:tc>
          <w:tcPr>
            <w:tcW w:w="3500" w:type="dxa"/>
            <w:vAlign w:val="bottom"/>
            <w:vMerge w:val="restart"/>
          </w:tcPr>
          <w:p>
            <w:pPr>
              <w:spacing w:after="0"/>
              <w:rPr>
                <w:sz w:val="24"/>
                <w:szCs w:val="24"/>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000" w:type="dxa"/>
            <w:vAlign w:val="bottom"/>
            <w:gridSpan w:val="2"/>
            <w:vMerge w:val="restart"/>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Approximate</w:t>
            </w:r>
          </w:p>
        </w:tc>
        <w:tc>
          <w:tcPr>
            <w:tcW w:w="86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Owned or Leased</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3500" w:type="dxa"/>
            <w:vAlign w:val="bottom"/>
            <w:vMerge w:val="continue"/>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Sq. Feet</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620" w:type="dxa"/>
            <w:vAlign w:val="bottom"/>
          </w:tcPr>
          <w:p>
            <w:pPr>
              <w:spacing w:after="0" w:line="182" w:lineRule="exact"/>
              <w:rPr>
                <w:sz w:val="20"/>
                <w:szCs w:val="20"/>
                <w:color w:val="auto"/>
              </w:rPr>
            </w:pPr>
            <w:r>
              <w:rPr>
                <w:rFonts w:ascii="Arial" w:cs="Arial" w:eastAsia="Arial" w:hAnsi="Arial"/>
                <w:sz w:val="18"/>
                <w:szCs w:val="18"/>
                <w:color w:val="auto"/>
                <w:w w:val="95"/>
              </w:rPr>
              <w:t>Wuxi Weifu Autocam</w:t>
            </w:r>
          </w:p>
        </w:tc>
        <w:tc>
          <w:tcPr>
            <w:tcW w:w="3500" w:type="dxa"/>
            <w:vAlign w:val="bottom"/>
          </w:tcPr>
          <w:p>
            <w:pPr>
              <w:spacing w:after="0" w:line="182" w:lineRule="exact"/>
              <w:rPr>
                <w:sz w:val="20"/>
                <w:szCs w:val="20"/>
                <w:color w:val="auto"/>
              </w:rPr>
            </w:pPr>
            <w:r>
              <w:rPr>
                <w:rFonts w:ascii="Arial" w:cs="Arial" w:eastAsia="Arial" w:hAnsi="Arial"/>
                <w:sz w:val="18"/>
                <w:szCs w:val="18"/>
                <w:color w:val="auto"/>
              </w:rPr>
              <w:t>Precision Machinery Company,</w:t>
            </w:r>
          </w:p>
        </w:tc>
        <w:tc>
          <w:tcPr>
            <w:tcW w:w="1540" w:type="dxa"/>
            <w:vAlign w:val="bottom"/>
            <w:gridSpan w:val="4"/>
            <w:vMerge w:val="restart"/>
          </w:tcPr>
          <w:p>
            <w:pPr>
              <w:jc w:val="center"/>
              <w:ind w:right="1000"/>
              <w:spacing w:after="0"/>
              <w:rPr>
                <w:sz w:val="20"/>
                <w:szCs w:val="20"/>
                <w:color w:val="auto"/>
              </w:rPr>
            </w:pPr>
            <w:r>
              <w:rPr>
                <w:rFonts w:ascii="Arial" w:cs="Arial" w:eastAsia="Arial" w:hAnsi="Arial"/>
                <w:sz w:val="18"/>
                <w:szCs w:val="18"/>
                <w:color w:val="auto"/>
                <w:w w:val="89"/>
              </w:rPr>
              <w:t>China</w:t>
            </w:r>
          </w:p>
        </w:tc>
        <w:tc>
          <w:tcPr>
            <w:tcW w:w="820" w:type="dxa"/>
            <w:vAlign w:val="bottom"/>
            <w:gridSpan w:val="2"/>
            <w:vMerge w:val="restart"/>
          </w:tcPr>
          <w:p>
            <w:pPr>
              <w:ind w:left="160"/>
              <w:spacing w:after="0"/>
              <w:rPr>
                <w:sz w:val="20"/>
                <w:szCs w:val="20"/>
                <w:color w:val="auto"/>
              </w:rPr>
            </w:pPr>
            <w:r>
              <w:rPr>
                <w:rFonts w:ascii="Arial" w:cs="Arial" w:eastAsia="Arial" w:hAnsi="Arial"/>
                <w:sz w:val="18"/>
                <w:szCs w:val="18"/>
                <w:color w:val="auto"/>
              </w:rPr>
              <w:t>81,000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Ltd. Facility Plant</w:t>
            </w:r>
          </w:p>
        </w:tc>
        <w:tc>
          <w:tcPr>
            <w:tcW w:w="1540" w:type="dxa"/>
            <w:vAlign w:val="bottom"/>
            <w:gridSpan w:val="4"/>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51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more information, please see “Management’s Discussion and Analysis of Financial Condition and Results of Operations — Liquidity and Capital Resources.”</w:t>
      </w:r>
    </w:p>
    <w:p>
      <w:pPr>
        <w:spacing w:after="0" w:line="315"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All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not recognized any loss contingencies at December 31, 2015 and 2014.</w:t>
      </w:r>
    </w:p>
    <w:p>
      <w:pPr>
        <w:spacing w:after="0" w:line="303"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Our common stock is traded on the NASDAQ Stock Market LLC (“NASDAQ”) under the trading symbol “NNBR.” As of February 29, 2016, there were approximately 6,440 beneficial owners of record of our common stock and the closing per share stock price as reported by NASDAQ was $12.68.</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high and low closing sales prices of the common stock, as reported by NASDAQ for our two most recent fiscal years.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2015</w:t>
            </w:r>
          </w:p>
        </w:tc>
        <w:tc>
          <w:tcPr>
            <w:tcW w:w="3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60" w:type="dxa"/>
            <w:vAlign w:val="bottom"/>
            <w:gridSpan w:val="4"/>
          </w:tcPr>
          <w:p>
            <w:pPr>
              <w:ind w:left="380"/>
              <w:spacing w:after="0"/>
              <w:rPr>
                <w:sz w:val="20"/>
                <w:szCs w:val="20"/>
                <w:color w:val="auto"/>
              </w:rPr>
            </w:pPr>
            <w:r>
              <w:rPr>
                <w:rFonts w:ascii="Arial" w:cs="Arial" w:eastAsia="Arial" w:hAnsi="Arial"/>
                <w:sz w:val="14"/>
                <w:szCs w:val="14"/>
                <w:b w:val="1"/>
                <w:bCs w:val="1"/>
                <w:color w:val="auto"/>
              </w:rPr>
              <w:t>Close Price</w:t>
            </w:r>
          </w:p>
        </w:tc>
        <w:tc>
          <w:tcPr>
            <w:tcW w:w="0" w:type="dxa"/>
            <w:vAlign w:val="bottom"/>
          </w:tcPr>
          <w:p>
            <w:pPr>
              <w:spacing w:after="0"/>
              <w:rPr>
                <w:sz w:val="1"/>
                <w:szCs w:val="1"/>
                <w:color w:val="auto"/>
              </w:rPr>
            </w:pPr>
          </w:p>
        </w:tc>
      </w:tr>
      <w:tr>
        <w:trPr>
          <w:trHeight w:val="142"/>
        </w:trPr>
        <w:tc>
          <w:tcPr>
            <w:tcW w:w="280" w:type="dxa"/>
            <w:vAlign w:val="bottom"/>
            <w:tcBorders>
              <w:bottom w:val="single" w:sz="8" w:color="auto"/>
            </w:tcBorders>
            <w:vMerge w:val="continue"/>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High</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74"/>
              </w:rPr>
              <w:t>First</w:t>
            </w:r>
          </w:p>
        </w:tc>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Quarter</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$28.18</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29.86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19.54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2014</w:t>
            </w:r>
          </w:p>
        </w:tc>
        <w:tc>
          <w:tcPr>
            <w:tcW w:w="3380" w:type="dxa"/>
            <w:vAlign w:val="bottom"/>
            <w:tcBorders>
              <w:bottom w:val="single" w:sz="8" w:color="CCEEFF"/>
            </w:tcBorders>
          </w:tcPr>
          <w:p>
            <w:pPr>
              <w:spacing w:after="0"/>
              <w:rPr>
                <w:sz w:val="24"/>
                <w:szCs w:val="24"/>
                <w:color w:val="auto"/>
              </w:rPr>
            </w:pPr>
          </w:p>
        </w:tc>
        <w:tc>
          <w:tcPr>
            <w:tcW w:w="25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4"/>
              </w:rPr>
              <w:t>First</w:t>
            </w:r>
          </w:p>
        </w:tc>
        <w:tc>
          <w:tcPr>
            <w:tcW w:w="33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Quarter</w:t>
            </w:r>
          </w:p>
        </w:tc>
        <w:tc>
          <w:tcPr>
            <w:tcW w:w="3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$20.98</w:t>
            </w: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26.17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26.63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 and table below compares the cumulative total shareholder return on our common stock with the cumulative total shareholder return of:</w:t>
      </w:r>
    </w:p>
    <w:p>
      <w:pPr>
        <w:spacing w:after="0" w:line="46" w:lineRule="exact"/>
        <w:rPr>
          <w:sz w:val="20"/>
          <w:szCs w:val="20"/>
          <w:color w:val="auto"/>
        </w:rPr>
      </w:pPr>
    </w:p>
    <w:p>
      <w:pPr>
        <w:ind w:right="40" w:firstLine="8"/>
        <w:spacing w:after="0" w:line="251"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Value Line Machinery Index (“Machinery Index”); (ii) the Standard &amp; Poors 500 Stock Index; (iii) the Standard &amp; Poors SmallCap 600; and (iv) a customized peer group, for the period from December 31, 2010 to December 31, 2015. The Machinery Index is an industry index comprised of 74 companies engaged in manufacturing of machinery and machine parts, a list of which may be obtained by writing to NN, Inc., Attention: Secretary, 207 Mockingbird Lane, Johnson City, Tennessee 37604. The customized peer group consists of the following companies, which we believe are in similar lines of business: Actuant Corporation, Altra Industrial Motion Corp., Ametek Inc., CIRCOR International, Inc., Colfax Corporation, Crane, Kaman Corporation, Park-Ohio Holdings Corp. and Worthington Industries, Inc. (collectively, the “Peer Group”). The following graph and table assumes that a $100 investment was made at the close of trading on December 31, 2010 in our common stock and in the Machinery Index, the Standard &amp; Poors 500 Stock Index, the Standard &amp; Poors SmallCap 600 and the Peer Group. We cannot assure you that the performance of our common stock will continue in the future with the same or similar trend depicted on the graph.</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our Annual Report on Form 10-K for the year ended December 31, 2014, we used the Standard &amp; Poors 500 Stock Index as our broad equity market index and the Machinery Index as our line of business index for our performance graph comparison. However, we have determined that the Standard &amp; Poors SmallCap 600 is a more appropriate broad equity market index because it has more companies that have a market capitalization similar to us. Additionally we have determined that the Peer Group is a more appropriate comparative group than the Machinery Index, as the companies comprising the Peer Group include diversified industrial manufacturers like NN. In light of the diversification of our end markets and the broadening of our portfolio of products, services and solutions over the last two years, primarily due to the acquisitions of Autocam and PEP, we believe the Peer Group is comprised of companies that better reflect our current business.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7" w:lineRule="exact"/>
        <w:rPr>
          <w:sz w:val="20"/>
          <w:szCs w:val="20"/>
          <w:color w:val="auto"/>
        </w:rPr>
      </w:pPr>
    </w:p>
    <w:p>
      <w:pPr>
        <w:ind w:left="4300" w:right="3240" w:hanging="1058"/>
        <w:spacing w:after="0" w:line="261" w:lineRule="auto"/>
        <w:tabs>
          <w:tab w:leader="none" w:pos="35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 S&amp;P 500, S&amp;P 600, Value Line Machinery and Peer Group (Performance results through 12/31/15)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142875</wp:posOffset>
            </wp:positionV>
            <wp:extent cx="5402580" cy="3044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0258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Source: Value Line Publishing LLC</w:t>
      </w:r>
    </w:p>
    <w:p>
      <w:pPr>
        <w:spacing w:after="0" w:line="24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 The following table sets forth the dividends per share paid during the last two fiscal years.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2015</w:t>
            </w:r>
          </w:p>
        </w:tc>
        <w:tc>
          <w:tcPr>
            <w:tcW w:w="3820" w:type="dxa"/>
            <w:vAlign w:val="bottom"/>
          </w:tcPr>
          <w:p>
            <w:pPr>
              <w:spacing w:after="0"/>
              <w:rPr>
                <w:sz w:val="16"/>
                <w:szCs w:val="16"/>
                <w:color w:val="auto"/>
              </w:rPr>
            </w:pPr>
          </w:p>
        </w:tc>
        <w:tc>
          <w:tcPr>
            <w:tcW w:w="3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Dividend</w:t>
            </w: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First</w:t>
            </w:r>
          </w:p>
        </w:tc>
        <w:tc>
          <w:tcPr>
            <w:tcW w:w="3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Quarter</w:t>
            </w:r>
          </w:p>
        </w:tc>
        <w:tc>
          <w:tcPr>
            <w:tcW w:w="3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1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r>
      <w:tr>
        <w:trPr>
          <w:trHeight w:val="364"/>
        </w:trPr>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2014</w:t>
            </w:r>
          </w:p>
        </w:tc>
        <w:tc>
          <w:tcPr>
            <w:tcW w:w="3820" w:type="dxa"/>
            <w:vAlign w:val="bottom"/>
          </w:tcPr>
          <w:p>
            <w:pPr>
              <w:spacing w:after="0"/>
              <w:rPr>
                <w:sz w:val="24"/>
                <w:szCs w:val="24"/>
                <w:color w:val="auto"/>
              </w:rPr>
            </w:pPr>
          </w:p>
        </w:tc>
        <w:tc>
          <w:tcPr>
            <w:tcW w:w="3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Dividend</w:t>
            </w: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First</w:t>
            </w:r>
          </w:p>
        </w:tc>
        <w:tc>
          <w:tcPr>
            <w:tcW w:w="3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Quarter</w:t>
            </w:r>
          </w:p>
        </w:tc>
        <w:tc>
          <w:tcPr>
            <w:tcW w:w="3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1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1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Annual Report on Form 10-K for information required by Item 201 (d) of Regulation S-K.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selected financial data has been derived from our audited financial statements. The selected financial data should be read in conjunction with “Management’s Discussion and Analysis of Financial Condition and Results of Operations” and the audited Consolidated Financial Statements, including the Notes thereto.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13"/>
          </w:tcPr>
          <w:p>
            <w:pPr>
              <w:jc w:val="right"/>
              <w:ind w:right="68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Income Data:</w:t>
            </w: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sales</w:t>
            </w: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$667,280</w:t>
            </w:r>
          </w:p>
        </w:tc>
        <w:tc>
          <w:tcPr>
            <w:tcW w:w="24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488,601</w:t>
            </w: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$373,206</w:t>
            </w:r>
          </w:p>
        </w:tc>
        <w:tc>
          <w:tcPr>
            <w:tcW w:w="1060" w:type="dxa"/>
            <w:vAlign w:val="bottom"/>
            <w:gridSpan w:val="6"/>
          </w:tcPr>
          <w:p>
            <w:pPr>
              <w:jc w:val="right"/>
              <w:ind w:right="240"/>
              <w:spacing w:after="0"/>
              <w:rPr>
                <w:sz w:val="20"/>
                <w:szCs w:val="20"/>
                <w:color w:val="auto"/>
              </w:rPr>
            </w:pPr>
            <w:r>
              <w:rPr>
                <w:rFonts w:ascii="Arial" w:cs="Arial" w:eastAsia="Arial" w:hAnsi="Arial"/>
                <w:sz w:val="18"/>
                <w:szCs w:val="18"/>
                <w:color w:val="auto"/>
              </w:rPr>
              <w:t>$370,084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424,691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 (exclusive of depreciation shown separately below)</w:t>
            </w:r>
          </w:p>
        </w:tc>
        <w:tc>
          <w:tcPr>
            <w:tcW w:w="18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525,993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384,889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295,136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6"/>
              </w:rPr>
              <w:t>294,859</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347,622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51,745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43,756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33,281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31,561</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8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44,482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22,146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16,957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17,643</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Restructuring and impairment charges, excluding goodwill impairment</w:t>
            </w:r>
          </w:p>
        </w:tc>
        <w:tc>
          <w:tcPr>
            <w:tcW w:w="1080" w:type="dxa"/>
            <w:vAlign w:val="bottom"/>
            <w:gridSpan w:val="2"/>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7,268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80" w:type="dxa"/>
            <w:vAlign w:val="bottom"/>
            <w:gridSpan w:val="2"/>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26,797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27,687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27,827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25,071</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29,899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10,895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2,374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3,878</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18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18,673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80" w:type="dxa"/>
            <w:vAlign w:val="bottom"/>
            <w:gridSpan w:val="2"/>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1,175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2,222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(benefit) for income taxes</w:t>
            </w:r>
          </w:p>
        </w:tc>
        <w:tc>
          <w:tcPr>
            <w:tcW w:w="1080" w:type="dxa"/>
            <w:vAlign w:val="bottom"/>
            <w:gridSpan w:val="2"/>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20,341</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(10,518)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5,786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8,000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(3,927)</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(loss) from joint venture</w:t>
            </w:r>
          </w:p>
        </w:tc>
        <w:tc>
          <w:tcPr>
            <w:tcW w:w="18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  (7,431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17,178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83"/>
              </w:rPr>
              <w:t>24,268</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360" w:type="dxa"/>
            <w:vAlign w:val="bottom"/>
            <w:gridSpan w:val="3"/>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9"/>
              </w:rPr>
              <w:t>(0.35)</w:t>
            </w:r>
          </w:p>
        </w:tc>
        <w:tc>
          <w:tcPr>
            <w:tcW w:w="24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0.46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360" w:type="dxa"/>
            <w:vAlign w:val="bottom"/>
            <w:gridSpan w:val="3"/>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9"/>
              </w:rPr>
              <w:t>(0.35)</w:t>
            </w:r>
          </w:p>
        </w:tc>
        <w:tc>
          <w:tcPr>
            <w:tcW w:w="24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0.45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360" w:type="dxa"/>
            <w:vAlign w:val="bottom"/>
            <w:gridSpan w:val="3"/>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96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21,181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17,887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17,176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17,009</w:t>
            </w:r>
          </w:p>
        </w:tc>
        <w:tc>
          <w:tcPr>
            <w:tcW w:w="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16,817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080" w:type="dxa"/>
            <w:vAlign w:val="bottom"/>
            <w:gridSpan w:val="2"/>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17,260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3"/>
              </w:rPr>
              <w:t>17,114</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w w:val="95"/>
              </w:rPr>
              <w:t>As of December 31,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gridSpan w:val="2"/>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Current assets</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  280,181</w:t>
            </w:r>
          </w:p>
        </w:tc>
        <w:tc>
          <w:tcPr>
            <w:tcW w:w="1280" w:type="dxa"/>
            <w:vAlign w:val="bottom"/>
            <w:gridSpan w:val="7"/>
          </w:tcPr>
          <w:p>
            <w:pPr>
              <w:jc w:val="center"/>
              <w:spacing w:after="0"/>
              <w:rPr>
                <w:sz w:val="20"/>
                <w:szCs w:val="20"/>
                <w:color w:val="auto"/>
              </w:rPr>
            </w:pPr>
            <w:r>
              <w:rPr>
                <w:rFonts w:ascii="Arial" w:cs="Arial" w:eastAsia="Arial" w:hAnsi="Arial"/>
                <w:sz w:val="18"/>
                <w:szCs w:val="18"/>
                <w:color w:val="auto"/>
                <w:w w:val="90"/>
              </w:rPr>
              <w:t>$242,799</w:t>
            </w:r>
          </w:p>
        </w:tc>
        <w:tc>
          <w:tcPr>
            <w:tcW w:w="2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w w:val="87"/>
              </w:rPr>
              <w:t>$125,674</w:t>
            </w:r>
          </w:p>
        </w:tc>
        <w:tc>
          <w:tcPr>
            <w:tcW w:w="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95"/>
              </w:rPr>
              <w:t>$127,296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124,025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133,351</w:t>
            </w:r>
          </w:p>
        </w:tc>
        <w:tc>
          <w:tcPr>
            <w:tcW w:w="1280" w:type="dxa"/>
            <w:vAlign w:val="bottom"/>
            <w:gridSpan w:val="7"/>
            <w:shd w:val="clear" w:color="auto" w:fill="CCEEFF"/>
          </w:tcPr>
          <w:p>
            <w:pPr>
              <w:jc w:val="right"/>
              <w:ind w:right="219"/>
              <w:spacing w:after="0"/>
              <w:rPr>
                <w:sz w:val="20"/>
                <w:szCs w:val="20"/>
                <w:color w:val="auto"/>
              </w:rPr>
            </w:pPr>
            <w:r>
              <w:rPr>
                <w:rFonts w:ascii="Arial" w:cs="Arial" w:eastAsia="Arial" w:hAnsi="Arial"/>
                <w:sz w:val="18"/>
                <w:szCs w:val="18"/>
                <w:color w:val="auto"/>
              </w:rPr>
              <w:t>137,598</w:t>
            </w: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69,384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58,758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1,393,526</w:t>
            </w:r>
          </w:p>
        </w:tc>
        <w:tc>
          <w:tcPr>
            <w:tcW w:w="20" w:type="dxa"/>
            <w:vAlign w:val="bottom"/>
          </w:tcPr>
          <w:p>
            <w:pPr>
              <w:spacing w:after="0"/>
              <w:rPr>
                <w:sz w:val="18"/>
                <w:szCs w:val="18"/>
                <w:color w:val="auto"/>
              </w:rPr>
            </w:pPr>
          </w:p>
        </w:tc>
        <w:tc>
          <w:tcPr>
            <w:tcW w:w="1280" w:type="dxa"/>
            <w:vAlign w:val="bottom"/>
            <w:gridSpan w:val="7"/>
          </w:tcPr>
          <w:p>
            <w:pPr>
              <w:jc w:val="right"/>
              <w:ind w:right="219"/>
              <w:spacing w:after="0"/>
              <w:rPr>
                <w:sz w:val="20"/>
                <w:szCs w:val="20"/>
                <w:color w:val="auto"/>
              </w:rPr>
            </w:pPr>
            <w:r>
              <w:rPr>
                <w:rFonts w:ascii="Arial" w:cs="Arial" w:eastAsia="Arial" w:hAnsi="Arial"/>
                <w:sz w:val="18"/>
                <w:szCs w:val="18"/>
                <w:color w:val="auto"/>
              </w:rPr>
              <w:t>712,713</w:t>
            </w:r>
          </w:p>
        </w:tc>
        <w:tc>
          <w:tcPr>
            <w:tcW w:w="2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262,402</w:t>
            </w:r>
          </w:p>
        </w:tc>
        <w:tc>
          <w:tcPr>
            <w:tcW w:w="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265,343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259,461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808,359</w:t>
            </w:r>
          </w:p>
        </w:tc>
        <w:tc>
          <w:tcPr>
            <w:tcW w:w="1280" w:type="dxa"/>
            <w:vAlign w:val="bottom"/>
            <w:gridSpan w:val="7"/>
            <w:shd w:val="clear" w:color="auto" w:fill="CCEEFF"/>
          </w:tcPr>
          <w:p>
            <w:pPr>
              <w:jc w:val="right"/>
              <w:ind w:right="219"/>
              <w:spacing w:after="0"/>
              <w:rPr>
                <w:sz w:val="20"/>
                <w:szCs w:val="20"/>
                <w:color w:val="auto"/>
              </w:rPr>
            </w:pPr>
            <w:r>
              <w:rPr>
                <w:rFonts w:ascii="Arial" w:cs="Arial" w:eastAsia="Arial" w:hAnsi="Arial"/>
                <w:sz w:val="18"/>
                <w:szCs w:val="18"/>
                <w:color w:val="auto"/>
              </w:rPr>
              <w:t>328,026</w:t>
            </w: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26,000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63,715</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Stockholders’ equity</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313,881</w:t>
            </w:r>
          </w:p>
        </w:tc>
        <w:tc>
          <w:tcPr>
            <w:tcW w:w="1280" w:type="dxa"/>
            <w:vAlign w:val="bottom"/>
            <w:gridSpan w:val="7"/>
          </w:tcPr>
          <w:p>
            <w:pPr>
              <w:jc w:val="right"/>
              <w:ind w:right="219"/>
              <w:spacing w:after="0"/>
              <w:rPr>
                <w:sz w:val="20"/>
                <w:szCs w:val="20"/>
                <w:color w:val="auto"/>
              </w:rPr>
            </w:pPr>
            <w:r>
              <w:rPr>
                <w:rFonts w:ascii="Arial" w:cs="Arial" w:eastAsia="Arial" w:hAnsi="Arial"/>
                <w:sz w:val="18"/>
                <w:szCs w:val="18"/>
                <w:color w:val="auto"/>
              </w:rPr>
              <w:t>173,699</w:t>
            </w:r>
          </w:p>
        </w:tc>
        <w:tc>
          <w:tcPr>
            <w:tcW w:w="20" w:type="dxa"/>
            <w:vAlign w:val="bottom"/>
          </w:tcPr>
          <w:p>
            <w:pPr>
              <w:spacing w:after="0"/>
              <w:rPr>
                <w:sz w:val="20"/>
                <w:szCs w:val="20"/>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152,760</w:t>
            </w:r>
          </w:p>
        </w:tc>
        <w:tc>
          <w:tcPr>
            <w:tcW w:w="6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128,560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99,676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6184265</wp:posOffset>
            </wp:positionH>
            <wp:positionV relativeFrom="paragraph">
              <wp:posOffset>-5050790</wp:posOffset>
            </wp:positionV>
            <wp:extent cx="22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60" cy="889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-942975</wp:posOffset>
            </wp:positionV>
            <wp:extent cx="2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year ended December 31, 2015 was significantly impacted by certain costs related to the PEP Acquisition and to a lesser extent the Caprock acquisition completed in 2015, as well as the issuance of shares of our common stock. The total impact of these costs was $43.0 million (before tax) and $29.4 million (after tax). The balance sheet for the year ended December 31, 2015 includes the impact of these costs. With these acquisitions, we acquired current assets and total assets of $71.2 million and $741.6 million, respectively, and assumed current liabilities and total liabilities of $21.7 million and $111.3 million, respectively.</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July 1, 2015 we closed a registered follow-on offering of public common stock. The total number of shares of common stock sold was approximately 7.6 million at a public offering price of $24.00 per share. The net proceeds received from the offering, after deducting underwriter discounts, commissions and offering expenses, were approximately $173.1 million. Of these proceeds, $148.7 million was used for repayment of principal and interest on existing debt.</w:t>
      </w:r>
    </w:p>
    <w:p>
      <w:pPr>
        <w:spacing w:after="0" w:line="14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October 19, 2015, concurrent with the PEP Acquisition, we: (i) entered into a new senior secured term loan facility in the amount of up to $525.0 million (with a $100.0 million accordion feature) and a seven year maturity (the “New Term Loan Credit Facility”); (ii) entered into a new senior secured revolving credit facility in the amount of up</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to $100.0 million with a five year maturity (the “New Senior Secured Revolving Credit Facility”, and together with the New Term Loan Credit Facility, the “New Senior Credit Facilities”); and (iii) issued $300.0 million of 10.25% senior notes due 2020 (the “Senior Notes”). Proceeds from the New Term Loan Credit Facility and the Senior Notes were used to finance the purchase price of the PEP Acquisition and pay down debt. The New Senior Credit Facilities replaced our existing credit facilities. On November 9, 2015, an incremental term loan of $50.0 million was drawn on the New Term Loan Credit Facility and the proceeds were used to repurchase approximately $50.0 million of the Senior Notes. See “Management’s Discussion and Analysis of Financial Condition and Results of Operations” for more information. Additional details regarding the financing of the PEP acquisition may be found in our Current Report on Form 8-K filed with the Securities and Exchange Commission on October 20, 2015.</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year ended December 31, 2014 was significantly impacted by certain costs related to the Autocam acquisition and to a lesser extent the three other acquisitions completed in 2014. The total impact of these costs was $14.8 million (before tax) and $13.6 million (after tax). In addition, related to the Autocam acquisition, we discontinued use of certain trade names and incurred a $0.9 million impairment charge. The balance sheet for the year ended December 31, 2014 includes the impact of four acquisitions closed during 2014. With these acquisitions, we acquired current assets and total assets of $92.9 million and $433.9 million, respectively, and assumed current liabilities and total liabilities of $52.9 million and $124.4 million, respectively. See “Management’s Discussion and Analysis of Financial Condition and Results of Operations” for more information.</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year ended December 31, 2012 was impacted by a favorable tax benefit of a net $7.3 million from removing valuation allowances on deferred tax assets in the U.S. Additionally, results for the year ended December 31, 2012 were negatively impacted by impairments of $1.0 million and after tax foreign exchange losses of $1.1 million related to intercompany notes.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year ended December 31, 2011 was impacted by certain items including $5.0 million in additional start-up costs from new multi-year sales programs (all in our Precision Engineered Products Group, formerly known as our Plastics and Rubber Group) and $0.8 million in a one-time tax benefit from removing valuation allowances on certain deferred tax assets in Europe.</w:t>
      </w:r>
    </w:p>
    <w:p>
      <w:pPr>
        <w:spacing w:after="0" w:line="326"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and Selected Financial Data included elsewhere in this Annual Report on Form 10-K. Historical operating results and percentage relationships among any amounts included in the Consolidated Financial Statements are not necessarily indicative of trends in operating results for any future period. Unless otherwise noted herein, all amounts are in thousands, except per share numbers.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Our strategy and management focus is based upon the following long-term objectives</w:t>
      </w:r>
    </w:p>
    <w:p>
      <w:pPr>
        <w:spacing w:after="0" w:line="131" w:lineRule="exact"/>
        <w:rPr>
          <w:sz w:val="20"/>
          <w:szCs w:val="20"/>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growth through acquisitions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growth in adjacent markets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and acquisitive growth within all our segments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131"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Raw material</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Wages and benefits, including health care costs</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Regulatory compliance</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Energy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Raw material availability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 levels and expectations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131" w:lineRule="exact"/>
        <w:rPr>
          <w:sz w:val="20"/>
          <w:szCs w:val="20"/>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products sold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from operations and adjusted income from operations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and adjusted net income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External and internal quality indicators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and asset impairment recognition.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We allocate the total purchase price of the acquired tangible and intangible assets acquired and liabilities assumed based on their</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fair values as of the business combination date, with the excess purchase price recorded as goodwill. The purchase price allocation process required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in part based on valuation models that incorporate projections of expected future cash flows and operating plans and are inherently uncertain. Valuations are performed by management or third 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from relief from royalty and excess earnings model), the market approach and/or the replacement cost approach.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to the combined company’s product portfolio</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However, different assumptions regarding projected performance and other factors associated with the acquired assets may affect the amount recorded under each type of assets and liabilities, mainly between property plant and equipment, intangibles assets, goodwill and deferred income tax liabilities and subsequent assessment could result in future impairment charges. The purchase price allocation process also entails us to refine these estimates over a measurement period not to exceed one year to reflect new information obtained surrounding facts and circumstances existing at acquisition date.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Goodwill and Acquired Intangibles</w:t>
      </w:r>
      <w:r>
        <w:rPr>
          <w:rFonts w:ascii="Arial" w:cs="Arial" w:eastAsia="Arial" w:hAnsi="Arial"/>
          <w:sz w:val="18"/>
          <w:szCs w:val="18"/>
          <w:color w:val="auto"/>
        </w:rPr>
        <w:t>. For new acquisitions, we use estimates, assumptions and appraisals to allocate the purchase price to the assets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and to determine the amount of goodwill. These estimates are based on market analyses and comparisons to similar assets. Annual procedures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could impact the recorded value of assets acquired in a business combination, including goodwill, and whether or not there is any subsequent impairment of the recorded goodwill and the amount of such impairment.</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Goodwill is tested for impairment on an annual basis as of October 1 and between annual tests if a triggering event occurs. The impairment procedures are performed at the reporting unit level. In testing goodwill, we have the option to first assess qualitative factors to determine whether it is necessary to perform a two-step test. If an entity believes, as a result of its qualitative assessment, that it is more-likely-than-not that the fair value of a reporting unit is less than its carrying amount including goodwill, the quantitative impairment test is required. Otherwise, no further testing is required. The decision to perform a qualitative assessment or perform a complete step 1 analysis is an annual decision made by management based on several factors including budget to actual performance, economic, market and industry considerations such as automotive production rates in the geographic markets we serve and cash flow from operations.</w:t>
      </w:r>
    </w:p>
    <w:p>
      <w:pPr>
        <w:spacing w:after="0" w:line="18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Generally accepted accounting principles in the U.S. (“GAAP”) prescribes a quantitative two-step process of testing for goodwill impairments. The first step is to determine if the carrying value of the reporting unit with goodwill is less than the related fair value of the reporting unit. We considered three main approaches to value (cost, market and income) the fair value of the reporting unit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under the GAAP hierarchy) the calculation of fair value for goodwill would be most consistent with Level 3 under the GAAP hierarchy. We conducted tests for goodwill impairment for years end 2015 and 2014 and concluded no impairment of goodwill had occurred. The PEP Acquisition was not part of 2015 testing of goodwill.</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carrying value of the reporting unit, including goodwill,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 The indefinite lived intangible asset was impaired during the year ended December 31, 2014, as management is in the process of phasing out the use of the trade name as a result of the Autocam acquisition.</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Income taxes are accounted for under the asset and liability method. Deferred tax assets and liabilities are recognized for the future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The calculation of tax assets, liabilities, and expenses under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w:t>
      </w:r>
    </w:p>
    <w:p>
      <w:pPr>
        <w:ind w:right="40"/>
        <w:spacing w:after="0" w:line="271" w:lineRule="auto"/>
        <w:rPr>
          <w:sz w:val="20"/>
          <w:szCs w:val="20"/>
          <w:color w:val="auto"/>
        </w:rPr>
      </w:pPr>
      <w:r>
        <w:rPr>
          <w:rFonts w:ascii="Arial" w:cs="Arial" w:eastAsia="Arial" w:hAnsi="Arial"/>
          <w:sz w:val="17"/>
          <w:szCs w:val="17"/>
          <w:color w:val="auto"/>
        </w:rPr>
        <w:t>Additionally, many of our positions are based on future estimates of taxable income and deductibility of tax positions. Particularly, our assertion of permanent reinvestment of foreign undistributed earnings is largely based on management’s future estimates of domestic and foreign cash flows and current strategic foreign investment plans. 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statement of financial position. (See Notes 1 and 13 of the Notes to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did not record a U.S. deferred tax liability for the excess of the book basis over the tax basis of our investments in foreign subsidiaries to the extent the foreign earnings meet the indefinite reversal criteria. As of the year ended December 31, 2015, we consider the unremitted foreign earnings of our foreign subsidiaries to be reinvested indefinitely. We base this assertion on two factors. First, our intention to invest in foreign countries that are strategically important to our Precision Bearing Components Group and our Autocam Precision Components Group and our customers. With the acquisitions completed in 2015, we have expanded our domestic and international base of operations adding subsidiaries in Mexico and China, which will require more foreign investment. Second, we have sufficient access to funds in the U.S. through projected free cash flows and the availability of our credit facilities to fund currently anticipated domestic operational and investment needs. As such, we do not expect unrepatriated foreign earnings to become subject to U.S. taxation.</w:t>
      </w:r>
    </w:p>
    <w:p>
      <w:pPr>
        <w:spacing w:after="0" w:line="16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 Our long-lived assets include property, plant and equipment. The recoverability of the long-term assets is dependent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performance of the companies which we have acquired or built, as well as the performance of the markets in which these companies operate. In assessing potential impairment for these assets, we will consider these factors as well as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year ended December 31, 2014, we completed the acquisition of four companies: V-S, RFK, Chelsea and Autocam. The acquisitions of V-S, RFK, Chelsea and Autocam occurred on January 20, 2014, June 20, 2014, July 15, 2014 and August 29, 2014, respectively. As such only eleven, six, five, and four months of operations were included in the year ended December 31, 2014 with respect to V-S, RFK, Chelsea and Autocam, respectively. During the year ended December 31, 2015, we completed the acquisition of two companies: Caprock and PEP. We acquired Caprock on May 29, 2015 and PEP on October 19, 2015. As such seven and two months of operations were included in the year ended December 31, 2015 with respect to Caprock and PEP. In an effort to enhance the comparability of the current and prior year periods, we have aggregated into “acquisitions” within each financial line item comparison for the years ended December 31, 2015 and 2014 that were not included in the comparative prior year period. The remaining changes related to our legacy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Devaluation of the Euro against the U.S. Dollar</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euro devalued against the U.S. dollar beginning in the latter part of the third quarter of 2014 and accelerated during the fourth quarter of 2014 and into the first quarter of 2015. During these periods, the euro to U.S. dollar dropped from approximately $1.36 in June 2014 to $1.08 in March 2015, representing an approximate 20% decline in value. The exchange rate ranged between $1.08 and $1.12 for the remainder of the year. The devaluation of the euro significantly impacted the translation of our euro denominated sales and costs when comparing year over year activity. The euro translation impact, and the translation impact of other currencies, is highlighted below in the overall results as “foreign exchange effects”. In addition to translation effects, the devaluation of the euro impacted the value of certain intercompany loan receivables denominated in euros that resulted in an unfavourable transactional impact.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fluctuations in exchange rates in 2014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169545</wp:posOffset>
            </wp:positionV>
            <wp:extent cx="4373880" cy="2229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7388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our net sales represented by each income statement line item presented.</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 Percentage of Net Sales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 Ended December 31,</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7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w w:val="98"/>
              </w:rPr>
              <w:t>Cost of products sold (exclusive of depreciation and amortization shown separately below)</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78.8%</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78.8%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07"/>
        </w:trPr>
        <w:tc>
          <w:tcPr>
            <w:tcW w:w="7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Write-off of unamortized debt issuance cost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w w:val="95"/>
              </w:rPr>
              <w:t>Income before provision (benefit) for income taxes and share of net income from joint venture</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Share of net income (loss) from joint venture, net of tax</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Sales to various U.S. and foreign divisions of SKF, one of the largest bearing manufacturers in the world, accounted for approximately 16% of consolidated net sales in 2015. During 2015, sales to various U.S. and foreign divisions of our ten largest customers accounted for approximately 53% of our consolidated net sales. None of our other customers individually accounted for more than 10% of our consolidated net sales for 2015. The loss of all or a substantial portion of sales to these customers would cause us to lose a substantial portion of our revenue and have a corresponding negative impact on our operating profit margin due to the operational leverage these customers provide. This could lead to sales volumes not being high enough to cover our current cost structure or to provide adequate operating cash flows or cause us to incur additional restructuring and/or impairment costs. Due to a limit on the amount of excess bearing component production capacity in the markets we serve, we believe it would be difficult for any of our top ten customers to take a significant portion of our business away in the short term.</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2014.</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year ended December 31, 2015, was significantly impacted by certain costs related to the PEP Acquisition and to a lesser extent one other acquisition completed in 2015. The net after tax impact of these costs was $43.2 million. The following is a summary of these costs: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940" w:type="dxa"/>
            <w:vAlign w:val="bottom"/>
            <w:gridSpan w:val="10"/>
            <w:shd w:val="clear" w:color="auto" w:fill="CCEEFF"/>
          </w:tcPr>
          <w:p>
            <w:pPr>
              <w:spacing w:after="0"/>
              <w:rPr>
                <w:sz w:val="20"/>
                <w:szCs w:val="20"/>
                <w:color w:val="auto"/>
              </w:rPr>
            </w:pPr>
            <w:r>
              <w:rPr>
                <w:rFonts w:ascii="Arial" w:cs="Arial" w:eastAsia="Arial" w:hAnsi="Arial"/>
                <w:sz w:val="18"/>
                <w:szCs w:val="18"/>
                <w:color w:val="auto"/>
                <w:w w:val="98"/>
              </w:rPr>
              <w:t>Third party legal, accounting, valuation consulting and investment banking advisory fees,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6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w w:val="97"/>
              </w:rPr>
              <w:t>which are reported in acquisition related costs excluded from selling, general and</w:t>
            </w: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$11,682</w:t>
            </w:r>
          </w:p>
        </w:tc>
        <w:tc>
          <w:tcPr>
            <w:tcW w:w="220" w:type="dxa"/>
            <w:vAlign w:val="bottom"/>
            <w:shd w:val="clear" w:color="auto" w:fill="CCEEFF"/>
          </w:tcPr>
          <w:p>
            <w:pPr>
              <w:spacing w:after="0"/>
              <w:rPr>
                <w:sz w:val="20"/>
                <w:szCs w:val="20"/>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40" w:type="dxa"/>
            <w:vAlign w:val="bottom"/>
            <w:gridSpan w:val="10"/>
          </w:tcPr>
          <w:p>
            <w:pPr>
              <w:spacing w:after="0" w:line="201" w:lineRule="exact"/>
              <w:rPr>
                <w:sz w:val="20"/>
                <w:szCs w:val="20"/>
                <w:color w:val="auto"/>
              </w:rPr>
            </w:pPr>
            <w:r>
              <w:rPr>
                <w:rFonts w:ascii="Arial" w:cs="Arial" w:eastAsia="Arial" w:hAnsi="Arial"/>
                <w:sz w:val="18"/>
                <w:szCs w:val="18"/>
                <w:color w:val="auto"/>
                <w:w w:val="91"/>
              </w:rPr>
              <w:t>Inventory purchase price adjustment related to the PEP Acquisition reported in cost of products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3"/>
          </w:tcPr>
          <w:p>
            <w:pPr>
              <w:jc w:val="right"/>
              <w:spacing w:after="0"/>
              <w:rPr>
                <w:sz w:val="20"/>
                <w:szCs w:val="20"/>
                <w:color w:val="auto"/>
              </w:rPr>
            </w:pPr>
            <w:r>
              <w:rPr>
                <w:rFonts w:ascii="Arial" w:cs="Arial" w:eastAsia="Arial" w:hAnsi="Arial"/>
                <w:sz w:val="18"/>
                <w:szCs w:val="18"/>
                <w:color w:val="auto"/>
              </w:rPr>
              <w:t>4,300</w:t>
            </w:r>
          </w:p>
        </w:tc>
        <w:tc>
          <w:tcPr>
            <w:tcW w:w="22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sold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940" w:type="dxa"/>
            <w:vAlign w:val="bottom"/>
            <w:gridSpan w:val="10"/>
            <w:shd w:val="clear" w:color="auto" w:fill="CCEEFF"/>
          </w:tcPr>
          <w:p>
            <w:pPr>
              <w:spacing w:after="0" w:line="201" w:lineRule="exact"/>
              <w:rPr>
                <w:sz w:val="20"/>
                <w:szCs w:val="20"/>
                <w:color w:val="auto"/>
              </w:rPr>
            </w:pPr>
            <w:r>
              <w:rPr>
                <w:rFonts w:ascii="Arial" w:cs="Arial" w:eastAsia="Arial" w:hAnsi="Arial"/>
                <w:sz w:val="18"/>
                <w:szCs w:val="18"/>
                <w:color w:val="auto"/>
                <w:w w:val="93"/>
              </w:rPr>
              <w:t>Intangible asset amortization cots related to a backlog purchase price adjustment reported in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220" w:type="dxa"/>
            <w:vAlign w:val="bottom"/>
            <w:shd w:val="clear" w:color="auto" w:fill="CCEEFF"/>
          </w:tcPr>
          <w:p>
            <w:pPr>
              <w:spacing w:after="0"/>
              <w:rPr>
                <w:sz w:val="20"/>
                <w:szCs w:val="20"/>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60" w:type="dxa"/>
            <w:vAlign w:val="bottom"/>
            <w:gridSpan w:val="9"/>
          </w:tcPr>
          <w:p>
            <w:pPr>
              <w:spacing w:after="0" w:line="201" w:lineRule="exact"/>
              <w:rPr>
                <w:sz w:val="20"/>
                <w:szCs w:val="20"/>
                <w:color w:val="auto"/>
              </w:rPr>
            </w:pPr>
            <w:r>
              <w:rPr>
                <w:rFonts w:ascii="Arial" w:cs="Arial" w:eastAsia="Arial" w:hAnsi="Arial"/>
                <w:sz w:val="18"/>
                <w:szCs w:val="18"/>
                <w:color w:val="auto"/>
                <w:w w:val="91"/>
              </w:rPr>
              <w:t>Debt isssuance costs related to credit facilities refinanced as part of the PEP Acquisition,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3"/>
          </w:tcPr>
          <w:p>
            <w:pPr>
              <w:jc w:val="right"/>
              <w:spacing w:after="0"/>
              <w:rPr>
                <w:sz w:val="20"/>
                <w:szCs w:val="20"/>
                <w:color w:val="auto"/>
              </w:rPr>
            </w:pPr>
            <w:r>
              <w:rPr>
                <w:rFonts w:ascii="Arial" w:cs="Arial" w:eastAsia="Arial" w:hAnsi="Arial"/>
                <w:sz w:val="18"/>
                <w:szCs w:val="18"/>
                <w:color w:val="auto"/>
              </w:rPr>
              <w:t>18,673</w:t>
            </w:r>
          </w:p>
        </w:tc>
        <w:tc>
          <w:tcPr>
            <w:tcW w:w="22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reported as write-off of debt issuance costs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0" w:type="dxa"/>
            <w:vAlign w:val="bottom"/>
            <w:gridSpan w:val="8"/>
            <w:shd w:val="clear" w:color="auto" w:fill="CCEEFF"/>
          </w:tcPr>
          <w:p>
            <w:pPr>
              <w:jc w:val="right"/>
              <w:ind w:right="180"/>
              <w:spacing w:after="0"/>
              <w:rPr>
                <w:sz w:val="20"/>
                <w:szCs w:val="20"/>
                <w:color w:val="auto"/>
              </w:rPr>
            </w:pPr>
            <w:r>
              <w:rPr>
                <w:rFonts w:ascii="Arial" w:cs="Arial" w:eastAsia="Arial" w:hAnsi="Arial"/>
                <w:sz w:val="18"/>
                <w:szCs w:val="18"/>
                <w:color w:val="auto"/>
                <w:w w:val="94"/>
              </w:rPr>
              <w:t>3,368   Integration costs related to acquisitions reported in cost of products sold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43,225</w:t>
            </w:r>
          </w:p>
        </w:tc>
        <w:tc>
          <w:tcPr>
            <w:tcW w:w="2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660" w:type="dxa"/>
            <w:vAlign w:val="bottom"/>
            <w:gridSpan w:val="4"/>
          </w:tcPr>
          <w:p>
            <w:pPr>
              <w:spacing w:after="0"/>
              <w:rPr>
                <w:sz w:val="20"/>
                <w:szCs w:val="20"/>
                <w:color w:val="auto"/>
              </w:rPr>
            </w:pPr>
            <w:r>
              <w:rPr>
                <w:rFonts w:ascii="Arial" w:cs="Arial" w:eastAsia="Arial" w:hAnsi="Arial"/>
                <w:sz w:val="18"/>
                <w:szCs w:val="18"/>
                <w:b w:val="1"/>
                <w:bCs w:val="1"/>
                <w:color w:val="auto"/>
              </w:rPr>
              <w:t>OVERALL RESULTS</w:t>
            </w: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60" w:type="dxa"/>
            <w:vAlign w:val="bottom"/>
            <w:gridSpan w:val="4"/>
            <w:vMerge w:val="restart"/>
          </w:tcPr>
          <w:p>
            <w:pPr>
              <w:ind w:left="460"/>
              <w:spacing w:after="0"/>
              <w:rPr>
                <w:sz w:val="20"/>
                <w:szCs w:val="20"/>
                <w:color w:val="auto"/>
              </w:rPr>
            </w:pPr>
            <w:r>
              <w:rPr>
                <w:rFonts w:ascii="Arial" w:cs="Arial" w:eastAsia="Arial" w:hAnsi="Arial"/>
                <w:sz w:val="14"/>
                <w:szCs w:val="14"/>
                <w:i w:val="1"/>
                <w:iCs w:val="1"/>
                <w:color w:val="auto"/>
              </w:rPr>
              <w:t>(In Thousands of Dollars)</w:t>
            </w: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6"/>
          </w:tcPr>
          <w:p>
            <w:pPr>
              <w:jc w:val="right"/>
              <w:ind w:right="1380"/>
              <w:spacing w:after="0"/>
              <w:rPr>
                <w:sz w:val="20"/>
                <w:szCs w:val="20"/>
                <w:color w:val="auto"/>
              </w:rPr>
            </w:pPr>
            <w:r>
              <w:rPr>
                <w:rFonts w:ascii="Arial" w:cs="Arial" w:eastAsia="Arial" w:hAnsi="Arial"/>
                <w:sz w:val="14"/>
                <w:szCs w:val="14"/>
                <w:b w:val="1"/>
                <w:bCs w:val="1"/>
                <w:color w:val="auto"/>
                <w:w w:val="99"/>
              </w:rPr>
              <w:t>Consolidated NN, Inc.</w:t>
            </w:r>
          </w:p>
        </w:tc>
        <w:tc>
          <w:tcPr>
            <w:tcW w:w="0" w:type="dxa"/>
            <w:vAlign w:val="bottom"/>
          </w:tcPr>
          <w:p>
            <w:pPr>
              <w:spacing w:after="0"/>
              <w:rPr>
                <w:sz w:val="1"/>
                <w:szCs w:val="1"/>
                <w:color w:val="auto"/>
              </w:rPr>
            </w:pPr>
          </w:p>
        </w:tc>
      </w:tr>
      <w:tr>
        <w:trPr>
          <w:trHeight w:val="142"/>
        </w:trPr>
        <w:tc>
          <w:tcPr>
            <w:tcW w:w="2660" w:type="dxa"/>
            <w:vAlign w:val="bottom"/>
            <w:gridSpan w:val="4"/>
            <w:vMerge w:val="continue"/>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108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2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4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667,280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488,601</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$178,679</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tcPr>
          <w:p>
            <w:pPr>
              <w:ind w:left="360"/>
              <w:spacing w:after="0"/>
              <w:rPr>
                <w:sz w:val="20"/>
                <w:szCs w:val="20"/>
                <w:color w:val="auto"/>
              </w:rPr>
            </w:pPr>
            <w:r>
              <w:rPr>
                <w:rFonts w:ascii="Arial" w:cs="Arial" w:eastAsia="Arial" w:hAnsi="Arial"/>
                <w:sz w:val="18"/>
                <w:szCs w:val="18"/>
                <w:i w:val="1"/>
                <w:iCs w:val="1"/>
                <w:color w:val="auto"/>
              </w:rPr>
              <w:t>Acquisitions</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212,463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shd w:val="clear" w:color="auto" w:fill="CCEEFF"/>
          </w:tcPr>
          <w:p>
            <w:pPr>
              <w:ind w:left="360"/>
              <w:spacing w:after="0"/>
              <w:rPr>
                <w:sz w:val="20"/>
                <w:szCs w:val="20"/>
                <w:color w:val="auto"/>
              </w:rPr>
            </w:pPr>
            <w:r>
              <w:rPr>
                <w:rFonts w:ascii="Arial" w:cs="Arial" w:eastAsia="Arial" w:hAnsi="Arial"/>
                <w:sz w:val="18"/>
                <w:szCs w:val="18"/>
                <w:i w:val="1"/>
                <w:iCs w:val="1"/>
                <w:color w:val="auto"/>
                <w:w w:val="90"/>
              </w:rPr>
              <w:t>Foreign exchange effects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(39,086)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tcPr>
          <w:p>
            <w:pPr>
              <w:ind w:left="360"/>
              <w:spacing w:after="0"/>
              <w:rPr>
                <w:sz w:val="20"/>
                <w:szCs w:val="20"/>
                <w:color w:val="auto"/>
              </w:rPr>
            </w:pPr>
            <w:r>
              <w:rPr>
                <w:rFonts w:ascii="Arial" w:cs="Arial" w:eastAsia="Arial" w:hAnsi="Arial"/>
                <w:sz w:val="18"/>
                <w:szCs w:val="18"/>
                <w:i w:val="1"/>
                <w:iCs w:val="1"/>
                <w:color w:val="auto"/>
              </w:rPr>
              <w:t>Volume</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10,159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shd w:val="clear" w:color="auto" w:fill="CCEEFF"/>
          </w:tcPr>
          <w:p>
            <w:pPr>
              <w:ind w:left="360"/>
              <w:spacing w:after="0"/>
              <w:rPr>
                <w:sz w:val="20"/>
                <w:szCs w:val="20"/>
                <w:color w:val="auto"/>
              </w:rPr>
            </w:pPr>
            <w:r>
              <w:rPr>
                <w:rFonts w:ascii="Arial" w:cs="Arial" w:eastAsia="Arial" w:hAnsi="Arial"/>
                <w:sz w:val="18"/>
                <w:szCs w:val="18"/>
                <w:i w:val="1"/>
                <w:iCs w:val="1"/>
                <w:color w:val="auto"/>
              </w:rPr>
              <w:t>Other</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(4,857)</w:t>
            </w:r>
          </w:p>
        </w:tc>
        <w:tc>
          <w:tcPr>
            <w:tcW w:w="0" w:type="dxa"/>
            <w:vAlign w:val="bottom"/>
          </w:tcPr>
          <w:p>
            <w:pPr>
              <w:spacing w:after="0"/>
              <w:rPr>
                <w:sz w:val="1"/>
                <w:szCs w:val="1"/>
                <w:color w:val="auto"/>
              </w:rPr>
            </w:pPr>
          </w:p>
        </w:tc>
      </w:tr>
      <w:tr>
        <w:trPr>
          <w:trHeight w:val="310"/>
        </w:trPr>
        <w:tc>
          <w:tcPr>
            <w:tcW w:w="6940" w:type="dxa"/>
            <w:vAlign w:val="bottom"/>
            <w:gridSpan w:val="5"/>
          </w:tcPr>
          <w:p>
            <w:pPr>
              <w:ind w:left="460"/>
              <w:spacing w:after="0"/>
              <w:rPr>
                <w:sz w:val="20"/>
                <w:szCs w:val="20"/>
                <w:color w:val="auto"/>
              </w:rPr>
            </w:pPr>
            <w:r>
              <w:rPr>
                <w:rFonts w:ascii="Arial" w:cs="Arial" w:eastAsia="Arial" w:hAnsi="Arial"/>
                <w:sz w:val="18"/>
                <w:szCs w:val="18"/>
                <w:color w:val="auto"/>
                <w:w w:val="97"/>
              </w:rPr>
              <w:t>Cost of products sold (exclusive of depreciation and amortization shown separately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6"/>
              </w:rPr>
              <w:t>525,993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89"/>
              </w:rPr>
              <w:t>384,889</w:t>
            </w:r>
          </w:p>
        </w:tc>
        <w:tc>
          <w:tcPr>
            <w:tcW w:w="1740" w:type="dxa"/>
            <w:vAlign w:val="bottom"/>
            <w:gridSpan w:val="3"/>
            <w:vMerge w:val="restart"/>
          </w:tcPr>
          <w:p>
            <w:pPr>
              <w:jc w:val="right"/>
              <w:ind w:right="980"/>
              <w:spacing w:after="0"/>
              <w:rPr>
                <w:sz w:val="20"/>
                <w:szCs w:val="20"/>
                <w:color w:val="auto"/>
              </w:rPr>
            </w:pPr>
            <w:r>
              <w:rPr>
                <w:rFonts w:ascii="Arial" w:cs="Arial" w:eastAsia="Arial" w:hAnsi="Arial"/>
                <w:sz w:val="18"/>
                <w:szCs w:val="18"/>
                <w:b w:val="1"/>
                <w:bCs w:val="1"/>
                <w:color w:val="auto"/>
              </w:rPr>
              <w:t>141,104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200" w:type="dxa"/>
            <w:vAlign w:val="bottom"/>
            <w:gridSpan w:val="3"/>
          </w:tcPr>
          <w:p>
            <w:pPr>
              <w:ind w:left="180"/>
              <w:spacing w:after="0"/>
              <w:rPr>
                <w:sz w:val="20"/>
                <w:szCs w:val="20"/>
                <w:color w:val="auto"/>
              </w:rPr>
            </w:pPr>
            <w:r>
              <w:rPr>
                <w:rFonts w:ascii="Arial" w:cs="Arial" w:eastAsia="Arial" w:hAnsi="Arial"/>
                <w:sz w:val="18"/>
                <w:szCs w:val="18"/>
                <w:color w:val="auto"/>
              </w:rPr>
              <w:t>below)</w:t>
            </w:r>
          </w:p>
        </w:tc>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7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shd w:val="clear" w:color="auto" w:fill="CCEEFF"/>
          </w:tcPr>
          <w:p>
            <w:pPr>
              <w:ind w:left="360"/>
              <w:spacing w:after="0"/>
              <w:rPr>
                <w:sz w:val="20"/>
                <w:szCs w:val="20"/>
                <w:color w:val="auto"/>
              </w:rPr>
            </w:pPr>
            <w:r>
              <w:rPr>
                <w:rFonts w:ascii="Arial" w:cs="Arial" w:eastAsia="Arial" w:hAnsi="Arial"/>
                <w:sz w:val="18"/>
                <w:szCs w:val="18"/>
                <w:i w:val="1"/>
                <w:iCs w:val="1"/>
                <w:color w:val="auto"/>
              </w:rPr>
              <w:t>Acquisitions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163,482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tcPr>
          <w:p>
            <w:pPr>
              <w:ind w:left="360"/>
              <w:spacing w:after="0"/>
              <w:rPr>
                <w:sz w:val="20"/>
                <w:szCs w:val="20"/>
                <w:color w:val="auto"/>
              </w:rPr>
            </w:pPr>
            <w:r>
              <w:rPr>
                <w:rFonts w:ascii="Arial" w:cs="Arial" w:eastAsia="Arial" w:hAnsi="Arial"/>
                <w:sz w:val="18"/>
                <w:szCs w:val="18"/>
                <w:i w:val="1"/>
                <w:iCs w:val="1"/>
                <w:color w:val="auto"/>
                <w:w w:val="90"/>
              </w:rPr>
              <w:t>Foreign exchange effects</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(33,673)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7,631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tcPr>
          <w:p>
            <w:pPr>
              <w:ind w:left="360"/>
              <w:spacing w:after="0"/>
              <w:rPr>
                <w:sz w:val="20"/>
                <w:szCs w:val="20"/>
                <w:color w:val="auto"/>
              </w:rPr>
            </w:pPr>
            <w:r>
              <w:rPr>
                <w:rFonts w:ascii="Arial" w:cs="Arial" w:eastAsia="Arial" w:hAnsi="Arial"/>
                <w:sz w:val="18"/>
                <w:szCs w:val="18"/>
                <w:i w:val="1"/>
                <w:iCs w:val="1"/>
                <w:color w:val="auto"/>
              </w:rPr>
              <w:t>Other</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(3,861)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gridSpan w:val="4"/>
            <w:shd w:val="clear" w:color="auto" w:fill="CCEEFF"/>
          </w:tcPr>
          <w:p>
            <w:pPr>
              <w:ind w:left="360"/>
              <w:spacing w:after="0"/>
              <w:rPr>
                <w:sz w:val="20"/>
                <w:szCs w:val="20"/>
                <w:color w:val="auto"/>
              </w:rPr>
            </w:pPr>
            <w:r>
              <w:rPr>
                <w:rFonts w:ascii="Arial" w:cs="Arial" w:eastAsia="Arial" w:hAnsi="Arial"/>
                <w:sz w:val="18"/>
                <w:szCs w:val="18"/>
                <w:i w:val="1"/>
                <w:iCs w:val="1"/>
                <w:color w:val="auto"/>
              </w:rPr>
              <w:t>Acquisition integration costs and inventory step-up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7,525</w:t>
            </w:r>
          </w:p>
        </w:tc>
        <w:tc>
          <w:tcPr>
            <w:tcW w:w="0" w:type="dxa"/>
            <w:vAlign w:val="bottom"/>
          </w:tcPr>
          <w:p>
            <w:pPr>
              <w:spacing w:after="0"/>
              <w:rPr>
                <w:sz w:val="1"/>
                <w:szCs w:val="1"/>
                <w:color w:val="auto"/>
              </w:rPr>
            </w:pPr>
          </w:p>
        </w:tc>
      </w:tr>
      <w:tr>
        <w:trPr>
          <w:trHeight w:val="324"/>
        </w:trPr>
        <w:tc>
          <w:tcPr>
            <w:tcW w:w="6940" w:type="dxa"/>
            <w:vAlign w:val="bottom"/>
            <w:gridSpan w:val="5"/>
          </w:tcPr>
          <w:p>
            <w:pPr>
              <w:ind w:left="4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51,745</w:t>
            </w:r>
          </w:p>
        </w:tc>
        <w:tc>
          <w:tcPr>
            <w:tcW w:w="8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43,756</w:t>
            </w:r>
          </w:p>
        </w:tc>
        <w:tc>
          <w:tcPr>
            <w:tcW w:w="174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rPr>
              <w:t>7,989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shd w:val="clear" w:color="auto" w:fill="CCEEFF"/>
          </w:tcPr>
          <w:p>
            <w:pPr>
              <w:ind w:left="360"/>
              <w:spacing w:after="0"/>
              <w:rPr>
                <w:sz w:val="20"/>
                <w:szCs w:val="20"/>
                <w:color w:val="auto"/>
              </w:rPr>
            </w:pPr>
            <w:r>
              <w:rPr>
                <w:rFonts w:ascii="Arial" w:cs="Arial" w:eastAsia="Arial" w:hAnsi="Arial"/>
                <w:sz w:val="18"/>
                <w:szCs w:val="18"/>
                <w:i w:val="1"/>
                <w:iCs w:val="1"/>
                <w:color w:val="auto"/>
              </w:rPr>
              <w:t>Acquisitions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12,455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tcPr>
          <w:p>
            <w:pPr>
              <w:ind w:left="360"/>
              <w:spacing w:after="0"/>
              <w:rPr>
                <w:sz w:val="20"/>
                <w:szCs w:val="20"/>
                <w:color w:val="auto"/>
              </w:rPr>
            </w:pPr>
            <w:r>
              <w:rPr>
                <w:rFonts w:ascii="Arial" w:cs="Arial" w:eastAsia="Arial" w:hAnsi="Arial"/>
                <w:sz w:val="18"/>
                <w:szCs w:val="18"/>
                <w:i w:val="1"/>
                <w:iCs w:val="1"/>
                <w:color w:val="auto"/>
                <w:w w:val="90"/>
              </w:rPr>
              <w:t>Foreign exchange effects</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(2,408)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shd w:val="clear" w:color="auto" w:fill="CCEEFF"/>
          </w:tcPr>
          <w:p>
            <w:pPr>
              <w:ind w:left="360"/>
              <w:spacing w:after="0"/>
              <w:rPr>
                <w:sz w:val="20"/>
                <w:szCs w:val="20"/>
                <w:color w:val="auto"/>
              </w:rPr>
            </w:pPr>
            <w:r>
              <w:rPr>
                <w:rFonts w:ascii="Arial" w:cs="Arial" w:eastAsia="Arial" w:hAnsi="Arial"/>
                <w:sz w:val="18"/>
                <w:szCs w:val="18"/>
                <w:i w:val="1"/>
                <w:iCs w:val="1"/>
                <w:color w:val="auto"/>
              </w:rPr>
              <w:t>Other</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(2,058)</w:t>
            </w:r>
          </w:p>
        </w:tc>
        <w:tc>
          <w:tcPr>
            <w:tcW w:w="0" w:type="dxa"/>
            <w:vAlign w:val="bottom"/>
          </w:tcPr>
          <w:p>
            <w:pPr>
              <w:spacing w:after="0"/>
              <w:rPr>
                <w:sz w:val="1"/>
                <w:szCs w:val="1"/>
                <w:color w:val="auto"/>
              </w:rPr>
            </w:pPr>
          </w:p>
        </w:tc>
      </w:tr>
      <w:tr>
        <w:trPr>
          <w:trHeight w:val="324"/>
        </w:trPr>
        <w:tc>
          <w:tcPr>
            <w:tcW w:w="6940" w:type="dxa"/>
            <w:vAlign w:val="bottom"/>
            <w:gridSpan w:val="5"/>
          </w:tcPr>
          <w:p>
            <w:pPr>
              <w:ind w:left="460"/>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11,682</w:t>
            </w:r>
          </w:p>
        </w:tc>
        <w:tc>
          <w:tcPr>
            <w:tcW w:w="8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9,248</w:t>
            </w:r>
          </w:p>
        </w:tc>
        <w:tc>
          <w:tcPr>
            <w:tcW w:w="174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rPr>
              <w:t>2,434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vMerge w:val="restart"/>
          </w:tcPr>
          <w:p>
            <w:pPr>
              <w:spacing w:after="0"/>
              <w:rPr>
                <w:sz w:val="9"/>
                <w:szCs w:val="9"/>
                <w:color w:val="auto"/>
              </w:rPr>
            </w:pPr>
          </w:p>
        </w:tc>
        <w:tc>
          <w:tcPr>
            <w:tcW w:w="2200" w:type="dxa"/>
            <w:vAlign w:val="bottom"/>
            <w:gridSpan w:val="3"/>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Depreciation and amortization</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44,482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22,146</w:t>
            </w:r>
          </w:p>
        </w:tc>
        <w:tc>
          <w:tcPr>
            <w:tcW w:w="17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22,336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tcPr>
          <w:p>
            <w:pPr>
              <w:ind w:left="360"/>
              <w:spacing w:after="0"/>
              <w:rPr>
                <w:sz w:val="20"/>
                <w:szCs w:val="20"/>
                <w:color w:val="auto"/>
              </w:rPr>
            </w:pPr>
            <w:r>
              <w:rPr>
                <w:rFonts w:ascii="Arial" w:cs="Arial" w:eastAsia="Arial" w:hAnsi="Arial"/>
                <w:sz w:val="18"/>
                <w:szCs w:val="18"/>
                <w:i w:val="1"/>
                <w:iCs w:val="1"/>
                <w:color w:val="auto"/>
              </w:rPr>
              <w:t>Acquisitions</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22,430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shd w:val="clear" w:color="auto" w:fill="CCEEFF"/>
          </w:tcPr>
          <w:p>
            <w:pPr>
              <w:ind w:left="360"/>
              <w:spacing w:after="0"/>
              <w:rPr>
                <w:sz w:val="20"/>
                <w:szCs w:val="20"/>
                <w:color w:val="auto"/>
              </w:rPr>
            </w:pPr>
            <w:r>
              <w:rPr>
                <w:rFonts w:ascii="Arial" w:cs="Arial" w:eastAsia="Arial" w:hAnsi="Arial"/>
                <w:sz w:val="18"/>
                <w:szCs w:val="18"/>
                <w:i w:val="1"/>
                <w:iCs w:val="1"/>
                <w:color w:val="auto"/>
                <w:w w:val="90"/>
              </w:rPr>
              <w:t>Foreign exchange effects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tcPr>
          <w:p>
            <w:pPr>
              <w:ind w:left="360"/>
              <w:spacing w:after="0"/>
              <w:rPr>
                <w:sz w:val="20"/>
                <w:szCs w:val="20"/>
                <w:color w:val="auto"/>
              </w:rPr>
            </w:pPr>
            <w:r>
              <w:rPr>
                <w:rFonts w:ascii="Arial" w:cs="Arial" w:eastAsia="Arial" w:hAnsi="Arial"/>
                <w:sz w:val="18"/>
                <w:szCs w:val="18"/>
                <w:i w:val="1"/>
                <w:iCs w:val="1"/>
                <w:color w:val="auto"/>
              </w:rPr>
              <w:t>Other</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1,189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7,268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875</w:t>
            </w:r>
          </w:p>
        </w:tc>
        <w:tc>
          <w:tcPr>
            <w:tcW w:w="17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6,393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(Gain)/Loss on disposal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(687)</w:t>
            </w:r>
          </w:p>
        </w:tc>
        <w:tc>
          <w:tcPr>
            <w:tcW w:w="8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26,797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27,687</w:t>
            </w:r>
          </w:p>
        </w:tc>
        <w:tc>
          <w:tcPr>
            <w:tcW w:w="174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29,899</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10,895</w:t>
            </w:r>
          </w:p>
        </w:tc>
        <w:tc>
          <w:tcPr>
            <w:tcW w:w="174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rPr>
              <w:t>19,004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18,673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1,398</w:t>
            </w:r>
          </w:p>
        </w:tc>
        <w:tc>
          <w:tcPr>
            <w:tcW w:w="17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17,275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Arial" w:cs="Arial" w:eastAsia="Arial" w:hAnsi="Arial"/>
                <w:sz w:val="18"/>
                <w:szCs w:val="18"/>
                <w:color w:val="auto"/>
              </w:rPr>
              <w:t>Other expense, net</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1,175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2,222</w:t>
            </w:r>
          </w:p>
        </w:tc>
        <w:tc>
          <w:tcPr>
            <w:tcW w:w="400" w:type="dxa"/>
            <w:vAlign w:val="bottom"/>
          </w:tcPr>
          <w:p>
            <w:pPr>
              <w:spacing w:after="0"/>
              <w:rPr>
                <w:sz w:val="18"/>
                <w:szCs w:val="18"/>
                <w:color w:val="auto"/>
              </w:rPr>
            </w:pPr>
          </w:p>
        </w:tc>
        <w:tc>
          <w:tcPr>
            <w:tcW w:w="174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60" w:type="dxa"/>
            <w:vAlign w:val="bottom"/>
            <w:vMerge w:val="continue"/>
          </w:tcPr>
          <w:p>
            <w:pPr>
              <w:spacing w:after="0"/>
              <w:rPr>
                <w:sz w:val="17"/>
                <w:szCs w:val="17"/>
                <w:color w:val="auto"/>
              </w:rPr>
            </w:pPr>
          </w:p>
        </w:tc>
        <w:tc>
          <w:tcPr>
            <w:tcW w:w="64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Income before provision (benefit) for income taxes and share of net income from</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2"/>
              </w:rPr>
              <w:t>(22,950)</w:t>
            </w:r>
          </w:p>
        </w:tc>
        <w:tc>
          <w:tcPr>
            <w:tcW w:w="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13,172</w:t>
            </w:r>
          </w:p>
        </w:tc>
        <w:tc>
          <w:tcPr>
            <w:tcW w:w="1740" w:type="dxa"/>
            <w:vAlign w:val="bottom"/>
            <w:gridSpan w:val="3"/>
            <w:vMerge w:val="restart"/>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(36,122)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joint venture</w:t>
            </w:r>
          </w:p>
        </w:tc>
        <w:tc>
          <w:tcPr>
            <w:tcW w:w="4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74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2"/>
              </w:rPr>
              <w:t>(10,518)</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5,786</w:t>
            </w:r>
          </w:p>
        </w:tc>
        <w:tc>
          <w:tcPr>
            <w:tcW w:w="174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(16,304)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 of net income (loss)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5,001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831</w:t>
            </w:r>
          </w:p>
        </w:tc>
        <w:tc>
          <w:tcPr>
            <w:tcW w:w="17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4,170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gridSpan w:val="4"/>
          </w:tcPr>
          <w:p>
            <w:pPr>
              <w:ind w:left="460"/>
              <w:spacing w:after="0"/>
              <w:rPr>
                <w:sz w:val="20"/>
                <w:szCs w:val="20"/>
                <w:color w:val="auto"/>
              </w:rPr>
            </w:pPr>
            <w:r>
              <w:rPr>
                <w:rFonts w:ascii="Arial" w:cs="Arial" w:eastAsia="Arial" w:hAnsi="Arial"/>
                <w:sz w:val="18"/>
                <w:szCs w:val="18"/>
                <w:color w:val="auto"/>
              </w:rPr>
              <w:t>Net income (loss)</w:t>
            </w:r>
          </w:p>
        </w:tc>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(7,431</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8,217</w:t>
            </w:r>
          </w:p>
        </w:tc>
        <w:tc>
          <w:tcPr>
            <w:tcW w:w="4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(15,648</w:t>
            </w:r>
          </w:p>
        </w:tc>
        <w:tc>
          <w:tcPr>
            <w:tcW w:w="1060" w:type="dxa"/>
            <w:vAlign w:val="bottom"/>
          </w:tcPr>
          <w:p>
            <w:pPr>
              <w:jc w:val="right"/>
              <w:ind w:right="9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00"/>
          </w:cols>
          <w:pgMar w:left="240" w:top="459" w:right="559" w:bottom="1440" w:gutter="0" w:footer="0" w:header="0"/>
        </w:sectPr>
      </w:pPr>
    </w:p>
    <w:bookmarkStart w:id="30" w:name="page31"/>
    <w:bookmarkEnd w:id="30"/>
    <w:p>
      <w:pPr>
        <w:spacing w:after="0" w:line="30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during 2015 compared to 2014 principally due to sales from the companies acquired in 2014 and 2015. Three of the four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acquired during 2014 were acquired subsequent to the first half of 2014 and two were acquired during 2015. Additionally, sales growth came from overall volume growth in the markets we serve, from new sales programs with existing customers and sales with new customers in each of these geographic markets. Partially offsetting these increases was the impact of devaluation of the euro on euro denominated sales, as discussed above.</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shown separately below). </w:t>
      </w:r>
      <w:r>
        <w:rPr>
          <w:rFonts w:ascii="Arial" w:cs="Arial" w:eastAsia="Arial" w:hAnsi="Arial"/>
          <w:sz w:val="17"/>
          <w:szCs w:val="17"/>
          <w:color w:val="auto"/>
        </w:rPr>
        <w:t>Cost of products sold was primarily impacted by the addition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costs added with the 2015 and 2014 acquisitions, as discussed above. Additionally, the total was impacted by increased production costs at those units that experienced higher sales volumes, as discussed above. Finally, we incurred $7.5 million of costs directly related to acquisitions and integrations specifically $4.3 million related to a step-up in value of inventory of an acquired company and $3.3 million related to integration costs. Partially offsetting these increases was the impact of devaluation of the euro on euro denominated costs, as discussed above.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during 2015 was due to the selling, general and administrative costs carried over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acquired in 2015 and 2014.</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w:t>
      </w:r>
      <w:r>
        <w:rPr>
          <w:rFonts w:ascii="Arial" w:cs="Arial" w:eastAsia="Arial" w:hAnsi="Arial"/>
          <w:sz w:val="18"/>
          <w:szCs w:val="18"/>
          <w:color w:val="auto"/>
        </w:rPr>
        <w:t>Acquisition related costs are third party legal, accounting, valuation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investment banking advisory fees incurred directly related to the PEP Acquisition and the Caprock acquisition in 2015, and Autocam acquisition and our other acquisitions in 2014.</w:t>
      </w:r>
    </w:p>
    <w:p>
      <w:pPr>
        <w:spacing w:after="0" w:line="181" w:lineRule="exact"/>
        <w:rPr>
          <w:sz w:val="20"/>
          <w:szCs w:val="20"/>
          <w:color w:val="auto"/>
        </w:rPr>
      </w:pPr>
    </w:p>
    <w:p>
      <w:pPr>
        <w:jc w:val="both"/>
        <w:ind w:right="64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increase in 2015 was due to depreciation and amortization from the 2015 and 2014 acquisitions. The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in 2015 from the interest on the debt we undertook to complete our acquisitions. Additionally, 2015 included a</w:t>
      </w:r>
      <w:r>
        <w:rPr>
          <w:rFonts w:ascii="Arial" w:cs="Arial" w:eastAsia="Arial" w:hAnsi="Arial"/>
          <w:sz w:val="18"/>
          <w:szCs w:val="18"/>
          <w:i w:val="1"/>
          <w:iCs w:val="1"/>
          <w:color w:val="auto"/>
        </w:rPr>
        <w:t xml:space="preserve"> </w:t>
      </w:r>
      <w:r>
        <w:rPr>
          <w:rFonts w:ascii="Arial" w:cs="Arial" w:eastAsia="Arial" w:hAnsi="Arial"/>
          <w:sz w:val="18"/>
          <w:szCs w:val="18"/>
          <w:color w:val="auto"/>
        </w:rPr>
        <w:t>$5.2 million charge related to amortizing a large portion of a backlog intangible asset acquired in 2015.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Write-off of unamortized debt issuance costs</w:t>
      </w:r>
      <w:r>
        <w:rPr>
          <w:rFonts w:ascii="Arial" w:cs="Arial" w:eastAsia="Arial" w:hAnsi="Arial"/>
          <w:sz w:val="17"/>
          <w:szCs w:val="17"/>
          <w:color w:val="auto"/>
        </w:rPr>
        <w:t>. Write-off of debt issuance costs increased due to the refinancing of acquisitions in both 2015 and 2014.</w:t>
      </w: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2015 effective tax rate of 46% is consistent with the 2014 effective rate of 44%. Both rates are impacted by non-deductible</w:t>
      </w:r>
      <w:r>
        <w:rPr>
          <w:rFonts w:ascii="Arial" w:cs="Arial" w:eastAsia="Arial" w:hAnsi="Arial"/>
          <w:sz w:val="18"/>
          <w:szCs w:val="18"/>
          <w:i w:val="1"/>
          <w:iCs w:val="1"/>
          <w:color w:val="auto"/>
        </w:rPr>
        <w:t xml:space="preserve"> </w:t>
      </w:r>
      <w:r>
        <w:rPr>
          <w:rFonts w:ascii="Arial" w:cs="Arial" w:eastAsia="Arial" w:hAnsi="Arial"/>
          <w:sz w:val="18"/>
          <w:szCs w:val="18"/>
          <w:color w:val="auto"/>
        </w:rPr>
        <w:t>mergers and acquisition cost.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BEARING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6"/>
          </w:tcPr>
          <w:p>
            <w:pPr>
              <w:jc w:val="right"/>
              <w:ind w:right="1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6"/>
          </w:tcPr>
          <w:p>
            <w:pPr>
              <w:jc w:val="right"/>
              <w:ind w:right="1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112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0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261,837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278,026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89"/>
              </w:rPr>
              <w:t>(16,189)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(1,529)</w:t>
            </w:r>
          </w:p>
        </w:tc>
        <w:tc>
          <w:tcPr>
            <w:tcW w:w="0" w:type="dxa"/>
            <w:vAlign w:val="bottom"/>
          </w:tcPr>
          <w:p>
            <w:pPr>
              <w:spacing w:after="0"/>
              <w:rPr>
                <w:sz w:val="1"/>
                <w:szCs w:val="1"/>
                <w:color w:val="auto"/>
              </w:rPr>
            </w:pPr>
          </w:p>
        </w:tc>
      </w:tr>
      <w:tr>
        <w:trPr>
          <w:trHeight w:val="324"/>
        </w:trPr>
        <w:tc>
          <w:tcPr>
            <w:tcW w:w="654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26,310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31,872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980"/>
              <w:spacing w:after="0"/>
              <w:rPr>
                <w:sz w:val="20"/>
                <w:szCs w:val="20"/>
                <w:color w:val="auto"/>
              </w:rPr>
            </w:pPr>
            <w:r>
              <w:rPr>
                <w:rFonts w:ascii="Arial" w:cs="Arial" w:eastAsia="Arial" w:hAnsi="Arial"/>
                <w:sz w:val="18"/>
                <w:szCs w:val="18"/>
                <w:color w:val="auto"/>
              </w:rPr>
              <w:t>(5,562)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sales decreased from 2014 to 2015 principally due to the impact of devaluation of the euro on euro denominated sales, as discussed above. Partially offsetting, the unfavorable foreign exchange effects was greater demand for our products in the North American, Asian and European automotive and general industrial markets. This greater demand was from market share gains with our customers and from winning business with new customers. Additionally, sales increased with the addition of the companies the segment acquired subsequent to the first half of 2014.</w:t>
      </w:r>
    </w:p>
    <w:p>
      <w:pPr>
        <w:spacing w:after="0" w:line="17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Segment income from operations was unfavorably impacted by $3.3 million due to the depreciation in value of Euro denominated income from operations relative to the U.S. Dollar. Additionally, the segment incurred $1.8 million in restructuring costs related to reduce headcount at certain European plants.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ENGINEERED PRODUCTS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6"/>
          </w:tcPr>
          <w:p>
            <w:pPr>
              <w:jc w:val="right"/>
              <w:ind w:right="1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8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6"/>
          </w:tcPr>
          <w:p>
            <w:pPr>
              <w:jc w:val="right"/>
              <w:ind w:right="1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360" w:type="dxa"/>
            <w:vAlign w:val="bottom"/>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10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3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$77,183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33,351</w:t>
            </w:r>
          </w:p>
        </w:tc>
        <w:tc>
          <w:tcPr>
            <w:tcW w:w="1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$43,832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i w:val="1"/>
                <w:iCs w:val="1"/>
                <w:color w:val="auto"/>
              </w:rPr>
              <w:t>Acquisitions</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44,742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Price/Mix/Inflation</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(910)</w:t>
            </w:r>
          </w:p>
        </w:tc>
        <w:tc>
          <w:tcPr>
            <w:tcW w:w="0" w:type="dxa"/>
            <w:vAlign w:val="bottom"/>
          </w:tcPr>
          <w:p>
            <w:pPr>
              <w:spacing w:after="0"/>
              <w:rPr>
                <w:sz w:val="1"/>
                <w:szCs w:val="1"/>
                <w:color w:val="auto"/>
              </w:rPr>
            </w:pPr>
          </w:p>
        </w:tc>
      </w:tr>
      <w:tr>
        <w:trPr>
          <w:trHeight w:val="324"/>
        </w:trPr>
        <w:tc>
          <w:tcPr>
            <w:tcW w:w="686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000" w:type="dxa"/>
            <w:vAlign w:val="bottom"/>
            <w:gridSpan w:val="2"/>
          </w:tcPr>
          <w:p>
            <w:pPr>
              <w:spacing w:after="0"/>
              <w:rPr>
                <w:sz w:val="20"/>
                <w:szCs w:val="20"/>
                <w:color w:val="auto"/>
              </w:rPr>
            </w:pPr>
            <w:r>
              <w:rPr>
                <w:rFonts w:ascii="Arial" w:cs="Arial" w:eastAsia="Arial" w:hAnsi="Arial"/>
                <w:sz w:val="18"/>
                <w:szCs w:val="18"/>
                <w:color w:val="auto"/>
              </w:rPr>
              <w:t>$ (3,718)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1,231</w:t>
            </w:r>
          </w:p>
        </w:tc>
        <w:tc>
          <w:tcPr>
            <w:tcW w:w="1760" w:type="dxa"/>
            <w:vAlign w:val="bottom"/>
            <w:gridSpan w:val="3"/>
          </w:tcPr>
          <w:p>
            <w:pPr>
              <w:ind w:left="200"/>
              <w:spacing w:after="0"/>
              <w:rPr>
                <w:sz w:val="20"/>
                <w:szCs w:val="20"/>
                <w:color w:val="auto"/>
              </w:rPr>
            </w:pPr>
            <w:r>
              <w:rPr>
                <w:rFonts w:ascii="Arial" w:cs="Arial" w:eastAsia="Arial" w:hAnsi="Arial"/>
                <w:sz w:val="18"/>
                <w:szCs w:val="18"/>
                <w:color w:val="auto"/>
              </w:rPr>
              <w:t>$ (4,949)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Precision Engineered Products Group includes the Plastic and Rubber Components Segment as presented in previous filings. The name of this segment was changed during 2015 after the PEP Acquisition and disposal of Delta Rubber. The increase in sales was primarily due to the acquisition of Caprock during the second quarter of 2015 and the PEP Acquisition in the fourth quarter of 2015. Loss from operations was primarily due to increased depreciation and amortization related to the PEP Acquisition. Specifically included in income from operations was $4.3 million related to a step-up in value of inventory of an acquired company, a charge of $5.2 million related to amortizing a large portion of a backlog intangible asset of an acquired company and $1.6 million of acquisition and integration costs directly attributable to acquisitions within the segment.</w:t>
      </w:r>
    </w:p>
    <w:p>
      <w:pPr>
        <w:sectPr>
          <w:pgSz w:w="11900" w:h="16838" w:orient="portrait"/>
          <w:cols w:equalWidth="0" w:num="1">
            <w:col w:w="11360"/>
          </w:cols>
          <w:pgMar w:left="240" w:top="459" w:right="299" w:bottom="1440" w:gutter="0" w:footer="0" w:header="0"/>
        </w:sectPr>
      </w:pP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60"/>
          </w:cols>
          <w:pgMar w:left="240" w:top="459" w:right="2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5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7"/>
          </w:tcPr>
          <w:p>
            <w:pPr>
              <w:jc w:val="right"/>
              <w:ind w:right="17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5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7"/>
          </w:tcPr>
          <w:p>
            <w:pPr>
              <w:jc w:val="right"/>
              <w:ind w:right="1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116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0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328,260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177,224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w w:val="89"/>
              </w:rPr>
              <w:t>151,036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159,168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340"/>
              <w:spacing w:after="0"/>
              <w:rPr>
                <w:sz w:val="20"/>
                <w:szCs w:val="20"/>
                <w:color w:val="auto"/>
              </w:rPr>
            </w:pPr>
            <w:r>
              <w:rPr>
                <w:rFonts w:ascii="Arial" w:cs="Arial" w:eastAsia="Arial" w:hAnsi="Arial"/>
                <w:sz w:val="18"/>
                <w:szCs w:val="18"/>
                <w:i w:val="1"/>
                <w:iCs w:val="1"/>
                <w:color w:val="auto"/>
              </w:rPr>
              <w:t>Foreign exchange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Price/Mix/Inflation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(1,577)</w:t>
            </w:r>
          </w:p>
        </w:tc>
        <w:tc>
          <w:tcPr>
            <w:tcW w:w="0" w:type="dxa"/>
            <w:vAlign w:val="bottom"/>
          </w:tcPr>
          <w:p>
            <w:pPr>
              <w:spacing w:after="0"/>
              <w:rPr>
                <w:sz w:val="1"/>
                <w:szCs w:val="1"/>
                <w:color w:val="auto"/>
              </w:rPr>
            </w:pPr>
          </w:p>
        </w:tc>
      </w:tr>
      <w:tr>
        <w:trPr>
          <w:trHeight w:val="324"/>
        </w:trPr>
        <w:tc>
          <w:tcPr>
            <w:tcW w:w="650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31,700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15,732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40"/>
              <w:spacing w:after="0"/>
              <w:rPr>
                <w:sz w:val="20"/>
                <w:szCs w:val="20"/>
                <w:color w:val="auto"/>
              </w:rPr>
            </w:pPr>
            <w:r>
              <w:rPr>
                <w:rFonts w:ascii="Arial" w:cs="Arial" w:eastAsia="Arial" w:hAnsi="Arial"/>
                <w:sz w:val="18"/>
                <w:szCs w:val="18"/>
                <w:color w:val="auto"/>
              </w:rPr>
              <w:t>15,968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increased sales from 2014 to 2015 were due to sales added with the acquisition during 2014. The increase in income from operations was primarily from the companies acquired in 2014 partially offset by $2.6 million in restructuring costs related to the Wheeling Plant closure.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the Year Ended December 31, 2013.</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year ended December 31, 2014, was significantly impacted by certain costs related to the Autocam acquisition and to a lesser extent the three other acquisitions completed in 2014. The net after tax impact of these costs was $13.6 million. The following is a summary of these costs:</w:t>
      </w:r>
    </w:p>
    <w:p>
      <w:pPr>
        <w:spacing w:after="0" w:line="174" w:lineRule="exact"/>
        <w:rPr>
          <w:sz w:val="20"/>
          <w:szCs w:val="20"/>
          <w:color w:val="auto"/>
        </w:rPr>
      </w:pPr>
    </w:p>
    <w:p>
      <w:pPr>
        <w:ind w:left="1840" w:right="1780" w:firstLine="756"/>
        <w:spacing w:after="0" w:line="342" w:lineRule="auto"/>
        <w:rPr>
          <w:sz w:val="20"/>
          <w:szCs w:val="20"/>
          <w:color w:val="auto"/>
        </w:rPr>
      </w:pPr>
      <w:r>
        <w:rPr>
          <w:rFonts w:ascii="Arial" w:cs="Arial" w:eastAsia="Arial" w:hAnsi="Arial"/>
          <w:sz w:val="16"/>
          <w:szCs w:val="16"/>
          <w:color w:val="auto"/>
        </w:rPr>
        <w:t>Third party legal, accounting, valuation consulting and investment banking advisory fees, which $ 8,534 are reported in acquisition related costs excluded from 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-323215</wp:posOffset>
            </wp:positionV>
            <wp:extent cx="49225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p>
      <w:pPr>
        <w:ind w:left="2020" w:right="2060" w:firstLine="567"/>
        <w:spacing w:after="0" w:line="277" w:lineRule="auto"/>
        <w:rPr>
          <w:sz w:val="20"/>
          <w:szCs w:val="20"/>
          <w:color w:val="auto"/>
        </w:rPr>
      </w:pPr>
      <w:r>
        <w:rPr>
          <w:rFonts w:ascii="Arial" w:cs="Arial" w:eastAsia="Arial" w:hAnsi="Arial"/>
          <w:sz w:val="18"/>
          <w:szCs w:val="18"/>
          <w:color w:val="auto"/>
        </w:rPr>
        <w:t>Inventory purchase price adjustment related to the Autocam acquisition, which is reported in 1,384 cost of products sold</w:t>
      </w:r>
    </w:p>
    <w:p>
      <w:pPr>
        <w:spacing w:after="0" w:line="62" w:lineRule="exact"/>
        <w:rPr>
          <w:sz w:val="20"/>
          <w:szCs w:val="20"/>
          <w:color w:val="auto"/>
        </w:rPr>
      </w:pPr>
    </w:p>
    <w:p>
      <w:pPr>
        <w:ind w:left="2020" w:right="1880" w:firstLine="567"/>
        <w:spacing w:after="0" w:line="277" w:lineRule="auto"/>
        <w:rPr>
          <w:sz w:val="20"/>
          <w:szCs w:val="20"/>
          <w:color w:val="auto"/>
        </w:rPr>
      </w:pPr>
      <w:r>
        <w:rPr>
          <w:rFonts w:ascii="Arial" w:cs="Arial" w:eastAsia="Arial" w:hAnsi="Arial"/>
          <w:sz w:val="18"/>
          <w:szCs w:val="18"/>
          <w:color w:val="auto"/>
        </w:rPr>
        <w:t>Debt issuance costs related to refinancing as part of the Autocam acquisition, which is reported 1,398 in write-off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-293370</wp:posOffset>
            </wp:positionV>
            <wp:extent cx="49225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p>
      <w:pPr>
        <w:spacing w:after="0" w:line="42" w:lineRule="exact"/>
        <w:rPr>
          <w:sz w:val="20"/>
          <w:szCs w:val="20"/>
          <w:color w:val="auto"/>
        </w:rPr>
      </w:pPr>
    </w:p>
    <w:p>
      <w:pPr>
        <w:ind w:left="2020" w:right="2160" w:firstLine="567"/>
        <w:spacing w:after="0" w:line="277" w:lineRule="auto"/>
        <w:rPr>
          <w:sz w:val="20"/>
          <w:szCs w:val="20"/>
          <w:color w:val="auto"/>
        </w:rPr>
      </w:pPr>
      <w:r>
        <w:rPr>
          <w:rFonts w:ascii="Arial" w:cs="Arial" w:eastAsia="Arial" w:hAnsi="Arial"/>
          <w:sz w:val="18"/>
          <w:szCs w:val="18"/>
          <w:color w:val="auto"/>
        </w:rPr>
        <w:t>Make whole interest costs for our former credit facilities refinanced as part of the Autocam 1,576 acquisition, which is reported in interest expense,</w:t>
      </w:r>
    </w:p>
    <w:p>
      <w:pPr>
        <w:spacing w:after="0" w:line="62" w:lineRule="exact"/>
        <w:rPr>
          <w:sz w:val="20"/>
          <w:szCs w:val="20"/>
          <w:color w:val="auto"/>
        </w:rPr>
      </w:pPr>
    </w:p>
    <w:p>
      <w:pPr>
        <w:ind w:left="2020" w:right="1740" w:firstLine="567"/>
        <w:spacing w:after="0" w:line="277" w:lineRule="auto"/>
        <w:rPr>
          <w:sz w:val="20"/>
          <w:szCs w:val="20"/>
          <w:color w:val="auto"/>
        </w:rPr>
      </w:pPr>
      <w:r>
        <w:rPr>
          <w:rFonts w:ascii="Arial" w:cs="Arial" w:eastAsia="Arial" w:hAnsi="Arial"/>
          <w:sz w:val="18"/>
          <w:szCs w:val="18"/>
          <w:color w:val="auto"/>
        </w:rPr>
        <w:t>Integration costs related to the four acquisitions reported in cost of products sold, selling, general 1,939 and administrative and 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-293370</wp:posOffset>
            </wp:positionV>
            <wp:extent cx="49225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(2,580) Tax benefits of above expenses that are tax deductible</w:t>
      </w:r>
    </w:p>
    <w:p>
      <w:pPr>
        <w:spacing w:after="0" w:line="117" w:lineRule="exact"/>
        <w:rPr>
          <w:sz w:val="20"/>
          <w:szCs w:val="20"/>
          <w:color w:val="auto"/>
        </w:rPr>
      </w:pPr>
    </w:p>
    <w:p>
      <w:pPr>
        <w:ind w:left="2020"/>
        <w:spacing w:after="0"/>
        <w:tabs>
          <w:tab w:leader="none" w:pos="2580" w:val="left"/>
        </w:tabs>
        <w:rPr>
          <w:sz w:val="20"/>
          <w:szCs w:val="20"/>
          <w:color w:val="auto"/>
        </w:rPr>
      </w:pPr>
      <w:r>
        <w:rPr>
          <w:rFonts w:ascii="Arial" w:cs="Arial" w:eastAsia="Arial" w:hAnsi="Arial"/>
          <w:sz w:val="18"/>
          <w:szCs w:val="18"/>
          <w:color w:val="auto"/>
        </w:rPr>
        <w:t>1,302</w:t>
      </w:r>
      <w:r>
        <w:rPr>
          <w:sz w:val="20"/>
          <w:szCs w:val="20"/>
          <w:color w:val="auto"/>
        </w:rPr>
        <w:tab/>
      </w:r>
      <w:r>
        <w:rPr>
          <w:rFonts w:ascii="Arial" w:cs="Arial" w:eastAsia="Arial" w:hAnsi="Arial"/>
          <w:sz w:val="16"/>
          <w:szCs w:val="16"/>
          <w:color w:val="auto"/>
        </w:rPr>
        <w:t>Foreign tax credits expired unutilized due to mergers and acquisition costs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2520" cy="154305"/>
                    </a:xfrm>
                    <a:prstGeom prst="rect">
                      <a:avLst/>
                    </a:prstGeom>
                    <a:noFill/>
                  </pic:spPr>
                </pic:pic>
              </a:graphicData>
            </a:graphic>
          </wp:anchor>
        </w:drawing>
      </w:r>
    </w:p>
    <w:p>
      <w:pPr>
        <w:spacing w:after="0" w:line="26" w:lineRule="exact"/>
        <w:rPr>
          <w:sz w:val="20"/>
          <w:szCs w:val="20"/>
          <w:color w:val="auto"/>
        </w:rPr>
      </w:pPr>
    </w:p>
    <w:p>
      <w:pPr>
        <w:ind w:left="1840"/>
        <w:spacing w:after="0"/>
        <w:tabs>
          <w:tab w:leader="none" w:pos="2580" w:val="left"/>
        </w:tabs>
        <w:rPr>
          <w:sz w:val="20"/>
          <w:szCs w:val="20"/>
          <w:color w:val="auto"/>
        </w:rPr>
      </w:pPr>
      <w:r>
        <w:rPr>
          <w:rFonts w:ascii="Arial" w:cs="Arial" w:eastAsia="Arial" w:hAnsi="Arial"/>
          <w:sz w:val="18"/>
          <w:szCs w:val="18"/>
          <w:b w:val="1"/>
          <w:bCs w:val="1"/>
          <w:u w:val="single" w:color="auto"/>
          <w:color w:val="auto"/>
        </w:rPr>
        <w:t>$13,553</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34290</wp:posOffset>
            </wp:positionV>
            <wp:extent cx="3771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5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7"/>
          </w:tcPr>
          <w:p>
            <w:pPr>
              <w:jc w:val="right"/>
              <w:ind w:right="1380"/>
              <w:spacing w:after="0"/>
              <w:rPr>
                <w:sz w:val="20"/>
                <w:szCs w:val="20"/>
                <w:color w:val="auto"/>
              </w:rPr>
            </w:pPr>
            <w:r>
              <w:rPr>
                <w:rFonts w:ascii="Arial" w:cs="Arial" w:eastAsia="Arial" w:hAnsi="Arial"/>
                <w:sz w:val="14"/>
                <w:szCs w:val="14"/>
                <w:b w:val="1"/>
                <w:bCs w:val="1"/>
                <w:color w:val="auto"/>
                <w:w w:val="98"/>
              </w:rPr>
              <w:t>Consolidated NN, Inc.</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488,601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373,206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tcBorders>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w w:val="86"/>
              </w:rPr>
              <w:t>115,395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100,655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Mix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(3,693)</w:t>
            </w:r>
          </w:p>
        </w:tc>
        <w:tc>
          <w:tcPr>
            <w:tcW w:w="0" w:type="dxa"/>
            <w:vAlign w:val="bottom"/>
          </w:tcPr>
          <w:p>
            <w:pPr>
              <w:spacing w:after="0"/>
              <w:rPr>
                <w:sz w:val="1"/>
                <w:szCs w:val="1"/>
                <w:color w:val="auto"/>
              </w:rPr>
            </w:pPr>
          </w:p>
        </w:tc>
      </w:tr>
      <w:tr>
        <w:trPr>
          <w:trHeight w:val="310"/>
        </w:trPr>
        <w:tc>
          <w:tcPr>
            <w:tcW w:w="6500" w:type="dxa"/>
            <w:vAlign w:val="bottom"/>
            <w:gridSpan w:val="2"/>
          </w:tcPr>
          <w:p>
            <w:pPr>
              <w:spacing w:after="0"/>
              <w:rPr>
                <w:sz w:val="20"/>
                <w:szCs w:val="20"/>
                <w:color w:val="auto"/>
              </w:rPr>
            </w:pPr>
            <w:r>
              <w:rPr>
                <w:rFonts w:ascii="Arial" w:cs="Arial" w:eastAsia="Arial" w:hAnsi="Arial"/>
                <w:sz w:val="18"/>
                <w:szCs w:val="18"/>
                <w:color w:val="auto"/>
                <w:w w:val="98"/>
              </w:rPr>
              <w:t>Cost of products sold (exclusive of depreciation and amortization shown separately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w w:val="89"/>
              </w:rPr>
              <w:t>384,889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295,136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vMerge w:val="restart"/>
          </w:tcPr>
          <w:p>
            <w:pPr>
              <w:jc w:val="right"/>
              <w:ind w:right="980"/>
              <w:spacing w:after="0"/>
              <w:rPr>
                <w:sz w:val="20"/>
                <w:szCs w:val="20"/>
                <w:color w:val="auto"/>
              </w:rPr>
            </w:pPr>
            <w:r>
              <w:rPr>
                <w:rFonts w:ascii="Arial" w:cs="Arial" w:eastAsia="Arial" w:hAnsi="Arial"/>
                <w:sz w:val="18"/>
                <w:szCs w:val="18"/>
                <w:b w:val="1"/>
                <w:bCs w:val="1"/>
                <w:color w:val="auto"/>
              </w:rPr>
              <w:t>89,753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below)</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(8,901)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 integration costs and inventory step-up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Inflation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(1,699)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43,756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33,281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10,475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Increase in spending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4,367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9,248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9,248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22,146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16,957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5,189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6,963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Net decrease in depreciation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(Gain)/Loss on disposal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27,687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27,827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12,293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9,919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1,947</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provision (benefit) for income taxes and share of net income from</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13,172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25,178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920"/>
              <w:spacing w:after="0"/>
              <w:rPr>
                <w:sz w:val="20"/>
                <w:szCs w:val="20"/>
                <w:color w:val="auto"/>
              </w:rPr>
            </w:pPr>
            <w:r>
              <w:rPr>
                <w:rFonts w:ascii="Arial" w:cs="Arial" w:eastAsia="Arial" w:hAnsi="Arial"/>
                <w:sz w:val="18"/>
                <w:szCs w:val="18"/>
                <w:b w:val="1"/>
                <w:bCs w:val="1"/>
                <w:color w:val="auto"/>
                <w:w w:val="92"/>
              </w:rPr>
              <w:t>(12,006)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3"/>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(2,214)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(8,961</w:t>
            </w:r>
          </w:p>
        </w:tc>
        <w:tc>
          <w:tcPr>
            <w:tcW w:w="1060" w:type="dxa"/>
            <w:vAlign w:val="bottom"/>
          </w:tcPr>
          <w:p>
            <w:pPr>
              <w:jc w:val="right"/>
              <w:ind w:right="9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2014 compared to 2013 principally due to sales from the four companies acquired in 2014. Net sales reported for 2014</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four month of Autocam, six months of RFK, five months of Chelsea, and 11 months of V-S. Additionally, net sales increased due to greater demand for our products in the European, North American and Asian automotive markets. The growth with our customers over the prior year was generally consistent with the overall growth in automotive production in those geographic regions. Additionally, we have continued to benefit from improved market share with certain customers and adjacent market expansion.</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reduction in price and raw material pass-through (in 2014 compared to 2013) was driven mainly by lower levels of material inflation in our businesses which led to lower pass-through to our customers and due to contractual price decreases for certain long-term sales programs. The unfavorable sales impact related to mix was due to experiencing higher volumes of certain products that have lower prices than our average product assortment sold during the comparable period. The majority of the unfavorable mix occurred in the first six months of 2014.</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Cost of products sold was primarily impacted by the addition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added with the four companies acquired in 2014 as discussed above. Additionally, we experienced increased production costs at those units with higher sales volumes, as discussed above. Partially offsetting the increase in cost of products sold were benefits from specific continuous improvement projects undertaken subsequent to 2013.</w:t>
      </w:r>
    </w:p>
    <w:p>
      <w:pPr>
        <w:sectPr>
          <w:pgSz w:w="11900" w:h="16838" w:orient="portrait"/>
          <w:cols w:equalWidth="0" w:num="1">
            <w:col w:w="11380"/>
          </w:cols>
          <w:pgMar w:left="240" w:top="459" w:right="279" w:bottom="1440" w:gutter="0" w:footer="0" w:header="0"/>
        </w:sectPr>
      </w:pPr>
    </w:p>
    <w:bookmarkStart w:id="34" w:name="page35"/>
    <w:bookmarkEnd w:id="34"/>
    <w:p>
      <w:pPr>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was due to the selling, general and administrative costs brought over from the four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acquired in 2014. Additionally, spending has increased as we have invested in certain key functional positions and research and development costs related to the execution of our strategic plans for growth.</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Acquisition related costs excluded from selling, general and administrative. </w:t>
      </w:r>
      <w:r>
        <w:rPr>
          <w:rFonts w:ascii="Arial" w:cs="Arial" w:eastAsia="Arial" w:hAnsi="Arial"/>
          <w:sz w:val="16"/>
          <w:szCs w:val="16"/>
          <w:color w:val="auto"/>
        </w:rPr>
        <w:t>Acquisition related costs are third party legal, accounting, valuation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investment banking advisory fees incurred directly related to the Autocam acquisition and the three other acquisitions in 2014 to a lesser extent.</w:t>
      </w:r>
    </w:p>
    <w:p>
      <w:pPr>
        <w:spacing w:after="0" w:line="12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in depreciation and amortization was due to adding depreciation and amortization from the four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closed during 2014 including the related step-ups of certain property, plant and equipment to fair value and the addition of intangible assets related to the purchase price allocation.</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$3.0 million in 2014 compared to 2013 due to the acquisition related expenses from writing off debt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make whole interest payments related to our former credit facilities as part of the Autocam acquisition. Additionally, interest on our $350.0 million term loan entered into to complete the Autocam acquisition amounted to an additional $6.7 million in interest including the amortization of debt issuance costs.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2014 effective tax rate of 44% reflects the impact of two items related to the merger and acquisition activity in 2014</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(1) $2.0 million for non-deductible third party merger and acquisition as these cost were directly facilitative to the acquisitions; and (2) $1.3 million for the expiration of foreign tax credits that could not be utilized during 2014 because of the merger related acquisition costs. In addition, the rate reflects an offset to the items above for the impact of foreign earnings taxed at lower rates of $1.7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BEARING COMPONENTS GROUP</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right"/>
              <w:ind w:right="1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278,026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259,459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87"/>
              </w:rPr>
              <w:t>18,567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18,459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i w:val="1"/>
                <w:iCs w:val="1"/>
                <w:color w:val="auto"/>
              </w:rPr>
              <w:t>Mix</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Material inflation pass-through</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(1,293)</w:t>
            </w:r>
          </w:p>
        </w:tc>
        <w:tc>
          <w:tcPr>
            <w:tcW w:w="0" w:type="dxa"/>
            <w:vAlign w:val="bottom"/>
          </w:tcPr>
          <w:p>
            <w:pPr>
              <w:spacing w:after="0"/>
              <w:rPr>
                <w:sz w:val="1"/>
                <w:szCs w:val="1"/>
                <w:color w:val="auto"/>
              </w:rPr>
            </w:pPr>
          </w:p>
        </w:tc>
      </w:tr>
      <w:tr>
        <w:trPr>
          <w:trHeight w:val="324"/>
        </w:trPr>
        <w:tc>
          <w:tcPr>
            <w:tcW w:w="670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31,872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27,380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960"/>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sales increased during 2014 compared to 2013 principally due to increased sales volumes resulting from greater demand for our products in the European, North American and Asian automotive markets and from better overall market penetration with our customers. The reduction in price and raw material pass-through was driven mainly by lower levels of material inflation in our businesses which led to lower pass-through to our customers. The unfavorable sales impact related to mix was due to certain products sold during 2014 being lower priced than our average product assortment sold during 2013. Finally, the segment benefited from the additional sales RFK (for six months) and Chelsea (for five months), each of which was acquired in 2014.</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Increased sales volumes in 2014 compared to 2013 added $5.3 million in incremental income from operations and the acquisition of RFK and Chelsea added $0.2 million in income from operations. Additionally, continuous improvement projects added $4.3 million to income from operations. Partially offsetting these increases were the unfavorable impacts of price/mix of $3.9 million and inflation of $1.5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ENGINEERED PRODUCTS GROUP</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7"/>
          </w:tcPr>
          <w:p>
            <w:pPr>
              <w:jc w:val="right"/>
              <w:ind w:right="1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7"/>
          </w:tcPr>
          <w:p>
            <w:pPr>
              <w:jc w:val="right"/>
              <w:ind w:right="1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33,351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34,991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1"/>
              </w:rPr>
              <w:t>(1,640)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Price/Mix/Inflation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58</w:t>
            </w:r>
          </w:p>
        </w:tc>
        <w:tc>
          <w:tcPr>
            <w:tcW w:w="0" w:type="dxa"/>
            <w:vAlign w:val="bottom"/>
          </w:tcPr>
          <w:p>
            <w:pPr>
              <w:spacing w:after="0"/>
              <w:rPr>
                <w:sz w:val="1"/>
                <w:szCs w:val="1"/>
                <w:color w:val="auto"/>
              </w:rPr>
            </w:pPr>
          </w:p>
        </w:tc>
      </w:tr>
      <w:tr>
        <w:trPr>
          <w:trHeight w:val="324"/>
        </w:trPr>
        <w:tc>
          <w:tcPr>
            <w:tcW w:w="69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4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Precision Engineered Products Group includes the Plastic and Rubber Components Segment as presented in previous filings. The name of this segment was changed during 2015 after the PEP Acquisition and disposal of Delta Rubber. Sales decreased due to lower volume from certain sales programs ending. Segment income from operations was up $0.6 million due to benefits from continuous improvement projects had a favorable $1.3 million impact on income from operations more than offsetting the unfavorable volume effects.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GROUP</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1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177,224</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78,756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87"/>
              </w:rPr>
              <w:t>98,468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95,562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Price/Mix/Inflation</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(3,791)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increased sales during 2014 compared to 2013 were due to sales added with the acquisitions of Autocam (four months of sales) and V-S (eleven months of sales). Additionally, sales increased due to greater demand with certain customers in the North American automotive market generally in line with the overall growth in automotive production and greater demand with our HVAC customer.</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main driver of the increased segment income from operations was income from operations of the two acquired companies which added $3.6 million. The segment income from operations was further impacted by $2.5 million in incremental income from increased sales volumes and $2.3 million in income from continuous improvement projects and operational improvement. Partially offsetting these increases were the unfavorable impacts of price/mix of $1.6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2014 to December 31, 2015.</w:t>
      </w:r>
    </w:p>
    <w:p>
      <w:pPr>
        <w:spacing w:after="0" w:line="12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From December 31, 2014 to December 31, 2015, our total assets increased by $680.8 million and our current assets increased by $37.4 million. The majority of these increases were due to total assets and current assets acquired of $741.6 million and $71.2 million, respectively, and the related preliminary fair value step-ups for the two acquisitions completed in 2015. Foreign exchange translation impacted the balance sheet in comparing changes in account balances from December 31, 2014 to December 31, 2015 by decreasing total assets $35.7 million and current assets $12.5 million.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Beyond acquisition and foreign exchange effects, the accounts receivable balance at December 31, 2015, was higher due to increased sales volume experienced in 2015 compared with sales levels in 2014. Our inventory balance increased $28.4 million due primarily to the PEP Acquisition. Additionally, other non-current assets increased by $5.4 million due to debt issuance cost incurred related to our new credit facilities entered into concurrent with the PEP Acquisition, net of amortization.</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From December 31, 2014 to December 31, 2015, our total liabilities increased $540.6 million. The majority of the increase was from the $469.9 million increase in long-term debt and current maturities of long-term debt primarily due to the two acquisitions in 2015 and $111.3 million of liabilities assumed related to the two acquisitions completed in 2015.</w:t>
      </w:r>
    </w:p>
    <w:p>
      <w:pPr>
        <w:spacing w:after="0" w:line="18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Working capital, which consists principally of accounts receivable and inventories offset by accounts payable and current maturities of long-term debt, was $146.8 million at December 31, 2015 as compared to $105.2 million at December 31, 2014. The increase in working capital was due primarily to acquiring $49.5 million in net working capital in the two acquisitions completed in 2015. The remainder of the increase was due primarily to the increase in accounts receivable and inventory discussed above.</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Cash provided by operations was $33.3 million in 2015 compared with cash provided by operations of $30.7 million in 2014. The difference was increased results of operations, offset by higher interest costs incurred servicing the debt for the acquisitions. Cash flow provided by operations was $30.7 million for 2014 compared with $31.7 million for 2013. The difference was better working capital management in 2014.</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used by investing activities was $665.8 million in 2015 compared with cash used by investing activities of $281.6 million in 2014. The difference was primarily due to the $628.2 million in cash paid to acquire PEP and Caprock, net of cash received. Cash used by investing activities was $281.6 million in 2014 compared with cash used by investing activities of $15.2 million in 2013. The difference was primarily due to the $257.7 million in cash paid to acquire Autocam, V-S, Chelsea and RFK, net of cash received.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provided by financing activities was $611.9 million in 2015, compared with cash used by financing activities of $287.0 million in 2014. The difference was primarily related to using debt to fund the PEP Acquisition and the offering of our common stock. Cash used by financing activities was $287.0 million for 2014 compared with cash used by financing activities of $32.2 million in 2013. The difference was primarily related to using debt to fund the acquisitions of Autocam, V-S, Chelsea and RFK.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On July 1, 2015, we closed an underwritten registered public offering of common stock offered pursuant to a shelf registration statement on Form S-3 that was previously filed with, and declared effective by, the Securities Exchange Commission (the “SEC” or “Commission”). The total number of share of common stock sold was approximately 7.6 million at a public offering price of $24.00 per share. All of the shares in the offering were sold by us. The net proceeds to us from the offering, after deducting underwriting discounts and commissions and offering expenses, were approximately $173.1 million. Of these proceeds, $148.7 million was used for repayment of principal and interest on our debt.</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October 19, 2015, concurrent with the PEP Acquisition, we: (i) entered into the New Term Loan Credit Facility; (ii) entered into the New Senior Secured Revolving Credit Facility; and (iii) issued $300.0 million of the Senior Notes. Proceeds from the New Term Loan Credit Facility and the Senior Notes were used to finance the purchase price of the PEP Acquisition and pay down debt. The New Senior Credit Facilities replaced our existing credit facilities. On November 9, 2015, an incremental term loan of $50.0 million was drawn on the New Term Loan Credit Facility and the proceeds were used to repurchase approximately $50.0 million of the Senior Notes. During the year ended December 31, 2015, we were not subject to debt covenants.</w:t>
      </w:r>
    </w:p>
    <w:p>
      <w:pPr>
        <w:spacing w:after="0" w:line="15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New Term Loan Credit Facility requires us to pay quarterly 0.25% of the initial principal amount over the next seven years with the remaining principal amount due on the maturity date. Additionally, as long as LIBOR stays below 1.00%, we will be paying 5.75% per annum in interest. If the LIBOR exceeds 1.00%, then the rate will be the variable LIBOR rate plus an applicable margin of 4.75%. We believe that funds generated from our consolidated operations will provide sufficient cash flow to service these required debt payments.</w:t>
      </w:r>
    </w:p>
    <w:p>
      <w:pPr>
        <w:spacing w:after="0" w:line="1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to allow for additional transit time and customs clearance. Under the Metal Bearing Components Group’s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 Our sales and receivables can be influenced by seasonality due to our relative percentage of European business coupled with many foreign customers slowing production during the month of August. For information concerning our quarterly results of operations for the years ended December 31, 2015 and 2014, see Note 17 of the Notes to Consolidated Financial Statements.</w:t>
      </w:r>
    </w:p>
    <w:p>
      <w:pPr>
        <w:spacing w:after="0" w:line="18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has increased. Various strategies to manage this risk are available to management including producing and selling in local currencies and hedging programs. As of December 31, 2015, no currency hedges were in place. In addition, a strengthening of the U.S. dollar and/or euro against foreign currencies could impair our ability to compete with international competitors for foreign as well as domestic sales.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2015, we expect to spend approximately $40 to $50 million on capital expenditures, the majority of which relate to new or expanded business. We believe that funds generated from operations and borrowings from the credit facilities will be sufficient to finance our capital expenditures and working capital needs through December 2015. We base this assertion on our current availability for borrowing of up to $90.9 million and our forecasted positive cash flow from operations for the year ending December 31, 2015.</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contractual obligations and commercial commitments as of December 31, 2015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40" w:type="dxa"/>
            <w:vAlign w:val="bottom"/>
            <w:gridSpan w:val="3"/>
            <w:vMerge w:val="restart"/>
          </w:tcPr>
          <w:p>
            <w:pPr>
              <w:spacing w:after="0"/>
              <w:rPr>
                <w:sz w:val="20"/>
                <w:szCs w:val="20"/>
                <w:color w:val="auto"/>
              </w:rPr>
            </w:pPr>
            <w:r>
              <w:rPr>
                <w:rFonts w:ascii="Arial" w:cs="Arial" w:eastAsia="Arial" w:hAnsi="Arial"/>
                <w:sz w:val="14"/>
                <w:szCs w:val="14"/>
                <w:color w:val="auto"/>
              </w:rPr>
              <w:t>Certain Contractual Obligations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color w:val="auto"/>
              </w:rPr>
              <w:t>Payments Due by Period</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color w:val="auto"/>
              </w:rPr>
              <w:t>Less than 1 year</w:t>
            </w:r>
          </w:p>
        </w:tc>
        <w:tc>
          <w:tcPr>
            <w:tcW w:w="940" w:type="dxa"/>
            <w:vAlign w:val="bottom"/>
            <w:gridSpan w:val="3"/>
          </w:tcPr>
          <w:p>
            <w:pPr>
              <w:jc w:val="right"/>
              <w:ind w:right="340"/>
              <w:spacing w:after="0" w:line="142" w:lineRule="exact"/>
              <w:rPr>
                <w:sz w:val="20"/>
                <w:szCs w:val="20"/>
                <w:color w:val="auto"/>
              </w:rPr>
            </w:pPr>
            <w:r>
              <w:rPr>
                <w:rFonts w:ascii="Arial" w:cs="Arial" w:eastAsia="Arial" w:hAnsi="Arial"/>
                <w:sz w:val="14"/>
                <w:szCs w:val="14"/>
                <w:color w:val="auto"/>
                <w:w w:val="99"/>
              </w:rPr>
              <w:t>1-3 years</w:t>
            </w:r>
          </w:p>
        </w:tc>
        <w:tc>
          <w:tcPr>
            <w:tcW w:w="40" w:type="dxa"/>
            <w:vAlign w:val="bottom"/>
          </w:tcPr>
          <w:p>
            <w:pPr>
              <w:spacing w:after="0"/>
              <w:rPr>
                <w:sz w:val="12"/>
                <w:szCs w:val="12"/>
                <w:color w:val="auto"/>
              </w:rPr>
            </w:pPr>
          </w:p>
        </w:tc>
        <w:tc>
          <w:tcPr>
            <w:tcW w:w="9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3-5 years</w:t>
            </w: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After 5 years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Long-term debt including</w:t>
            </w:r>
          </w:p>
        </w:tc>
        <w:tc>
          <w:tcPr>
            <w:tcW w:w="44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current portion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820,073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12,852</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$261,677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533,830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Expected interest payments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341,546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58,986</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116,488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109,965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9,973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6,553</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1,200,441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83,290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145,866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378,739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592,546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There are $6.1 million of long-term post-employment benefits, the payment of which depends on various factors including the date of the employee’s termination. Based on the best available information, we believe the vast majority of these payments will be made after 5 years.</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approximately $5.7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13 of the Notes to the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currently have operations in Slovakia, Italy, Netherlands and France, all of which are euro participating countries. Each of our European facilities sell product to customers in many of the euro participating countries. The euro has been adopted as the functional currency at all of our locations in Europe. The functional currency of both NN Asia and Autocam Asia are the Chinese yuan and Autocam, Poland is the zloty.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net sales historically have been seasonal in nature, due to a significant portion of our sales being to European customers who significantly slow production during the month of August. For information concerning our quarterly results of operations for the years ended December 31, 2015 and 2014, see Note 17 of the Notes to the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Changes in Prices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cost base of our operations has been materially affected by steel inflation during recent years. Due to the ability to pass on this steel inflation to our customers the overall financial impact has been minimized. The prices for steel, engineered resins and other raw materials which we purchase are subject to material change. Our typical pricing arrangements with steel suppliers are subject to adjustment every three to six months in the U.S. and annually in Europe for base prices but quarterly for scrap surcharge adjustments. In the past, we have been able to minimize the impact on our operations resulting from the steel price fluctuations by adjusting selling prices to our customers periodically in the event of changes in our raw material costs.</w:t>
      </w:r>
    </w:p>
    <w:p>
      <w:pPr>
        <w:spacing w:after="0" w:line="303"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are exposed to changes in financial market conditions in the normal course of our business due to our outstanding debt balances as well as from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2015, we had $569.0 million outstanding under the variable rate credit facilities and $244.5 million outstanding under the fixed rate 10.25% Senior Notes. At December 31, 2015, a one-percent increase in the interest rate charged on our outstanding variable rate borrowings would result in interest expense increasing annually by approximately $5.6 million.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policy is to manage interest expense using a mix of fixed and variable rate debt. As such, we entered into a $150.0 million interest rate swap on December 16, 2014 that went into effect on December 29, 2015 and will fix our interest rate at 6.966%. The nature and amount of our borrowings may vary as a result of future business requirements, market conditions and other factors.</w:t>
      </w:r>
    </w:p>
    <w:p>
      <w:pPr>
        <w:spacing w:after="0" w:line="18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Our Precision Bearing Components Group invoices and receives payment in currencies other than the U.S. dollar including the euro. Additionally, we participate in various third party and intercompany loans, payables and receivables denominated in currencies other than the U.S. dollar. To help reduce exposure to foreign currency fluctuation, we have incurred debt in euros in the past and have, from time to time, used foreign currency hedges to hedge currency exposures when these exposures meet certain discretionary levels. We did not use any currency hedges in 2015, nor did we hold a position in any foreign currency hedging instruments as of December 31,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ind w:left="920"/>
              <w:spacing w:after="0"/>
              <w:rPr>
                <w:sz w:val="20"/>
                <w:szCs w:val="20"/>
                <w:color w:val="auto"/>
              </w:rPr>
            </w:pPr>
            <w:r>
              <w:rPr>
                <w:rFonts w:ascii="Arial" w:cs="Arial" w:eastAsia="Arial" w:hAnsi="Arial"/>
                <w:sz w:val="18"/>
                <w:szCs w:val="18"/>
                <w:b w:val="1"/>
                <w:bCs w:val="1"/>
                <w:color w:val="auto"/>
              </w:rPr>
              <w:t>Item 8.</w:t>
            </w:r>
          </w:p>
        </w:tc>
        <w:tc>
          <w:tcPr>
            <w:tcW w:w="8100" w:type="dxa"/>
            <w:vAlign w:val="bottom"/>
            <w:gridSpan w:val="7"/>
          </w:tcPr>
          <w:p>
            <w:pPr>
              <w:spacing w:after="0"/>
              <w:rPr>
                <w:sz w:val="20"/>
                <w:szCs w:val="20"/>
                <w:color w:val="auto"/>
              </w:rPr>
            </w:pPr>
            <w:r>
              <w:rPr>
                <w:rFonts w:ascii="Arial" w:cs="Arial" w:eastAsia="Arial" w:hAnsi="Arial"/>
                <w:sz w:val="18"/>
                <w:szCs w:val="18"/>
                <w:b w:val="1"/>
                <w:bCs w:val="1"/>
                <w:color w:val="auto"/>
              </w:rPr>
              <w:t>Financial Statements and Supplementary Data</w:t>
            </w:r>
          </w:p>
        </w:tc>
        <w:tc>
          <w:tcPr>
            <w:tcW w:w="1060" w:type="dxa"/>
            <w:vAlign w:val="bottom"/>
          </w:tcPr>
          <w:p>
            <w:pPr>
              <w:spacing w:after="0"/>
              <w:rPr>
                <w:sz w:val="20"/>
                <w:szCs w:val="20"/>
                <w:color w:val="auto"/>
              </w:rPr>
            </w:pP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w w:val="90"/>
              </w:rPr>
              <w:t>Index to Financial Statements</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7"/>
        </w:trPr>
        <w:tc>
          <w:tcPr>
            <w:tcW w:w="2160" w:type="dxa"/>
            <w:vAlign w:val="bottom"/>
          </w:tcPr>
          <w:p>
            <w:pPr>
              <w:spacing w:after="0"/>
              <w:rPr>
                <w:sz w:val="20"/>
                <w:szCs w:val="20"/>
                <w:color w:val="auto"/>
              </w:rPr>
            </w:pPr>
            <w:r>
              <w:rPr>
                <w:rFonts w:ascii="Arial" w:cs="Arial" w:eastAsia="Arial" w:hAnsi="Arial"/>
                <w:sz w:val="14"/>
                <w:szCs w:val="14"/>
                <w:color w:val="auto"/>
              </w:rPr>
              <w:t>Financial Statements</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69"/>
        </w:trPr>
        <w:tc>
          <w:tcPr>
            <w:tcW w:w="1026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04"/>
        </w:trPr>
        <w:tc>
          <w:tcPr>
            <w:tcW w:w="1026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at December 31, 2015 and 2014</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04"/>
        </w:trPr>
        <w:tc>
          <w:tcPr>
            <w:tcW w:w="94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Statements of Operations and Comprehensive Income (Loss) for the years ended December 31, 2015, 2014 and 2013</w:t>
              </w:r>
            </w:hyperlink>
          </w:p>
        </w:tc>
        <w:tc>
          <w:tcPr>
            <w:tcW w:w="7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85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Consolidated Statements of Changes in Stockholders’ Equity for the years ended December 31, 2015, 2014 and 2013</w:t>
              </w:r>
            </w:hyperlink>
          </w:p>
        </w:tc>
        <w:tc>
          <w:tcPr>
            <w:tcW w:w="1760" w:type="dxa"/>
            <w:vAlign w:val="bottom"/>
            <w:gridSpan w:val="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Cash Flows for the years ended December 31, 2015, 2014 and 2013</w:t>
              </w:r>
            </w:hyperlink>
          </w:p>
        </w:tc>
        <w:tc>
          <w:tcPr>
            <w:tcW w:w="3340" w:type="dxa"/>
            <w:vAlign w:val="bottom"/>
            <w:gridSpan w:val="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Notes to Consolidated Financial Statements</w:t>
              </w:r>
            </w:hyperlink>
          </w:p>
        </w:tc>
        <w:tc>
          <w:tcPr>
            <w:tcW w:w="7100" w:type="dxa"/>
            <w:vAlign w:val="bottom"/>
            <w:gridSpan w:val="6"/>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5"/>
        </w:trPr>
        <w:tc>
          <w:tcPr>
            <w:tcW w:w="2160" w:type="dxa"/>
            <w:vAlign w:val="bottom"/>
          </w:tcPr>
          <w:p>
            <w:pPr>
              <w:spacing w:after="0"/>
              <w:rPr>
                <w:sz w:val="24"/>
                <w:szCs w:val="24"/>
                <w:color w:val="auto"/>
              </w:rPr>
            </w:pPr>
          </w:p>
        </w:tc>
        <w:tc>
          <w:tcPr>
            <w:tcW w:w="4760" w:type="dxa"/>
            <w:vAlign w:val="bottom"/>
            <w:gridSpan w:val="4"/>
          </w:tcPr>
          <w:p>
            <w:pPr>
              <w:jc w:val="right"/>
              <w:ind w:right="1120"/>
              <w:spacing w:after="0"/>
              <w:rPr>
                <w:sz w:val="20"/>
                <w:szCs w:val="20"/>
                <w:color w:val="auto"/>
              </w:rPr>
            </w:pPr>
            <w:r>
              <w:rPr>
                <w:rFonts w:ascii="Arial" w:cs="Arial" w:eastAsia="Arial" w:hAnsi="Arial"/>
                <w:sz w:val="18"/>
                <w:szCs w:val="18"/>
                <w:color w:val="auto"/>
              </w:rPr>
              <w:t>37</w:t>
            </w: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income and comprehensive income (loss), of changes in stockholder’s equity and of cash flows present fairly, in all material respects, the financial position of NN, Inc. and its subsidiaries at December 31, 2015 and December 31,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Precision Engineered Products (“PEP”) and Caprock Manufacturing, Inc. and Caprock Enclosures, LLC (collectively referred to as “Caprock”) from its assessment of internal control over financial reporting as of December 31, 2015 as they were acquired by the Company in purchase business combinations during 2015. We have also excluded PEP and Caprock from our audit of internal control over financial reporting. PEP and Caprock are wholly-owned subsidiaries, whose total assets and total revenues represent approximately 9% and 7% (Caprock is less than 1% of each metric), respectively, of the related consolidated financial statement amounts as of and for the year ended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15,087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123,005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119,836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deferred tax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280,181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4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318,968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278,442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449,898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282,169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38,462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1,393,526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712,713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69,101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21,125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11,714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obligation under capital lease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21,275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137,598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480" w:type="dxa"/>
            <w:vAlign w:val="bottom"/>
            <w:gridSpan w:val="2"/>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117,459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808,359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Accrued post-employment benefits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1,079,645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539,014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4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15)</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9"/>
              </w:rPr>
              <w:t>Common stock - $0.01 par value, authorized 45,000 shares, issued and outstanding 26,849 in 2015 and 18,983 in 2014</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277,582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55,151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(19,153)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313,881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1,393,526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712,713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$ 667,280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488,601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373,206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525,993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384,889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295,136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11,682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1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5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Write-off of unamortized debt issuance costs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18,673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Income before provision (benefit) for income taxes and share of net income from joint venture</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(22,950)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(10,518)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Share of net income (loss) from joint venture</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331"/>
        </w:trPr>
        <w:tc>
          <w:tcPr>
            <w:tcW w:w="85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hedge</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1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(21,936)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(17,731)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(31,951)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21,077</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Basic income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00</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17,260</w:t>
            </w:r>
          </w:p>
        </w:tc>
        <w:tc>
          <w:tcPr>
            <w:tcW w:w="0" w:type="dxa"/>
            <w:vAlign w:val="bottom"/>
          </w:tcPr>
          <w:p>
            <w:pPr>
              <w:spacing w:after="0"/>
              <w:rPr>
                <w:sz w:val="1"/>
                <w:szCs w:val="1"/>
                <w:color w:val="auto"/>
              </w:rPr>
            </w:pPr>
          </w:p>
        </w:tc>
      </w:tr>
      <w:tr>
        <w:trPr>
          <w:trHeight w:val="20"/>
        </w:trPr>
        <w:tc>
          <w:tcPr>
            <w:tcW w:w="85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40" w:type="dxa"/>
            <w:vAlign w:val="bottom"/>
            <w:gridSpan w:val="2"/>
          </w:tcPr>
          <w:p>
            <w:pPr>
              <w:spacing w:after="0"/>
              <w:rPr>
                <w:sz w:val="20"/>
                <w:szCs w:val="20"/>
                <w:color w:val="auto"/>
              </w:rPr>
            </w:pPr>
            <w:r>
              <w:rPr>
                <w:rFonts w:ascii="Arial" w:cs="Arial" w:eastAsia="Arial" w:hAnsi="Arial"/>
                <w:sz w:val="18"/>
                <w:szCs w:val="18"/>
                <w:color w:val="auto"/>
              </w:rPr>
              <w:t>Cash dividends per common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7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0"/>
                <w:szCs w:val="10"/>
                <w:color w:val="auto"/>
              </w:rPr>
            </w:pPr>
          </w:p>
        </w:tc>
        <w:tc>
          <w:tcPr>
            <w:tcW w:w="86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Non-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value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capital</w:t>
            </w:r>
          </w:p>
        </w:tc>
        <w:tc>
          <w:tcPr>
            <w:tcW w:w="1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earnings</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17,044</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9"/>
              </w:rPr>
              <w:t>$170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56,880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$51,880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17,178</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(3,129)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Stock option expense</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option exercises</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496</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Restricted stock compensation expense</w:t>
            </w: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20" w:type="dxa"/>
            <w:vAlign w:val="bottom"/>
            <w:gridSpan w:val="2"/>
          </w:tcPr>
          <w:p>
            <w:pPr>
              <w:spacing w:after="0"/>
              <w:rPr>
                <w:sz w:val="20"/>
                <w:szCs w:val="20"/>
                <w:color w:val="auto"/>
              </w:rPr>
            </w:pPr>
            <w:r>
              <w:rPr>
                <w:rFonts w:ascii="Arial" w:cs="Arial" w:eastAsia="Arial" w:hAnsi="Arial"/>
                <w:sz w:val="18"/>
                <w:szCs w:val="18"/>
                <w:color w:val="auto"/>
              </w:rPr>
              <w:t>Balance, December 31, 2013</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63,126</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$65,929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23,529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8,217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Dividends declared</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(5,131)</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 expense</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Shares issued for option exercises</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w w:val="86"/>
              </w:rPr>
              <w:t>152</w:t>
            </w:r>
          </w:p>
        </w:tc>
        <w:tc>
          <w:tcPr>
            <w:tcW w:w="16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acquisition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Restricted stock compensation expense</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w w:val="86"/>
              </w:rPr>
              <w:t>114</w:t>
            </w:r>
          </w:p>
        </w:tc>
        <w:tc>
          <w:tcPr>
            <w:tcW w:w="16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hedge</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20" w:type="dxa"/>
            <w:vAlign w:val="bottom"/>
            <w:gridSpan w:val="2"/>
          </w:tcPr>
          <w:p>
            <w:pPr>
              <w:spacing w:after="0"/>
              <w:rPr>
                <w:sz w:val="20"/>
                <w:szCs w:val="20"/>
                <w:color w:val="auto"/>
              </w:rPr>
            </w:pPr>
            <w:r>
              <w:rPr>
                <w:rFonts w:ascii="Arial" w:cs="Arial" w:eastAsia="Arial" w:hAnsi="Arial"/>
                <w:sz w:val="18"/>
                <w:szCs w:val="18"/>
                <w:color w:val="auto"/>
              </w:rPr>
              <w:t>Balance, December 31, 2014</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18,983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99,095</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$69,015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5,367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32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$173,699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(7,431)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Dividends declared</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(6,433)</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 expense</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Shares issued for option exercises</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w w:val="86"/>
              </w:rPr>
              <w:t>179</w:t>
            </w:r>
          </w:p>
        </w:tc>
        <w:tc>
          <w:tcPr>
            <w:tcW w:w="16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in public offering</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7,590</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172,976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Restricted stock compensation expense</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w w:val="86"/>
              </w:rPr>
              <w:t>115</w:t>
            </w:r>
          </w:p>
        </w:tc>
        <w:tc>
          <w:tcPr>
            <w:tcW w:w="16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withheld to cover tax withholdings</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hedge</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Balance, December 31, 2015</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26,849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277,582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55,151</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32</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313,881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8,217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44,482</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22,146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Debt Issuance costs write-off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18,673</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 net income in excess of cash received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(Gain) loss on disposals of property, plant and equipment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2,595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(16,878)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Non-cash restructuring and impairment charges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7,268</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(3,283)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(9,836)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(4,828)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(6,748)</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9,497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30,708</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(38,553)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(27,602)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Cash paid to acquire businesses, net of cash received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(628,281)</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(257,664)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contributions to joint venture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Dividend received from joint venture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by investing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(665,838)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(281,608)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(15,250)</w:t>
            </w:r>
          </w:p>
        </w:tc>
        <w:tc>
          <w:tcPr>
            <w:tcW w:w="0" w:type="dxa"/>
            <w:vAlign w:val="bottom"/>
          </w:tcPr>
          <w:p>
            <w:pPr>
              <w:spacing w:after="0"/>
              <w:rPr>
                <w:sz w:val="1"/>
                <w:szCs w:val="1"/>
                <w:color w:val="auto"/>
              </w:rPr>
            </w:pPr>
          </w:p>
        </w:tc>
      </w:tr>
      <w:tr>
        <w:trPr>
          <w:trHeight w:val="331"/>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issue costs paid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(35,189)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(9,380)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(6,433)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(5,131)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long-term debt,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885,000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344,750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Repayment of long-term debt,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(401,438)</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(40,880)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(repayment) of short-term debt,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Proceeds from shares issued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173,052</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Payment for acquisition of non-controlling interest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(2,528)</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1060"/>
              <w:spacing w:after="0"/>
              <w:rPr>
                <w:sz w:val="20"/>
                <w:szCs w:val="20"/>
                <w:color w:val="auto"/>
              </w:rPr>
            </w:pPr>
            <w:r>
              <w:rPr>
                <w:rFonts w:ascii="Arial" w:cs="Arial" w:eastAsia="Arial" w:hAnsi="Arial"/>
                <w:sz w:val="18"/>
                <w:szCs w:val="18"/>
                <w:color w:val="auto"/>
              </w:rPr>
              <w:t>Net cash provided by (used by) financing activities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611,851</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286,973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(32,291)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exchange rate changes on cash flows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(22,230)</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34,278</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37,317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37,317</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340"/>
              <w:spacing w:after="0" w:line="201" w:lineRule="exact"/>
              <w:rPr>
                <w:sz w:val="20"/>
                <w:szCs w:val="20"/>
                <w:color w:val="auto"/>
              </w:rPr>
            </w:pPr>
            <w:r>
              <w:rPr>
                <w:rFonts w:ascii="Arial" w:cs="Arial" w:eastAsia="Arial" w:hAnsi="Arial"/>
                <w:sz w:val="18"/>
                <w:szCs w:val="18"/>
                <w:color w:val="auto"/>
                <w:w w:val="96"/>
              </w:rPr>
              <w:t>Compensation expense for stock awards, ($2,396 in 2015, $1,321 in 2014, and $802 in 2013) 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w w:val="93"/>
              </w:rPr>
              <w:t>option expense ($915 in 2015, $1,274 in 2014, and $1,437 in 2013), performance based stock units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($393 in 2015) included in stockholders’ equity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3,704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2,595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in acquisition of Autocam</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31,717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Cash paid for interest and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Income taxes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6,377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5,747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w:t>
      </w:r>
    </w:p>
    <w:p>
      <w:pPr>
        <w:spacing w:after="0" w:line="13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940" w:right="20"/>
        <w:spacing w:after="0" w:line="259" w:lineRule="auto"/>
        <w:rPr>
          <w:sz w:val="20"/>
          <w:szCs w:val="20"/>
          <w:color w:val="auto"/>
        </w:rPr>
      </w:pPr>
      <w:r>
        <w:rPr>
          <w:rFonts w:ascii="Arial" w:cs="Arial" w:eastAsia="Arial" w:hAnsi="Arial"/>
          <w:sz w:val="18"/>
          <w:szCs w:val="18"/>
          <w:color w:val="auto"/>
        </w:rPr>
        <w:t>NN, Inc. is a diversified industrial company and a leading global manufacturer of high precision bearing components, industrial plastic products and precision metal components to a variety of markets on a global basis. We have 42 manufacturing plants in North America, Western Europe, Eastern Europe, South America and Asia. As used in this Annual Report on Form 10-K, the terms “NN,” “the Company,” “we,” “our,” or “us” mean NN, Inc. and its subsidiaries.</w:t>
      </w:r>
    </w:p>
    <w:p>
      <w:pPr>
        <w:spacing w:after="0" w:line="33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We consider all highly liquid investments with an original maturity of three months or less as cash equivalents.</w:t>
      </w:r>
    </w:p>
    <w:p>
      <w:pPr>
        <w:spacing w:after="0" w:line="37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1940"/>
        <w:spacing w:after="0" w:line="273" w:lineRule="auto"/>
        <w:rPr>
          <w:sz w:val="20"/>
          <w:szCs w:val="20"/>
          <w:color w:val="auto"/>
        </w:rPr>
      </w:pPr>
      <w:r>
        <w:rPr>
          <w:rFonts w:ascii="Arial" w:cs="Arial" w:eastAsia="Arial" w:hAnsi="Arial"/>
          <w:sz w:val="17"/>
          <w:szCs w:val="17"/>
          <w:color w:val="auto"/>
        </w:rPr>
        <w:t>Inventories are stated at the lower of cost or market. Cost is determined using the average cost method which approximates the first in first out method. Our policy is to expense abnormal amounts of idle facility expense, freight, handling cost, and waste included in cost of products sold. In addition, we allocate fixed production overheads based on the normal production capacity of our facilities. Inventory valuations were developed using normalized production capacities for each of our manufacturing locations and the costs from excess capacity or under-utilization of fixed production overheads were expensed in the period incurred and are not included as a component of inventory valuation.</w:t>
      </w:r>
    </w:p>
    <w:p>
      <w:pPr>
        <w:spacing w:after="0" w:line="70" w:lineRule="exact"/>
        <w:rPr>
          <w:sz w:val="20"/>
          <w:szCs w:val="20"/>
          <w:color w:val="auto"/>
        </w:rPr>
      </w:pPr>
    </w:p>
    <w:p>
      <w:pPr>
        <w:ind w:left="1940" w:right="60"/>
        <w:spacing w:after="0" w:line="264"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This activity is principally related to our Autocam Precision Components and Precision Engineered Products Groups. These inventories are carried at the lower of cost or market.</w:t>
      </w:r>
    </w:p>
    <w:p>
      <w:pPr>
        <w:spacing w:after="0" w:line="32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1940" w:right="60"/>
        <w:spacing w:after="0" w:line="254" w:lineRule="auto"/>
        <w:rPr>
          <w:sz w:val="20"/>
          <w:szCs w:val="20"/>
          <w:color w:val="auto"/>
        </w:rPr>
      </w:pPr>
      <w:r>
        <w:rPr>
          <w:rFonts w:ascii="Arial" w:cs="Arial" w:eastAsia="Arial" w:hAnsi="Arial"/>
          <w:sz w:val="18"/>
          <w:szCs w:val="18"/>
          <w:color w:val="auto"/>
        </w:rPr>
        <w:t>Property, plant and equipment are stated at cost less accumulated depreciation. Assets to be disposed of are stated at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consolidated Statements of Operations and comprehensive income. We review the carrying values of long-lived assets for impairment whenever events or changes in circumstances indicate the carrying amount of an asset may not be recoverable. Property, plant and equipment includes tools, molds and dies principally used in our Autocam Precision Components and Precision Engineered Products Groups that are our property.</w:t>
      </w:r>
    </w:p>
    <w:p>
      <w:pPr>
        <w:spacing w:after="0" w:line="84" w:lineRule="exact"/>
        <w:rPr>
          <w:sz w:val="20"/>
          <w:szCs w:val="20"/>
          <w:color w:val="auto"/>
        </w:rPr>
      </w:pPr>
    </w:p>
    <w:p>
      <w:pPr>
        <w:jc w:val="both"/>
        <w:ind w:left="1940" w:right="20"/>
        <w:spacing w:after="0" w:line="302" w:lineRule="auto"/>
        <w:rPr>
          <w:sz w:val="20"/>
          <w:szCs w:val="20"/>
          <w:color w:val="auto"/>
        </w:rPr>
      </w:pPr>
      <w:r>
        <w:rPr>
          <w:rFonts w:ascii="Arial" w:cs="Arial" w:eastAsia="Arial" w:hAnsi="Arial"/>
          <w:sz w:val="16"/>
          <w:szCs w:val="16"/>
          <w:color w:val="auto"/>
        </w:rPr>
        <w:t>Depreciation is provided on the straight-line method over the estimated useful lives of the depreciable assets for financial reporting purposes. For leasehold improvements and buildings under capital lease, we depreciate these over the shorter of useful lives or the lease term. In the event we abandon and cease to use certain property, plant, and equipment, depreciation estimates are revised and, in most cases, depreciation expense will be accelerated to reflect the shortened useful life of the asset.</w:t>
      </w:r>
    </w:p>
    <w:p>
      <w:pPr>
        <w:spacing w:after="0" w:line="299"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940" w:right="60"/>
        <w:spacing w:after="0" w:line="297" w:lineRule="auto"/>
        <w:rPr>
          <w:sz w:val="20"/>
          <w:szCs w:val="20"/>
          <w:color w:val="auto"/>
        </w:rPr>
      </w:pPr>
      <w:r>
        <w:rPr>
          <w:rFonts w:ascii="Arial" w:cs="Arial" w:eastAsia="Arial" w:hAnsi="Arial"/>
          <w:sz w:val="16"/>
          <w:szCs w:val="16"/>
          <w:color w:val="auto"/>
        </w:rPr>
        <w:t>We recognize revenues based on the stated shipping terms with customers when these terms are satisfied and the risks of ownership are transferred to the customers. We have an inventory management program for certain Precision Bearing Components Group customers whereby revenue is recognized when products are used by customers from consigned stock, rather than at the time of shipment. Under both circumstances, revenue is recognized when persuasive evidence of an arrangement exists, delivery has occurred, the sellers’ price is fixed and determinable and collectability is reasonably assured.</w:t>
      </w:r>
    </w:p>
    <w:p>
      <w:pPr>
        <w:spacing w:after="0" w:line="303"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1940" w:right="220"/>
        <w:spacing w:after="0" w:line="264" w:lineRule="auto"/>
        <w:rPr>
          <w:sz w:val="20"/>
          <w:szCs w:val="20"/>
          <w:color w:val="auto"/>
        </w:rPr>
      </w:pPr>
      <w:r>
        <w:rPr>
          <w:rFonts w:ascii="Arial" w:cs="Arial" w:eastAsia="Arial" w:hAnsi="Arial"/>
          <w:sz w:val="18"/>
          <w:szCs w:val="18"/>
          <w:color w:val="auto"/>
        </w:rPr>
        <w:t>Accounts receivable are recorded upon recognition of a sale of goods and ownership and risk of loss is assumed by the customer. Substantially all of our accounts receivable are due primarily from the core served markets. In establishing allowances for doubtful accounts, we perform credit evaluations of our customers,</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1940" w:right="80"/>
        <w:spacing w:after="0" w:line="312" w:lineRule="auto"/>
        <w:rPr>
          <w:sz w:val="20"/>
          <w:szCs w:val="20"/>
          <w:color w:val="auto"/>
        </w:rPr>
      </w:pPr>
      <w:r>
        <w:rPr>
          <w:rFonts w:ascii="Arial" w:cs="Arial" w:eastAsia="Arial" w:hAnsi="Arial"/>
          <w:sz w:val="16"/>
          <w:szCs w:val="16"/>
          <w:color w:val="auto"/>
        </w:rPr>
        <w:t>considering numerous inputs when available including the customers’ financial position, past payment history, relevant industry trends, cash flows, management capability, historical loss experience and economic conditions and prospects. Accounts receivable are written off or allowances established when considered to be uncollectible or at risk of being uncollectible, respectively.</w:t>
      </w:r>
    </w:p>
    <w:p>
      <w:pPr>
        <w:spacing w:after="0" w:line="29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940" w:right="40"/>
        <w:spacing w:after="0" w:line="270"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not been made for income taxes on unremitted earnings of foreign subsidiaries as these earnings are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w:t>
      </w:r>
    </w:p>
    <w:p>
      <w:pPr>
        <w:spacing w:after="0" w:line="32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121" w:lineRule="exact"/>
        <w:rPr>
          <w:sz w:val="20"/>
          <w:szCs w:val="20"/>
          <w:color w:val="auto"/>
        </w:rPr>
      </w:pPr>
    </w:p>
    <w:p>
      <w:pPr>
        <w:jc w:val="both"/>
        <w:ind w:left="1940" w:right="60"/>
        <w:spacing w:after="0" w:line="342" w:lineRule="auto"/>
        <w:rPr>
          <w:sz w:val="20"/>
          <w:szCs w:val="20"/>
          <w:color w:val="auto"/>
        </w:rPr>
      </w:pPr>
      <w:r>
        <w:rPr>
          <w:rFonts w:ascii="Arial" w:cs="Arial" w:eastAsia="Arial" w:hAnsi="Arial"/>
          <w:sz w:val="16"/>
          <w:szCs w:val="16"/>
          <w:color w:val="auto"/>
        </w:rPr>
        <w:t>Basic income per share reflects reported earnings divided by the weighted average number of common shares outstanding. Diluted income per share include the effect of dilutive stock options and the respective tax benefits, unless inclusion would not be dilutive.</w:t>
      </w:r>
    </w:p>
    <w:p>
      <w:pPr>
        <w:spacing w:after="0" w:line="268"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21" w:lineRule="exact"/>
        <w:rPr>
          <w:sz w:val="20"/>
          <w:szCs w:val="20"/>
          <w:color w:val="auto"/>
        </w:rPr>
      </w:pPr>
    </w:p>
    <w:p>
      <w:pPr>
        <w:ind w:left="1940"/>
        <w:spacing w:after="0" w:line="279" w:lineRule="auto"/>
        <w:rPr>
          <w:sz w:val="20"/>
          <w:szCs w:val="20"/>
          <w:color w:val="auto"/>
        </w:rPr>
      </w:pPr>
      <w:r>
        <w:rPr>
          <w:rFonts w:ascii="Arial" w:cs="Arial" w:eastAsia="Arial" w:hAnsi="Arial"/>
          <w:sz w:val="17"/>
          <w:szCs w:val="17"/>
          <w:color w:val="auto"/>
        </w:rPr>
        <w:t>The cost of stock options, stock awards and performance based stock units are expensed as compensation expense over the vesting periods based on the fair value at the grant date. (See Note 9 of the Notes to the Consolidated Financial Statements) We use the Black Scholes financial pricing model for our stock options, and a Monte Carlo simulation for the performance based stock units to determine the fair value as these awards as they are not traded in open markets.</w:t>
      </w:r>
    </w:p>
    <w:p>
      <w:pPr>
        <w:spacing w:after="0" w:line="63" w:lineRule="exact"/>
        <w:rPr>
          <w:sz w:val="20"/>
          <w:szCs w:val="20"/>
          <w:color w:val="auto"/>
        </w:rPr>
      </w:pPr>
    </w:p>
    <w:p>
      <w:pPr>
        <w:ind w:left="1940" w:right="1020"/>
        <w:spacing w:after="0" w:line="308" w:lineRule="auto"/>
        <w:rPr>
          <w:sz w:val="20"/>
          <w:szCs w:val="20"/>
          <w:color w:val="auto"/>
        </w:rPr>
      </w:pPr>
      <w:r>
        <w:rPr>
          <w:rFonts w:ascii="Arial" w:cs="Arial" w:eastAsia="Arial" w:hAnsi="Arial"/>
          <w:sz w:val="17"/>
          <w:szCs w:val="17"/>
          <w:color w:val="auto"/>
        </w:rPr>
        <w:t>We account for stock awards by recognizing compensation expense ratably over the vesting period as specified in the award. Compensation expense to be recognized is based on the stock price at date of grant.</w:t>
      </w:r>
    </w:p>
    <w:p>
      <w:pPr>
        <w:spacing w:after="0" w:line="29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1940" w:right="20"/>
        <w:spacing w:after="0" w:line="255" w:lineRule="auto"/>
        <w:rPr>
          <w:sz w:val="20"/>
          <w:szCs w:val="20"/>
          <w:color w:val="auto"/>
        </w:rPr>
      </w:pPr>
      <w:r>
        <w:rPr>
          <w:rFonts w:ascii="Arial" w:cs="Arial" w:eastAsia="Arial" w:hAnsi="Arial"/>
          <w:sz w:val="18"/>
          <w:szCs w:val="18"/>
          <w:color w:val="auto"/>
        </w:rPr>
        <w:t>Our consolidated financial statements include the accounts of NN, Inc. and its subsidiaries. All of our subsidiaries are 100% owned (except for RFK which we own 99.7% and our Chinese joint venture noted below) and all are included in the consolidated financial statements for the years end December 31, 2015, 2014 and 2013. All significant inter-company profits, transactions, and balances have been eliminated in consolidation. With the acquisition of Autocam Corporation (see Note 2), we acquired a 49% interest in a Chinese joint venture. This joint venture is not consolidated within the financial statements of NN, Inc. and is accounted for under the equity method (see Note 16).</w:t>
      </w:r>
    </w:p>
    <w:p>
      <w:pPr>
        <w:spacing w:after="0" w:line="338"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1940" w:right="20"/>
        <w:spacing w:after="0" w:line="290" w:lineRule="auto"/>
        <w:rPr>
          <w:sz w:val="20"/>
          <w:szCs w:val="20"/>
          <w:color w:val="auto"/>
        </w:rPr>
      </w:pPr>
      <w:r>
        <w:rPr>
          <w:rFonts w:ascii="Arial" w:cs="Arial" w:eastAsia="Arial" w:hAnsi="Arial"/>
          <w:sz w:val="16"/>
          <w:szCs w:val="16"/>
          <w:color w:val="auto"/>
        </w:rPr>
        <w:t>Assets and liabilities of our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and accumulated other comprehensive income within stockholders’ equity. In addition,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excluding intercompany loan transactions, are expensed in either cost of products sold or selling, general and administrative lines in the Consolidated Statements of Operations and Comprehensive Income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jc w:val="both"/>
        <w:ind w:left="1940" w:right="420"/>
        <w:spacing w:after="0" w:line="264" w:lineRule="auto"/>
        <w:rPr>
          <w:sz w:val="20"/>
          <w:szCs w:val="20"/>
          <w:color w:val="auto"/>
        </w:rPr>
      </w:pPr>
      <w:r>
        <w:rPr>
          <w:rFonts w:ascii="Arial" w:cs="Arial" w:eastAsia="Arial" w:hAnsi="Arial"/>
          <w:sz w:val="18"/>
          <w:szCs w:val="18"/>
          <w:color w:val="auto"/>
        </w:rPr>
        <w:t>(Loss) as incurred and were immaterial to the years ended December 31, 2015, 2014 and 2013. Transaction gains or losses on intercompany loan transactions are recognized in the other income, net line in the Consolidated Statements of Operations and Comprehensive Income (Loss) as incurred.</w:t>
      </w:r>
    </w:p>
    <w:p>
      <w:pPr>
        <w:spacing w:after="0" w:line="32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Indefinite Lived Intangible Assets</w:t>
      </w:r>
    </w:p>
    <w:p>
      <w:pPr>
        <w:spacing w:after="0" w:line="121" w:lineRule="exact"/>
        <w:rPr>
          <w:sz w:val="20"/>
          <w:szCs w:val="20"/>
          <w:color w:val="auto"/>
        </w:rPr>
      </w:pPr>
    </w:p>
    <w:p>
      <w:pPr>
        <w:ind w:left="1940"/>
        <w:spacing w:after="0" w:line="269" w:lineRule="auto"/>
        <w:rPr>
          <w:sz w:val="20"/>
          <w:szCs w:val="20"/>
          <w:color w:val="auto"/>
        </w:rPr>
      </w:pPr>
      <w:r>
        <w:rPr>
          <w:rFonts w:ascii="Arial" w:cs="Arial" w:eastAsia="Arial" w:hAnsi="Arial"/>
          <w:sz w:val="17"/>
          <w:szCs w:val="17"/>
          <w:color w:val="auto"/>
        </w:rPr>
        <w:t>We recognize the excess of the purchase price of an acquired entity over the fair value of the net identifiable assets as goodwill. Goodwill is tested for impairment on an annual basis as of October 1 and between annual tests if a triggering event occurs. The impairment procedures are performed at the reporting unit level for the reporting units that have goodwill. In September 2011, the FASB issued a revised accounting standard, intended to reduce the cost and complexity of the annual goodwill impairment test by providing entities an option to perform a “qualitative” assessment to determine whether further impairment testing is necessary. Specifically, an entity has the option to first assess qualitative factors to determine whether it is necessary to perform the current two-step test. If an entity believes, as a result of its qualitative assessment, that it is more-likely-than-not that the fair value of a reporting unit is less than its carrying amount, the quantitative impairment test is required. Otherwise, no further testing is required. For the years ended, December 31, 2015 and 2014, we determined it was more appropriate to perform a full step 1 goodwill test. The decision to perform a qualitative assessment or a complete step 1 analysis is an annual decision made by management. Based on the results of the step 1 analysis fair value of the reporting units exceeded the carrying value of the reporting units at December 31, 2015 and 2014.</w:t>
      </w:r>
    </w:p>
    <w:p>
      <w:pPr>
        <w:spacing w:after="0" w:line="72" w:lineRule="exact"/>
        <w:rPr>
          <w:sz w:val="20"/>
          <w:szCs w:val="20"/>
          <w:color w:val="auto"/>
        </w:rPr>
      </w:pPr>
    </w:p>
    <w:p>
      <w:pPr>
        <w:ind w:left="1940" w:right="60"/>
        <w:spacing w:after="0" w:line="271" w:lineRule="auto"/>
        <w:rPr>
          <w:sz w:val="20"/>
          <w:szCs w:val="20"/>
          <w:color w:val="auto"/>
        </w:rPr>
      </w:pPr>
      <w:r>
        <w:rPr>
          <w:rFonts w:ascii="Arial" w:cs="Arial" w:eastAsia="Arial" w:hAnsi="Arial"/>
          <w:sz w:val="17"/>
          <w:szCs w:val="17"/>
          <w:color w:val="auto"/>
        </w:rPr>
        <w:t>If the qualitative assessment indicates it is more likely than not that the fair value is less than the carrying value, GAAP prescribes a two-step process for testing for goodwill impairments. The first step is to determine if the carrying value of the reporting unit with goodwill is less than the related fair value of the reporting unit. We consider three main approaches to value (cost, market and income) the fair value of the reporting unit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 tested regarding the level of risk and end markets served. Even though we do use other observable inputs (Level 2 inputs) the calculation of fair value for goodwill would be most consistent with Level 3 inputs.</w:t>
      </w:r>
    </w:p>
    <w:p>
      <w:pPr>
        <w:spacing w:after="0" w:line="71" w:lineRule="exact"/>
        <w:rPr>
          <w:sz w:val="20"/>
          <w:szCs w:val="20"/>
          <w:color w:val="auto"/>
        </w:rPr>
      </w:pPr>
    </w:p>
    <w:p>
      <w:pPr>
        <w:ind w:left="1940" w:right="340"/>
        <w:spacing w:after="0" w:line="255" w:lineRule="auto"/>
        <w:rPr>
          <w:sz w:val="20"/>
          <w:szCs w:val="20"/>
          <w:color w:val="auto"/>
        </w:rPr>
      </w:pPr>
      <w:r>
        <w:rPr>
          <w:rFonts w:ascii="Arial" w:cs="Arial" w:eastAsia="Arial" w:hAnsi="Arial"/>
          <w:sz w:val="18"/>
          <w:szCs w:val="18"/>
          <w:color w:val="auto"/>
        </w:rPr>
        <w:t>If the carrying value of the reporting unit including goodwill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85" w:lineRule="exact"/>
        <w:rPr>
          <w:sz w:val="20"/>
          <w:szCs w:val="20"/>
          <w:color w:val="auto"/>
        </w:rPr>
      </w:pPr>
    </w:p>
    <w:p>
      <w:pPr>
        <w:ind w:left="1940" w:right="200"/>
        <w:spacing w:after="0" w:line="264" w:lineRule="auto"/>
        <w:rPr>
          <w:sz w:val="20"/>
          <w:szCs w:val="20"/>
          <w:color w:val="auto"/>
        </w:rPr>
      </w:pPr>
      <w:r>
        <w:rPr>
          <w:rFonts w:ascii="Arial" w:cs="Arial" w:eastAsia="Arial" w:hAnsi="Arial"/>
          <w:sz w:val="18"/>
          <w:szCs w:val="18"/>
          <w:color w:val="auto"/>
        </w:rPr>
        <w:t>We base our fair value estimates, in large part, on management business plans and projected financial information which are subject to a high degree of management judgment and complexity. Actual results may differ from projections and the differences may be material.</w:t>
      </w:r>
    </w:p>
    <w:p>
      <w:pPr>
        <w:spacing w:after="0" w:line="32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Long-Lived Assets to Be Disposed Of</w:t>
      </w:r>
    </w:p>
    <w:p>
      <w:pPr>
        <w:spacing w:after="0" w:line="121" w:lineRule="exact"/>
        <w:rPr>
          <w:sz w:val="20"/>
          <w:szCs w:val="20"/>
          <w:color w:val="auto"/>
        </w:rPr>
      </w:pPr>
    </w:p>
    <w:p>
      <w:pPr>
        <w:ind w:left="1940" w:right="120"/>
        <w:spacing w:after="0" w:line="291" w:lineRule="auto"/>
        <w:rPr>
          <w:sz w:val="20"/>
          <w:szCs w:val="20"/>
          <w:color w:val="auto"/>
        </w:rPr>
      </w:pPr>
      <w:r>
        <w:rPr>
          <w:rFonts w:ascii="Arial" w:cs="Arial" w:eastAsia="Arial" w:hAnsi="Arial"/>
          <w:sz w:val="16"/>
          <w:szCs w:val="16"/>
          <w:color w:val="auto"/>
        </w:rPr>
        <w:t>Long-lived tangible and intangible assets subject to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and intangible asset is evaluated by comparing its carrying value to the future estimated undiscounted cash flows expected to be generated by the asset or asset group. If the asset is not recoverable the asset is considered impaired and adjusted to fair value which is then depreciated/amortized over its remaining useful life. Assets to be disposed of are carried at the lesser of carrying value or fair value less costs of disposal.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left="1940" w:right="2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3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940" w:right="160"/>
        <w:spacing w:after="0" w:line="273" w:lineRule="auto"/>
        <w:rPr>
          <w:sz w:val="20"/>
          <w:szCs w:val="20"/>
          <w:color w:val="auto"/>
        </w:rPr>
      </w:pPr>
      <w:r>
        <w:rPr>
          <w:rFonts w:ascii="Arial" w:cs="Arial" w:eastAsia="Arial" w:hAnsi="Arial"/>
          <w:sz w:val="17"/>
          <w:szCs w:val="17"/>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323"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1940"/>
        <w:spacing w:after="0" w:line="286" w:lineRule="auto"/>
        <w:rPr>
          <w:sz w:val="20"/>
          <w:szCs w:val="20"/>
          <w:color w:val="auto"/>
        </w:rPr>
      </w:pPr>
      <w:r>
        <w:rPr>
          <w:rFonts w:ascii="Arial" w:cs="Arial" w:eastAsia="Arial" w:hAnsi="Arial"/>
          <w:sz w:val="16"/>
          <w:szCs w:val="16"/>
          <w:color w:val="auto"/>
        </w:rPr>
        <w:t>In May 2014, the Financial Accounting Standards Board (“FASB”) and International Accounting Standards Board jointly issued new principles-based accounting guidance for revenue recognition that will supersede virtually all existing revenue guidance, Revenue from Contracts with Customers (Topic 606). The core principle of this guidance is that an entity should recognize revenue to depict the transfer of promised goods or services to customers in an amount that reflects the consideration to which the entity expects to be entitled in exchange for those goods and services. To achieve the core principle, the guidance establishes the following five steps: 1) identify the contract(s) with a customer, 2) identify the performance obligation in the contract, 3) determine the transaction price, 4) allocate the transaction price to the performance obligations in the contract, and 5) recognize revenue when (or as) the entity satisfies a performance obligation. The guidance also details the accounting treatment for costs to obtain or fulfill a contract. Lastly, disclosure requirements have been enhanced to provide sufficient information to enable users of financial statements to understand the nature, amount, timing, and uncertainty of revenue and cash flows arising from contracts with customers. This guidance is effective for annual reporting periods beginning after December 15, 2017, including interim periods within that reporting period. Early application is not permitted. We are currently evaluating the impact this new guidance is expected to have on our financial position or results of operations and related disclosures.</w:t>
      </w:r>
    </w:p>
    <w:p>
      <w:pPr>
        <w:spacing w:after="0" w:line="67" w:lineRule="exact"/>
        <w:rPr>
          <w:sz w:val="20"/>
          <w:szCs w:val="20"/>
          <w:color w:val="auto"/>
        </w:rPr>
      </w:pPr>
    </w:p>
    <w:p>
      <w:pPr>
        <w:ind w:left="1940" w:right="60"/>
        <w:spacing w:after="0" w:line="287" w:lineRule="auto"/>
        <w:rPr>
          <w:sz w:val="20"/>
          <w:szCs w:val="20"/>
          <w:color w:val="auto"/>
        </w:rPr>
      </w:pPr>
      <w:r>
        <w:rPr>
          <w:rFonts w:ascii="Arial" w:cs="Arial" w:eastAsia="Arial" w:hAnsi="Arial"/>
          <w:sz w:val="16"/>
          <w:szCs w:val="16"/>
          <w:color w:val="auto"/>
        </w:rPr>
        <w:t>In August 2014, the FASB issued Accounting Standards Update (“ASU”) No. 2014-15, Presentation of Financial Statements - Going Concern (Subtopic 205-40), which provides guidance about management’s responsibility to evaluate whether there is substantial doubt about an entity’s ability to continue as a going concern and to provide related footnote disclosures. The amendments require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is effective for annual reporting periods beginning after December 15, 2016, including interim periods within that reporting period and early adoption is permitted. We are currently evaluating the impact this new guidance is expected to have on our financial position or results of operations and related disclosures.</w:t>
      </w:r>
    </w:p>
    <w:p>
      <w:pPr>
        <w:spacing w:after="0" w:line="61" w:lineRule="exact"/>
        <w:rPr>
          <w:sz w:val="20"/>
          <w:szCs w:val="20"/>
          <w:color w:val="auto"/>
        </w:rPr>
      </w:pPr>
    </w:p>
    <w:p>
      <w:pPr>
        <w:ind w:left="1940" w:right="40"/>
        <w:spacing w:after="0" w:line="297" w:lineRule="auto"/>
        <w:rPr>
          <w:sz w:val="20"/>
          <w:szCs w:val="20"/>
          <w:color w:val="auto"/>
        </w:rPr>
      </w:pPr>
      <w:r>
        <w:rPr>
          <w:rFonts w:ascii="Arial" w:cs="Arial" w:eastAsia="Arial" w:hAnsi="Arial"/>
          <w:sz w:val="16"/>
          <w:szCs w:val="16"/>
          <w:color w:val="auto"/>
        </w:rPr>
        <w:t>In April 2015, the FASB issued ASU No. 2015-03, Interest - Imputation of Interest (Subtopic 835-30): Simplifying the Presentation of Debt Issuance Costs (“ASU 2015-03”), which provides guidance on simplifying the presentation of debt issuance costs on the balance sheet. To simplify presentation of debt issuance costs, the amendments in ASU No. 2015-03 require that debt issuance costs related to a recognized debt liability be presented in the balance sheet as a direct deduction from the carrying amount of that debt liability, consistent with debt discounts. The recognition and measurement guidance for debt issuance costs are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not affected by the amendments in this update. ASU 2015-03 is effective for annual reporting periods beginning after</w:t>
      </w:r>
    </w:p>
    <w:p>
      <w:pPr>
        <w:spacing w:after="0" w:line="23" w:lineRule="exact"/>
        <w:rPr>
          <w:sz w:val="20"/>
          <w:szCs w:val="20"/>
          <w:color w:val="auto"/>
        </w:rPr>
      </w:pPr>
    </w:p>
    <w:p>
      <w:pPr>
        <w:ind w:left="1940" w:right="100"/>
        <w:spacing w:after="0" w:line="269" w:lineRule="auto"/>
        <w:rPr>
          <w:sz w:val="20"/>
          <w:szCs w:val="20"/>
          <w:color w:val="auto"/>
        </w:rPr>
      </w:pPr>
      <w:r>
        <w:rPr>
          <w:rFonts w:ascii="Arial" w:cs="Arial" w:eastAsia="Arial" w:hAnsi="Arial"/>
          <w:sz w:val="17"/>
          <w:szCs w:val="17"/>
          <w:color w:val="auto"/>
        </w:rPr>
        <w:t>December 15, 2015, including interim periods within that reporting period and early adoption is permitted for financial statements that have not yet been previously issued. In accordance with ASU No. 2015-03, companies should apply the new guidance on a retrospective basis, wherein the balance sheet of each individual period presented should be adjusted to reflect the period-specific effects of applying the new guidance. Upon transition, an entity is required to comply with the applicable disclosures for a change in an accounting principle. Adoption is not expected to have a material effect on our consolidated financial statements, but will affect balance sheet classification. We are currently evaluating the impact this new guidance is expected to have on our financial position or results of operations and related disclosures.</w:t>
      </w:r>
    </w:p>
    <w:p>
      <w:pPr>
        <w:spacing w:after="0" w:line="73" w:lineRule="exact"/>
        <w:rPr>
          <w:sz w:val="20"/>
          <w:szCs w:val="20"/>
          <w:color w:val="auto"/>
        </w:rPr>
      </w:pPr>
    </w:p>
    <w:p>
      <w:pPr>
        <w:ind w:left="1940"/>
        <w:spacing w:after="0" w:line="255" w:lineRule="auto"/>
        <w:rPr>
          <w:sz w:val="20"/>
          <w:szCs w:val="20"/>
          <w:color w:val="auto"/>
        </w:rPr>
      </w:pPr>
      <w:r>
        <w:rPr>
          <w:rFonts w:ascii="Arial" w:cs="Arial" w:eastAsia="Arial" w:hAnsi="Arial"/>
          <w:sz w:val="18"/>
          <w:szCs w:val="18"/>
          <w:color w:val="auto"/>
        </w:rPr>
        <w:t>In July 2015, the FASB issued ASU No. 2015-11, Inventory (Topic 330) - Simplifying the Measurement of Inventory (“ASU 2015-11”), which simplifies the subsequent measurement of inventories by replacing the lower of cost or market test with a lower of cost and net realizable value test. The guidance applies only to inventories for which cost is determined by methods other than last-in first-out (“LIFO”) and the retail inventory method. The guidance in ASU No. 2015-11 is effective for periods beginning after December 15, 2016 and early adoption is permitted. We are currently evaluating the impact, if any, adoption will have on its financial position and results of operations.</w:t>
      </w:r>
    </w:p>
    <w:p>
      <w:pPr>
        <w:spacing w:after="0" w:line="85" w:lineRule="exact"/>
        <w:rPr>
          <w:sz w:val="20"/>
          <w:szCs w:val="20"/>
          <w:color w:val="auto"/>
        </w:rPr>
      </w:pPr>
    </w:p>
    <w:p>
      <w:pPr>
        <w:ind w:left="1940" w:right="40"/>
        <w:spacing w:after="0" w:line="268" w:lineRule="auto"/>
        <w:rPr>
          <w:sz w:val="20"/>
          <w:szCs w:val="20"/>
          <w:color w:val="auto"/>
        </w:rPr>
      </w:pPr>
      <w:r>
        <w:rPr>
          <w:rFonts w:ascii="Arial" w:cs="Arial" w:eastAsia="Arial" w:hAnsi="Arial"/>
          <w:sz w:val="17"/>
          <w:szCs w:val="17"/>
          <w:color w:val="auto"/>
        </w:rPr>
        <w:t>In July 2015, the FASB issued ASR No AUS 2015-12, Plan Accounting: Defined Benefit Pension Plans (Topic 960), Defined Contribution Pension Plans (Topic 962), Health and Welfare Benefit Plans (Topic 965), (Part I) Fully Benefit-Responsive Investment Contracts, (Part II) Plan Investment Disclosures, (Part III) Measurement Date Practical Expedient (consensuses of the FASB Emerging Issue Task Force) (ASU 2015-12). The standard eliminates requirements that employment benefit plans measure the fair value of fully benefit-responsive investment contracts (FBRICs) and provide the related fair value disclosures. As a result. FBRICs are measured, presented and disclosed only at contract value. Also, plans will be required to disaggregate their investments measured using fair value by general type, either on the face of the financial statements or in the notes, and self-directed brokerage fair value of investments by general type or individual investments equal to or greater than 5% of net assets available for benefits. In addition, a plan with a fiscal year end that doesn’t coincide with the end of a calendar month is allowed to measure its investments and investment-related accounting using month end closest to its fiscal year end. The new guidance for FBRICs and plan investment disclosures should be applied retrospectively, the measurement date practical expedient should be applied prospectively. The guidance is effective for fiscal years beginning after December 15, 2015. Earlier application is permitted. We are currently evaluating the impact this new guidance is expected to have on our financial position or results of operations and related disclosures.</w:t>
      </w:r>
    </w:p>
    <w:p>
      <w:pPr>
        <w:spacing w:after="0" w:line="77" w:lineRule="exact"/>
        <w:rPr>
          <w:sz w:val="20"/>
          <w:szCs w:val="20"/>
          <w:color w:val="auto"/>
        </w:rPr>
      </w:pPr>
    </w:p>
    <w:p>
      <w:pPr>
        <w:ind w:left="1940" w:right="60"/>
        <w:spacing w:after="0" w:line="293" w:lineRule="auto"/>
        <w:rPr>
          <w:sz w:val="20"/>
          <w:szCs w:val="20"/>
          <w:color w:val="auto"/>
        </w:rPr>
      </w:pPr>
      <w:r>
        <w:rPr>
          <w:rFonts w:ascii="Arial" w:cs="Arial" w:eastAsia="Arial" w:hAnsi="Arial"/>
          <w:sz w:val="16"/>
          <w:szCs w:val="16"/>
          <w:color w:val="auto"/>
        </w:rPr>
        <w:t>In September 2015, the FASB issued ASU No. 2015-16, Business Combinations (Topic 805) - Simplifying the Accounting for Measurement-Period Adjustments (“ASU 2015-16), which eliminates the requirement that an acquirer in a business combination account for measurement-period adjustments retrospectively. Instead, an acquirer will recognize a measurement-period adjustment during the period in which it determines the amount of the adjustment, including the effect on earnings of any amounts it would have recorded in previous periods if the accounting had been completed at the acquisition date. The guidance is effective for fiscal years, including interim periods within fiscal years beginning after December 15, 2015. Early adoption is permitted.</w:t>
      </w:r>
    </w:p>
    <w:p>
      <w:pPr>
        <w:spacing w:after="0" w:line="57" w:lineRule="exact"/>
        <w:rPr>
          <w:sz w:val="20"/>
          <w:szCs w:val="20"/>
          <w:color w:val="auto"/>
        </w:rPr>
      </w:pPr>
    </w:p>
    <w:p>
      <w:pPr>
        <w:ind w:left="1940" w:right="20"/>
        <w:spacing w:after="0" w:line="271" w:lineRule="auto"/>
        <w:rPr>
          <w:sz w:val="20"/>
          <w:szCs w:val="20"/>
          <w:color w:val="auto"/>
        </w:rPr>
      </w:pPr>
      <w:r>
        <w:rPr>
          <w:rFonts w:ascii="Arial" w:cs="Arial" w:eastAsia="Arial" w:hAnsi="Arial"/>
          <w:sz w:val="17"/>
          <w:szCs w:val="17"/>
          <w:color w:val="auto"/>
        </w:rPr>
        <w:t>In November 2015, The FAS issues ASU No. 2015-17, Income Taxes (Topic 740) - Balance Sheet Classification of Deferred Taxes (“ASU 2017-17”). Companies are required to classify all deferred tax assets and liabilities as noncurrent on the balance sheet instead of separating deferred taxes into current and noncurrent amounts. Also, companies will no longer allocation valuation allowances between current and noncurrent deferred tax assets because those allowances also will be classified as noncurrent. Since early adoption of the guidance is permitted, companies can start applying it in interim and annual financial statements that have not yet been issued. The guidance is effective for financial statements issued for annual periods beginning after December 15, 2016, and interim periods within those annual periods. We are currently evaluating the impact this new guidance is expected to have on our financial position or results of operations and related disclosures.</w:t>
      </w:r>
    </w:p>
    <w:p>
      <w:pPr>
        <w:spacing w:after="0" w:line="71" w:lineRule="exact"/>
        <w:rPr>
          <w:sz w:val="20"/>
          <w:szCs w:val="20"/>
          <w:color w:val="auto"/>
        </w:rPr>
      </w:pPr>
    </w:p>
    <w:p>
      <w:pPr>
        <w:ind w:left="1940" w:right="20"/>
        <w:spacing w:after="0" w:line="270" w:lineRule="auto"/>
        <w:rPr>
          <w:sz w:val="20"/>
          <w:szCs w:val="20"/>
          <w:color w:val="auto"/>
        </w:rPr>
      </w:pPr>
      <w:r>
        <w:rPr>
          <w:rFonts w:ascii="Arial" w:cs="Arial" w:eastAsia="Arial" w:hAnsi="Arial"/>
          <w:sz w:val="17"/>
          <w:szCs w:val="17"/>
          <w:color w:val="auto"/>
        </w:rPr>
        <w:t>In February 2016, the FASB issued a new lease accounting standard. The key objective of the new standard is to increase transparency and comparability among organizations by recognizing lease assets and lease liabilities on the balance sheet and disclosing key information about leasing arrangements. Lessees will need to recognize a right-of-use asset and a lease liability for virtually all of their leases (other than leases that meet the definition of a short-term lease). For income statement purposes, a dual model has been retained, with leases to be designated as operating leases or finance leases. Expenses will be recognized on a straight-line basis for operating leases, and a front-loaded basis for finance leases. For public entities, the new standard is effective for periods beginning after December 15, 2018, with early adoption permitted. The new standard must be adopted using a modified retrospective transition, and provides for certain practical expedients. The Company is currently evaluating the impact of the new standard on its financial position, results of operations and cash flows.</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940" w:right="60"/>
        <w:spacing w:after="0" w:line="270" w:lineRule="auto"/>
        <w:rPr>
          <w:sz w:val="20"/>
          <w:szCs w:val="20"/>
          <w:color w:val="auto"/>
        </w:rPr>
      </w:pPr>
      <w:r>
        <w:rPr>
          <w:rFonts w:ascii="Arial" w:cs="Arial" w:eastAsia="Arial" w:hAnsi="Arial"/>
          <w:sz w:val="17"/>
          <w:szCs w:val="17"/>
          <w:color w:val="auto"/>
        </w:rPr>
        <w:t>We allocate the total purchase price of the acquired tangible and intangible assets acquired and liabilities assumed based on their estimated fair values as of the business combination date, with the excess purchase price recorded as goodwill. The purchase price allocation process required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in part based on valuation models that incorporate projections of expected future cash flows and operating plans and are inherently uncertain. Valuations are performed by management or third 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from relief from royalty and excess earnings model), the market approach and/or the replacement cost approach.</w:t>
      </w:r>
    </w:p>
    <w:p>
      <w:pPr>
        <w:spacing w:after="0" w:line="7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2380" w:hanging="319"/>
        <w:spacing w:after="0"/>
        <w:tabs>
          <w:tab w:leader="none" w:pos="2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30" w:lineRule="exact"/>
        <w:rPr>
          <w:rFonts w:ascii="Arial" w:cs="Arial" w:eastAsia="Arial" w:hAnsi="Arial"/>
          <w:sz w:val="18"/>
          <w:szCs w:val="18"/>
          <w:color w:val="auto"/>
        </w:rPr>
      </w:pPr>
    </w:p>
    <w:p>
      <w:pPr>
        <w:ind w:left="2380" w:right="20" w:hanging="319"/>
        <w:spacing w:after="0" w:line="277" w:lineRule="auto"/>
        <w:tabs>
          <w:tab w:leader="none" w:pos="2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75" w:lineRule="exact"/>
        <w:rPr>
          <w:rFonts w:ascii="Arial" w:cs="Arial" w:eastAsia="Arial" w:hAnsi="Arial"/>
          <w:sz w:val="18"/>
          <w:szCs w:val="18"/>
          <w:color w:val="auto"/>
        </w:rPr>
      </w:pPr>
    </w:p>
    <w:p>
      <w:pPr>
        <w:ind w:left="2380" w:right="320" w:hanging="319"/>
        <w:spacing w:after="0" w:line="308" w:lineRule="auto"/>
        <w:tabs>
          <w:tab w:leader="none" w:pos="2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acquired company’s brand and competitive position, royalty rate quantum, as well as assumptions about the period of time the acquired brand will continue to benefit to the combined company’s product portfolio; and</w:t>
      </w:r>
    </w:p>
    <w:p>
      <w:pPr>
        <w:spacing w:after="0" w:line="51" w:lineRule="exact"/>
        <w:rPr>
          <w:rFonts w:ascii="Arial" w:cs="Arial" w:eastAsia="Arial" w:hAnsi="Arial"/>
          <w:sz w:val="17"/>
          <w:szCs w:val="17"/>
          <w:color w:val="auto"/>
        </w:rPr>
      </w:pPr>
    </w:p>
    <w:p>
      <w:pPr>
        <w:ind w:left="2380" w:hanging="319"/>
        <w:spacing w:after="0"/>
        <w:tabs>
          <w:tab w:leader="none" w:pos="2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117" w:lineRule="exact"/>
        <w:rPr>
          <w:sz w:val="20"/>
          <w:szCs w:val="20"/>
          <w:color w:val="auto"/>
        </w:rPr>
      </w:pPr>
    </w:p>
    <w:p>
      <w:pPr>
        <w:ind w:left="1940" w:right="160"/>
        <w:spacing w:after="0" w:line="276" w:lineRule="auto"/>
        <w:rPr>
          <w:sz w:val="20"/>
          <w:szCs w:val="20"/>
          <w:color w:val="auto"/>
        </w:rPr>
      </w:pPr>
      <w:r>
        <w:rPr>
          <w:rFonts w:ascii="Arial" w:cs="Arial" w:eastAsia="Arial" w:hAnsi="Arial"/>
          <w:sz w:val="17"/>
          <w:szCs w:val="17"/>
          <w:color w:val="auto"/>
        </w:rPr>
        <w:t>However, different assumptions regarding projected performance and other factors associated with the acquired assets may affect the amount recorded under each type of assets and liabilities, mainly between property plant and equipment, intangibles assets, goodwill and deferred income tax liabilities and subsequent assessment could result in future impairment charges. The purchase price allocation process also entails us to refine these estimates over a measurement period not to exceed one year to reflect new information obtained surrounding facts and circumstances existing at acquisition date.</w:t>
      </w:r>
    </w:p>
    <w:p>
      <w:pPr>
        <w:spacing w:after="0" w:line="7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PEP</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17, 2015, we entered into a stock purchase agreement with Precision Engineered Products Holding, Inc. (“PEP”), pursuant to which we agreed to acquire all the outstanding capital stock of PEP for $621.2 million. On October 19, 2015, we completed the acquisition of PEP (the “PEP Acquisition”). As a result of the PEP Acquisition, PEP became our wholly owned subsidiary. Concurrent with the acquisition, we: (i) entered into a new senior secured term loan facility in the amount of up to $525.0 million with a seven year maturity (the “New Term Loan Credit Facility”); (ii) entered into a new senior secured revolving credit facility in the amount of up to $100.0 million with a five year maturity (together with the New Term Loan Credit Facility, the “New Senior Credit Facilities”); and (iii) issued of $300.0 million of 10.25% senior notes due 2020 (the “Senior Notes”). Proceeds from the New Term Loan Credit Facility and the Senior Notes, together with cash on hand, were used to finance the purchase price of the PEP Acquisition and pay down debt. (See Note 7 of the Notes to Consolidated Financial Statements). With the completion of the PEP Acquisition, we added a global manufacturer of highly engineered precision customized solutions serving the medical, electrical, automotive and aerospace end markets. We are in the process of finalizing fair market valuation relate to customary working capital adjustments and incomes taxes.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6920" w:type="dxa"/>
            <w:vAlign w:val="bottom"/>
          </w:tcPr>
          <w:p>
            <w:pPr>
              <w:jc w:val="center"/>
              <w:ind w:left="750"/>
              <w:spacing w:after="0"/>
              <w:rPr>
                <w:sz w:val="20"/>
                <w:szCs w:val="20"/>
                <w:color w:val="auto"/>
              </w:rPr>
            </w:pPr>
            <w:r>
              <w:rPr>
                <w:rFonts w:ascii="Arial" w:cs="Arial" w:eastAsia="Arial" w:hAnsi="Arial"/>
                <w:sz w:val="18"/>
                <w:szCs w:val="18"/>
                <w:b w:val="1"/>
                <w:bCs w:val="1"/>
                <w:color w:val="auto"/>
                <w:w w:val="95"/>
              </w:rPr>
              <w:t>NN,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20" w:type="dxa"/>
            <w:vAlign w:val="bottom"/>
          </w:tcPr>
          <w:p>
            <w:pPr>
              <w:jc w:val="center"/>
              <w:ind w:left="73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2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December 31, 2015, 2014 and 2013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6920" w:type="dxa"/>
            <w:vAlign w:val="bottom"/>
          </w:tcPr>
          <w:p>
            <w:pPr>
              <w:jc w:val="center"/>
              <w:ind w:left="7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760" w:type="dxa"/>
            <w:vAlign w:val="bottom"/>
            <w:gridSpan w:val="2"/>
          </w:tcPr>
          <w:p>
            <w:pPr>
              <w:spacing w:after="0"/>
              <w:rPr>
                <w:sz w:val="20"/>
                <w:szCs w:val="20"/>
                <w:color w:val="auto"/>
              </w:rPr>
            </w:pPr>
            <w:r>
              <w:rPr>
                <w:rFonts w:ascii="Arial" w:cs="Arial" w:eastAsia="Arial" w:hAnsi="Arial"/>
                <w:sz w:val="18"/>
                <w:szCs w:val="18"/>
                <w:color w:val="auto"/>
              </w:rPr>
              <w:t>The following table summarizes the preliminary purchase price allocation for the PEP Acquisition: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76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rPr>
              <w:t>Fair value of assets acquired and liabilities assumed</w:t>
            </w: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October 19,</w:t>
            </w:r>
          </w:p>
        </w:tc>
        <w:tc>
          <w:tcPr>
            <w:tcW w:w="0" w:type="dxa"/>
            <w:vAlign w:val="bottom"/>
          </w:tcPr>
          <w:p>
            <w:pPr>
              <w:spacing w:after="0"/>
              <w:rPr>
                <w:sz w:val="1"/>
                <w:szCs w:val="1"/>
                <w:color w:val="auto"/>
              </w:rPr>
            </w:pPr>
          </w:p>
        </w:tc>
      </w:tr>
      <w:tr>
        <w:trPr>
          <w:trHeight w:val="171"/>
        </w:trPr>
        <w:tc>
          <w:tcPr>
            <w:tcW w:w="8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364,450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760" w:type="dxa"/>
            <w:vAlign w:val="bottom"/>
            <w:gridSpan w:val="2"/>
          </w:tcPr>
          <w:p>
            <w:pPr>
              <w:ind w:left="184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731,934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84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692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110,738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920" w:type="dxa"/>
            <w:vAlign w:val="bottom"/>
          </w:tcPr>
          <w:p>
            <w:pPr>
              <w:ind w:left="720"/>
              <w:spacing w:after="0"/>
              <w:rPr>
                <w:sz w:val="20"/>
                <w:szCs w:val="20"/>
                <w:color w:val="auto"/>
              </w:rPr>
            </w:pPr>
            <w:r>
              <w:rPr>
                <w:rFonts w:ascii="Arial" w:cs="Arial" w:eastAsia="Arial" w:hAnsi="Arial"/>
                <w:sz w:val="18"/>
                <w:szCs w:val="18"/>
                <w:color w:val="auto"/>
              </w:rPr>
              <w:t>Net asset acquired</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621,196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A combination of income, market, and cost approaches were used for the valuation where appropriate, depending on the asset or liability being valued. Valuation inputs in these models and analyses gave consideration to market participant assumptions. Acquired intangible assets are primarily customer relationships and trade names. We continue our analysis of the PEP opening balance sheet and the purchase price allocation.</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connection with the PEP Acquisition, we recorded goodwill, which represents the excess of the purchase price over the estimated fair value of tangible and intangible assets acquired, net of liabilities assumed. The goodwill is attributed primarily to PEP as a going concern and the fair value of expected cost synergies and revenues growth from PEP businesses. The going concern element represents the ability to earn a higher return on the combined assembled collection of assets and businesses of PEP than if those assets and businesses were to be acquired and managed separately. Other relevant elements of goodwill are the benefits of access to certain markets and the assembled work force. None of the goodwill is expected to be deducted for tax purposes.</w:t>
      </w:r>
    </w:p>
    <w:p>
      <w:pPr>
        <w:spacing w:after="0" w:line="15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Property, plant and equipment acquired primarily included machinery and equipment for use in manufacturing operations. Additionally, a number of manufacturing sites and related facilities including leasehold improvements were acquired. Property, plant and equipment has been valued using the cost approach supported where available by observable market data which includes consideration of obsolescence. Intangible assets have been valued using the relief from royalty and multi-period excess earnings methods, both forms of the income approach supported by observable market data.</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Related to the PEP Acquisition during 2015 we recognized $8.7 million in transaction costs. During 2015, we expensed $18.7 million of deferred financing costs related to the acquisition. Transaction costs were expensed as incurred and are included in the “Acquisition related costs excluded from selling, general and administrative expenses” line item and deferred financing costs are included in the “Write-off of unamortized debt issuance costs” line items in the Consolidated Statements of Operations and Comprehensive Income (Loss). As required by purchase accounting, the acquired inventories were recorded at their estimated fair value. These inventories were sold in the fourth quarter 2015 resulting in a one-time $4.3 million increase in cost of sales. Beginning October 20, 2015, our consolidated results of operations include the results of the acquired PEP businesses. Since the date of the acquisition, sales revenue of $40.7 million and net loss of $(2.6) million (including the $4.3 million for the one-time increase in cost of goods sold, and $5.2 million for the amortization of backlog intangibles) has been included in our financial statements.</w:t>
      </w:r>
    </w:p>
    <w:p>
      <w:pPr>
        <w:spacing w:after="0" w:line="1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unaudited pro forma financial results for the years ended December 31, 2015 and 2014 combine the consolidated results of NN and PEP giving effect to the PEP Acquisition as if it had been completed on January 1, 2014, the beginning of the comparable prior annual reporting period presented. Additionally, the pro forma statement of income for the year ended December 31, 2014 gives effect to the Autocam acquisition, which was completed on August 29, 2014; the results of operations of Autocam have been consolidated in our results from that date. The unaudited pro forma financial results presented below do not include any anticipated synergies or other expected benefits of the acquisition. This unaudited pro forma financial information is presented for informational purposes only and is not indicative of future operations or results had the acquisition been completed as of January 1, 2014.</w:t>
      </w:r>
    </w:p>
    <w:p>
      <w:pPr>
        <w:spacing w:after="0" w:line="16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unaudited pro forma financial results include certain adjustments for additional depreciation and amortization expense based upon the fair value step-up and estimated useful lives of PEP depreciable fixed assets and definite-life amortizable assets acquired in the transaction. The provision for income taxes has also been adjusted for all periods, based upon the foregoing adjustments to historical results.</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459" w:right="2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Year ended December 31,</w:t>
            </w:r>
          </w:p>
        </w:tc>
      </w:tr>
      <w:tr>
        <w:trPr>
          <w:trHeight w:val="142"/>
        </w:trPr>
        <w:tc>
          <w:tcPr>
            <w:tcW w:w="45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 forma sales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851,583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863,619</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Pro forma net (loss) income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14,010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(7,560)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r>
    </w:tbl>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pro forma net income for the year ended December 31, 2014 includes certain items, such as financing, integration, and transaction costs historically recorded by NN and PEP directly attributable to the acquisition, which will not have an ongoing impact. These items include transaction, integration, and financing related costs incurred by NN and PEP of $8.7 million and $12.3 million, net of tax, respectively during 2015 and reported in the year ended December 31, 2014 pro forma net income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August 29, 2014, we completed our merger with Autocam Corporation (“Autocam”), for $256.8 million in cash and $31.7 million in shares of our common stock. Additionally, we assumed $29.8 million in Autocam debt and capital lease obligations. Autocam is a global leader in the engineering, manufacture and assembly of highly complex, system critical components for fuel systems, engines and transmission, power steering and electric motors. With the completion of the transaction, we became one of the top global manufacturers in the precision metal components space.</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funding of the cash portion of the purchase price and acquisition costs was provided primarily from borrowings, including a $350.0 million term loan entered into concurrent with the acquisition. (See Note 7 of the Notes to Consolidated Financial Statements).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fourth quarter of 2014, we finalized our valuation related to the assets acquired and liabilities assumed of Autocam. The facts and circumstances existed at the date of acquisition and, if known, would have affected the measurement of the amounts recognized at the date. As a result, we adjusted the preliminary allocation of the purchase price initially recorded at the Autocam acquisition date to reflect these measurement period adjustments.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purchase price allocation for the Autocam merger:</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w w:val="93"/>
              </w:rPr>
              <w:t>Fair value of assets acquired and liabilities assumed on August 29, 2014</w:t>
            </w:r>
          </w:p>
        </w:tc>
        <w:tc>
          <w:tcPr>
            <w:tcW w:w="1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 fair value</w:t>
            </w:r>
          </w:p>
        </w:tc>
        <w:tc>
          <w:tcPr>
            <w:tcW w:w="18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88,529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146,120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7,065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153,185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35,595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35,595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3,898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77,548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(3,556)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73,992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401,060</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407,847</w:t>
            </w:r>
          </w:p>
        </w:tc>
        <w:tc>
          <w:tcPr>
            <w:tcW w:w="0" w:type="dxa"/>
            <w:vAlign w:val="bottom"/>
          </w:tcPr>
          <w:p>
            <w:pPr>
              <w:spacing w:after="0"/>
              <w:rPr>
                <w:sz w:val="1"/>
                <w:szCs w:val="1"/>
                <w:color w:val="auto"/>
              </w:rPr>
            </w:pPr>
          </w:p>
        </w:tc>
      </w:tr>
      <w:tr>
        <w:trPr>
          <w:trHeight w:val="324"/>
        </w:trPr>
        <w:tc>
          <w:tcPr>
            <w:tcW w:w="4540" w:type="dxa"/>
            <w:vAlign w:val="bottom"/>
          </w:tcPr>
          <w:p>
            <w:pPr>
              <w:spacing w:after="0"/>
              <w:rPr>
                <w:sz w:val="20"/>
                <w:szCs w:val="20"/>
                <w:color w:val="auto"/>
              </w:rPr>
            </w:pPr>
            <w:r>
              <w:rPr>
                <w:rFonts w:ascii="Arial" w:cs="Arial" w:eastAsia="Arial" w:hAnsi="Arial"/>
                <w:sz w:val="18"/>
                <w:szCs w:val="18"/>
                <w:color w:val="auto"/>
              </w:rPr>
              <w:t>Current liabilities</w:t>
            </w:r>
          </w:p>
        </w:tc>
        <w:tc>
          <w:tcPr>
            <w:tcW w:w="15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34,320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6,963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41,283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46,998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(486)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46,512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18,350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4,263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1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112,506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6,787</w:t>
            </w: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720"/>
              <w:spacing w:after="0"/>
              <w:rPr>
                <w:sz w:val="20"/>
                <w:szCs w:val="20"/>
                <w:color w:val="auto"/>
              </w:rPr>
            </w:pPr>
            <w:r>
              <w:rPr>
                <w:rFonts w:ascii="Arial" w:cs="Arial" w:eastAsia="Arial" w:hAnsi="Arial"/>
                <w:sz w:val="18"/>
                <w:szCs w:val="18"/>
                <w:color w:val="auto"/>
              </w:rPr>
              <w:t>Net asset acquired</w:t>
            </w:r>
          </w:p>
        </w:tc>
        <w:tc>
          <w:tcPr>
            <w:tcW w:w="15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288,554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288,554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vMerge w:val="restart"/>
          </w:tcPr>
          <w:p>
            <w:pPr>
              <w:jc w:val="right"/>
              <w:ind w:right="870"/>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combination of income, market, and cost approaches were used for the valuation where appropriate, depending on the asset or liability being</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valued. Valuation inputs in these models and analyses gave consideration to market participant assumptions. Acquired intangible assets are primarily customer relationships and trade names. We have finished our analysis of the Autocam opening balance sheet and consider the purchase price allocation final.</w:t>
      </w:r>
    </w:p>
    <w:p>
      <w:pPr>
        <w:spacing w:after="0" w:line="1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acquisition of Autocam, we recorded goodwill, which represents the excess of the purchase price over the estimated fair value of tangible and intangible assets acquired, net of liabilities assumed. The goodwill is attributed primarily to Autocam as a going concern and the fair value of expected cost synergies and revenues growth from combining our and the Autocam businesses. The going concern element represents the ability to earn a higher return on the combined assembled collection of assets and businesses of Autocam than if those assets and businesses were to be acquired and managed separately. Other relevant elements of goodwill are the benefits of access to certain markets and the assembled work force. None of the goodwill is expected to be deducted for tax purposes.</w:t>
      </w:r>
    </w:p>
    <w:p>
      <w:pPr>
        <w:spacing w:after="0" w:line="19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Property, plant and equipment acquired primarily included machinery and equipment for use in manufacturing operations. Additionally, a number of manufacturing sites and related facilities including leasehold improvements were acquired. Property, plant and equipment has been valued using the cost approach supported where available by observable market data which includes consideration of obsolescence. Intangible assets have been valued using the relief from royalty and multi-period excess earnings methods, both forms of the income approach supported by observable market data.</w:t>
      </w:r>
    </w:p>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Related to the acquisition of Autocam, during 2014 we recognized $6.9 million in transaction costs. During 2014, we expensed $3.0 million of deferred financing costs and make whole interest payments related to the acquisition. Transaction costs were expensed as incurred and are included in the “Acquisition related costs excluded from selling, general and administrative expenses” line item and deferred financing costs are included in the “interest expense” line items in the Consolidated Statements of Operations and Comprehensive Income (Loss). As required by purchase accounting, the acquired inventories were recorded at their estimated fair value. These inventories were sold in the third quarter 2014 resulting in a one-time $1.2 million increase in cost of sales. Beginning September 1, 2014, our consolidated results of operations include the results of the acquired Autocam businesses. Since the date of the acquisition, sales revenue of $80.8 million and net income of $3.7 million (including the $1.2 million for the one-time increase in cost of goods sold) have been included in our financial statements.</w:t>
      </w:r>
    </w:p>
    <w:p>
      <w:pPr>
        <w:spacing w:after="0" w:line="19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unaudited pro forma financial results for the years ended December 31, 2014 and 2013 combine the consolidated results of NN and Autocam giving effect to the acquisition of Autocam as if it had been completed on January 1, 2013, the beginning of the comparable prior annual reporting period presented. The unaudited pro forma financial results presented below do not include any anticipated synergies or other expected benefits of the acquisition. This unaudited pro forma financial information is presented for informational purposes only and is not indicative of future operations or results had the acquisition been completed as of January 1, 2013.</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unaudited pro forma financial results include certain adjustments for additional depreciation and amortization expense based upon the fair value step-up and estimated useful lives of Autocam depreciable fixed assets and definite-life amortizable assets acquired in the transaction. The provision for income taxes has also been adjusted for all periods, based upon the foregoing adjustments to historical results.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16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 forma sales</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659,652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606,690</w:t>
            </w:r>
          </w:p>
        </w:tc>
        <w:tc>
          <w:tcPr>
            <w:tcW w:w="100" w:type="dxa"/>
            <w:vAlign w:val="bottom"/>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Pro forma net income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19,573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 forma net income for the year ended December 31, 2013 includes certain items, such as financing, integration, and transaction costs historically recorded by NN and Autocam directly attributable to the acquisition, which will not have an ongoing impact. These items include transaction, integration, and financing related costs incurred by NN and Autocam of $9.4 million and $3.8 million, net of tax, respectively during 2014 and reported in the year ended December 31, 2013 pro forma net income above.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Caprock</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May 29, 2015, we completed the acquisition of Caprock Manufacturing, Inc. and Caprock Enclosures, LLC (collectively referred to as “Caprock”) for approximately $9.1 million in cash. Caprock was a privately held plastic components supplier located in Lubbock, Texas. Caprock serves multiple end markets including aerospace, medical and general industrial. The results of Caprock have been consolidated since the date of acquisition as part of our Precision Engineered Products Group (formerly known as the Plastic and Rubber Components Group). We have finalized the fair value market valuations of all the net assets acquired. The preliminary purchase price allocation includes $1.3 million in net working capital, $3.0 million in property plant and equipment, $2.5 million in intangible assets, and $2.3 million in goodwill, which we expect to be fully deductible for tax purposes. The goodwill is attributable to expected cost synergies and revenue growth plus the assembled work force.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2014</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made three other acquisitions during 2014 that aggregated to $21.0 million in net assets acquired. Related to the acquisitions, we incurred transactions costs of $1.2 million from third parties during 2014, which were expensed as incurred in acquisition related costs excluded from selling, general and administrative within the Consolidated Statements of Operations and Comprehensive Income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Chelsea Grinding</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On July 15, 2014, we purchased Chelsea Grinding Company (“Chelsea”) for $3.1 million in cash. Chelsea is a hydraulic component manufacturer. We acquired Chelsea to achieve access to the adjacent hydraulic component market. Chelsea, which has been completely integrated into our Erwin Plant of the Metal Bearing Components Group, contributed revenues of approximately $1.1 million from the acquisition date to December 31,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RFK Valjcici d. d. Konjic</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June 20, 2014, we acquired 79.2% of the outstanding shares of RFK Valjcici d. d. Konjic (“RFK”) for $9.8 million in cash. RFK is a manufacturer of tapered rollers with operations in Konjic, Bosnia &amp; Herzegovina. Its products, while complementary to our existing roller bearing components, will broaden our product offering and allow penetration into adjacent markets. We acquired up to 99.7% of the outstanding shares of RFK during the third quarter of 2014 for an additional $2.5 million in cash. RFK contributed revenues and net income of approximately $5.1 million and $0.2 million, respectively, from the date of acquisition to December 31, 2014. RFK currently exports all of its products, predominately to customers serving the European truck, industrial vehicle and railway markets. We will continue operations at the existing facilities in Bosnia &amp; Herzegovina and rolled up the operations of RFK under our Metal Bearing Components Group. In addition, we have reported non-controlling interest of $32 thousand for RFK representing the fair value of the 0.30% of the shares outstanding we do not own as of December 31,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January 30, 2014, we purchased the majority of the operating assets of V-S Industries, V-S Precision, LLC and V-S Precision SA de DV (collectively referred to as “V-S”) from the secured creditors of V-S Industries for $5.6 million in cash and assumed certain liabilities totaling $3.0 million. This was accounted for as business combination. V-S contributed revenues and net loss of approximately $14.7 million and $(1.0) million, including integration costs of $0.5 million net of tax, respectively, from the date of acquisition to December 31, 2014.</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V-S is a precision metal components manufacturer that supplies customers in a variety of industries including electric motors, HVAC, power tools, automotive and medical. The acquisition of V-S provides a complementary and broader product offering and allows penetration into adjacent markets. V-S has two locations in Wheeling, Illinois and Juarez, Mexico and we rolled up V-S’s operations under our Autocam Precision Components Group (formerly known as the Precision Metal Components Group).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cash paid to acquire all four businesses acquired in 2014 totaled $277.8 million ($256.8 million for Autocam and $21.0 million for the others) less cash acquired of $17.6 million for a net amount of $260.2 million. A portion of this amount ($2.5 million) was reported in cash flows from financing activities as that amount related to acquiring a non-controlling interest in RFK.</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final fair values of assets acquired and liabilities assumed at the date of acquisition with any adjustments to fair value since September 30, 2014.</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9"/>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 acquired and liabilities assumed</w:t>
            </w:r>
          </w:p>
        </w:tc>
        <w:tc>
          <w:tcPr>
            <w:tcW w:w="2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 fair value</w:t>
            </w: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15,367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15,336</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25,798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26,100</w:t>
            </w:r>
          </w:p>
        </w:tc>
        <w:tc>
          <w:tcPr>
            <w:tcW w:w="0" w:type="dxa"/>
            <w:vAlign w:val="bottom"/>
          </w:tcPr>
          <w:p>
            <w:pPr>
              <w:spacing w:after="0"/>
              <w:rPr>
                <w:sz w:val="1"/>
                <w:szCs w:val="1"/>
                <w:color w:val="auto"/>
              </w:rPr>
            </w:pPr>
          </w:p>
        </w:tc>
      </w:tr>
      <w:tr>
        <w:trPr>
          <w:trHeight w:val="324"/>
        </w:trPr>
        <w:tc>
          <w:tcPr>
            <w:tcW w:w="5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4,803</w:t>
            </w:r>
          </w:p>
        </w:tc>
        <w:tc>
          <w:tcPr>
            <w:tcW w:w="6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23"/>
        </w:trPr>
        <w:tc>
          <w:tcPr>
            <w:tcW w:w="5760" w:type="dxa"/>
            <w:vAlign w:val="bottom"/>
            <w:gridSpan w:val="2"/>
          </w:tcPr>
          <w:p>
            <w:pPr>
              <w:ind w:left="720"/>
              <w:spacing w:after="0"/>
              <w:rPr>
                <w:sz w:val="20"/>
                <w:szCs w:val="20"/>
                <w:color w:val="auto"/>
              </w:rPr>
            </w:pPr>
            <w:r>
              <w:rPr>
                <w:rFonts w:ascii="Arial" w:cs="Arial" w:eastAsia="Arial" w:hAnsi="Arial"/>
                <w:sz w:val="18"/>
                <w:szCs w:val="18"/>
                <w:color w:val="auto"/>
              </w:rPr>
              <w:t>Net asset acquired</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intangible assets subject to amortization are for customer contracts and trade names totaling $2.7 million and have weighted average useful lives of approximately 11 years. Goodwill of $2.5 million arising from the acquisitions is attributable primarily to the assembled workforce of RFK and strategic market opportunities that are expected to arise from the acquisition of RFK and Chelsea.</w:t>
      </w:r>
    </w:p>
    <w:p>
      <w:pPr>
        <w:spacing w:after="0" w:line="32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Impairment Charges, excluding Goodwill Impairments, and Divestitures</w:t>
      </w:r>
    </w:p>
    <w:p>
      <w:pPr>
        <w:spacing w:after="0" w:line="121"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Below is a summary of all the impairment and restructuring charges in the Consolidated Statements of Operations and Comprehensive Income (Loss) during the year ended December 31, 2015 and 2014:</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280" w:type="dxa"/>
            <w:vAlign w:val="bottom"/>
          </w:tcPr>
          <w:p>
            <w:pPr>
              <w:spacing w:after="0"/>
              <w:rPr>
                <w:sz w:val="20"/>
                <w:szCs w:val="20"/>
                <w:color w:val="auto"/>
              </w:rPr>
            </w:pPr>
            <w:r>
              <w:rPr>
                <w:rFonts w:ascii="Arial" w:cs="Arial" w:eastAsia="Arial" w:hAnsi="Arial"/>
                <w:sz w:val="14"/>
                <w:szCs w:val="14"/>
                <w:b w:val="1"/>
                <w:bCs w:val="1"/>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2015</w:t>
            </w:r>
          </w:p>
        </w:tc>
        <w:tc>
          <w:tcPr>
            <w:tcW w:w="80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of intangible assets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Impairment of 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887</w:t>
            </w:r>
          </w:p>
        </w:tc>
        <w:tc>
          <w:tcPr>
            <w:tcW w:w="44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Restructuring and impairment charges, excluding goodwill impairment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1,559</w:t>
            </w:r>
          </w:p>
        </w:tc>
        <w:tc>
          <w:tcPr>
            <w:tcW w:w="4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875</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above charges are discussed below in detail.</w:t>
      </w:r>
    </w:p>
    <w:p>
      <w:pPr>
        <w:spacing w:after="0" w:line="32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Impairments of Intangible Assets</w:t>
      </w:r>
    </w:p>
    <w:p>
      <w:pPr>
        <w:spacing w:after="0" w:line="12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For the year ended December 31, 2014, an indefinite lived intangible asset within the Autocam Precision Components Group was impaired as management is in the process of phasing out the use of the trade name as a result of the Autocam acquisition. As such, an impairment charge of $0.9 million was included in the restructuring and impairment charges line of the Consolidated Statements of Operations and Comprehensive Income (Loss).</w:t>
      </w: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Impairments of Tangible Assets and Restructuring Activity</w:t>
      </w:r>
    </w:p>
    <w:p>
      <w:pPr>
        <w:spacing w:after="0" w:line="121"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On November 5, 2015, we announced the closure of our Wheeling plant, which is included in the Autocam Precision Components Group. This closure directly relates to the integration plan developed with the Autocam acquisition in 2014. The majority of the sales and productive assets will be relocated to existing plants with the Autocam Precision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240" w:top="459" w:right="3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Components Group. During the fourth quarter of 2015, we accrued a restructuring charge of approximately $0.7 million related to severance and employees, and $0.9 million in impairments related to assets at the Wheeling Plant. The closure is expected to be finalized during the first half of 2016.</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Divestiture</w:t>
      </w:r>
    </w:p>
    <w:p>
      <w:pPr>
        <w:spacing w:after="0" w:line="121" w:lineRule="exact"/>
        <w:rPr>
          <w:sz w:val="20"/>
          <w:szCs w:val="20"/>
          <w:color w:val="auto"/>
        </w:rPr>
      </w:pPr>
    </w:p>
    <w:p>
      <w:pPr>
        <w:ind w:left="920" w:right="280"/>
        <w:spacing w:after="0" w:line="264" w:lineRule="auto"/>
        <w:rPr>
          <w:sz w:val="20"/>
          <w:szCs w:val="20"/>
          <w:color w:val="auto"/>
        </w:rPr>
      </w:pPr>
      <w:r>
        <w:rPr>
          <w:rFonts w:ascii="Arial" w:cs="Arial" w:eastAsia="Arial" w:hAnsi="Arial"/>
          <w:sz w:val="18"/>
          <w:szCs w:val="18"/>
          <w:color w:val="auto"/>
        </w:rPr>
        <w:t>On November 30, 2015, we announced the divestiture of Delta Rubber Company (“Delta Rubber”). Delta Rubber was part of our then-named Plastic and Rubber Components Group. Proceeds of approximately $2.5 million in cash were received and $0.5 million is in escrow. A $0.7 million gain on sale was recognized in the fourth quarter.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5840" w:type="dxa"/>
            <w:vAlign w:val="bottom"/>
            <w:gridSpan w:val="3"/>
          </w:tcPr>
          <w:p>
            <w:pPr>
              <w:ind w:left="160"/>
              <w:spacing w:after="0"/>
              <w:rPr>
                <w:sz w:val="20"/>
                <w:szCs w:val="20"/>
                <w:color w:val="auto"/>
              </w:rPr>
            </w:pPr>
            <w:r>
              <w:rPr>
                <w:rFonts w:ascii="Arial" w:cs="Arial" w:eastAsia="Arial" w:hAnsi="Arial"/>
                <w:sz w:val="18"/>
                <w:szCs w:val="18"/>
                <w:b w:val="1"/>
                <w:bCs w:val="1"/>
                <w:color w:val="auto"/>
              </w:rPr>
              <w:t>Accounts Receivable and Sales Concentrations</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$123,689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$98,030</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Less - allowance for doubtful accounts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123,005</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97,510</w:t>
            </w: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20" w:type="dxa"/>
            <w:vAlign w:val="bottom"/>
            <w:gridSpan w:val="2"/>
            <w:vMerge w:val="restart"/>
          </w:tcPr>
          <w:p>
            <w:pPr>
              <w:ind w:left="200"/>
              <w:spacing w:after="0"/>
              <w:rPr>
                <w:sz w:val="20"/>
                <w:szCs w:val="20"/>
                <w:color w:val="auto"/>
              </w:rPr>
            </w:pPr>
            <w:r>
              <w:rPr>
                <w:rFonts w:ascii="Arial" w:cs="Arial" w:eastAsia="Arial" w:hAnsi="Arial"/>
                <w:sz w:val="18"/>
                <w:szCs w:val="18"/>
                <w:color w:val="auto"/>
              </w:rPr>
              <w:t>Activity in the allowance for doubtful accounts is as follows:</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8"/>
              </w:rPr>
              <w:t>Balance at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Write-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24"/>
                <w:szCs w:val="2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61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Beginning</w:t>
            </w:r>
          </w:p>
        </w:tc>
        <w:tc>
          <w:tcPr>
            <w:tcW w:w="54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of Year</w:t>
            </w:r>
          </w:p>
        </w:tc>
        <w:tc>
          <w:tcPr>
            <w:tcW w:w="5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77"/>
              </w:rPr>
              <w:t>offs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Impacts</w:t>
            </w:r>
          </w:p>
        </w:tc>
        <w:tc>
          <w:tcPr>
            <w:tcW w:w="2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7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520</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(36)</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445</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1080" w:type="dxa"/>
            <w:vAlign w:val="bottom"/>
            <w:gridSpan w:val="6"/>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311</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For the years ended December 31, 2015, 2014 and 2013, sales to SKF amounted to $105.7 million, $128.0 million, and $132.7 million, respectively, or 16%, 26%, and 36% of consolidated revenues, respectively. None of our other customers accounted for more than 10% of our net sales in 2015, 2014 or 2013. SKF was the only customer with accounts receivable concentration in excess of 10% in 2015 and 2014. The outstanding balance as of December 31, 2015 and 2014 for SKF was $16.2 million and $17.5 million, respectively. All revenues and receivables related to SKF are in the Precision Bearing Components Group and Precision Engineered Products Group (formerly known as “Plastic and Rubber Components Group).</w:t>
      </w:r>
    </w:p>
    <w:p>
      <w:pPr>
        <w:spacing w:after="0" w:line="33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10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50,204</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$35,191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30,604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21,883</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34,395</w:t>
            </w:r>
          </w:p>
        </w:tc>
        <w:tc>
          <w:tcPr>
            <w:tcW w:w="100" w:type="dxa"/>
            <w:vAlign w:val="bottom"/>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119,836</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91,469</w:t>
            </w:r>
          </w:p>
        </w:tc>
        <w:tc>
          <w:tcPr>
            <w:tcW w:w="10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Finished goods inventory on consignment at customers’ sites at December 31, 2015 and 2014 was approximately $5.1 million and $5.9 million, respectively.</w:t>
      </w:r>
    </w:p>
    <w:p>
      <w:pPr>
        <w:spacing w:after="0" w:line="62"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6)</w:t>
            </w:r>
          </w:p>
        </w:tc>
        <w:tc>
          <w:tcPr>
            <w:tcW w:w="70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Estimated</w:t>
            </w:r>
          </w:p>
        </w:tc>
        <w:tc>
          <w:tcPr>
            <w:tcW w:w="80" w:type="dxa"/>
            <w:vAlign w:val="bottom"/>
          </w:tcPr>
          <w:p>
            <w:pPr>
              <w:spacing w:after="0"/>
              <w:rPr>
                <w:sz w:val="24"/>
                <w:szCs w:val="2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Useful Life</w:t>
            </w: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owned</w:t>
            </w: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Land under capital lease</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 owned</w:t>
            </w:r>
          </w:p>
        </w:tc>
        <w:tc>
          <w:tcPr>
            <w:tcW w:w="12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15-40 years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Buildings under capital lease</w:t>
            </w: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20 years</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3-12 years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432,841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408,299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16,049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21,027</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546,212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497,837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 accumulated depreciation</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227,244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219,395</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318,968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278,442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240"/>
        <w:spacing w:after="0" w:line="342" w:lineRule="auto"/>
        <w:rPr>
          <w:sz w:val="20"/>
          <w:szCs w:val="20"/>
          <w:color w:val="auto"/>
        </w:rPr>
      </w:pPr>
      <w:r>
        <w:rPr>
          <w:rFonts w:ascii="Arial" w:cs="Arial" w:eastAsia="Arial" w:hAnsi="Arial"/>
          <w:sz w:val="16"/>
          <w:szCs w:val="16"/>
          <w:color w:val="auto"/>
        </w:rPr>
        <w:t>During the years ended December 31, 2015 and 2014 we acquired $59.1 million and $168.5 million in property, plant and equipment with the two acquisition during 2015 and four acquisitions completed during 2014. (See Note 2 of the Notes to Consolidated Financial Statements).</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the years ended December 31, 2015, 2014, and 2013, depreciation expense was $31.5 million, $ 20.8 million and $17.0 million, respectively.</w:t>
      </w:r>
    </w:p>
    <w:p>
      <w:pPr>
        <w:spacing w:after="0" w:line="39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Long-term debt and short-term debt at December 31, 2015 and December 31, 2014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20" w:type="dxa"/>
            <w:vAlign w:val="bottom"/>
            <w:gridSpan w:val="3"/>
          </w:tcPr>
          <w:p>
            <w:pPr>
              <w:ind w:left="280"/>
              <w:spacing w:after="0"/>
              <w:rPr>
                <w:sz w:val="20"/>
                <w:szCs w:val="20"/>
                <w:color w:val="auto"/>
              </w:rPr>
            </w:pPr>
            <w:r>
              <w:rPr>
                <w:rFonts w:ascii="Arial" w:cs="Arial" w:eastAsia="Arial" w:hAnsi="Arial"/>
                <w:sz w:val="14"/>
                <w:szCs w:val="14"/>
                <w:b w:val="1"/>
                <w:bCs w:val="1"/>
                <w:color w:val="auto"/>
                <w:w w:val="90"/>
              </w:rPr>
              <w:t>December 31,</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Borrowings under our $575.0 million Senior Secured Term Loan B bearing</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interest the greater of 1% or 3 month LIBOR (0.61270% at December 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2015) plus an applicable margin of 4.75% at December 31, 2015, expiring</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 19, 2022, net of discount of $11.0 million.</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562,580</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5980" w:type="dxa"/>
            <w:vAlign w:val="bottom"/>
            <w:gridSpan w:val="2"/>
          </w:tcPr>
          <w:p>
            <w:pPr>
              <w:spacing w:after="0"/>
              <w:rPr>
                <w:sz w:val="20"/>
                <w:szCs w:val="20"/>
                <w:color w:val="auto"/>
              </w:rPr>
            </w:pPr>
            <w:r>
              <w:rPr>
                <w:rFonts w:ascii="Arial" w:cs="Arial" w:eastAsia="Arial" w:hAnsi="Arial"/>
                <w:sz w:val="18"/>
                <w:szCs w:val="18"/>
                <w:color w:val="auto"/>
                <w:w w:val="95"/>
              </w:rPr>
              <w:t>Borrowings under our $100.0 million Senior Secured Revolver bearing interest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at LIBOR (0.4239% at December 31, 2015) plus an applicable margin 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3.50% at December 31, 2015, expiring October 19, 2020.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6,462</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Borrowings under our $250.0 million Senior Notes bearing interest at 10.25%,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maturing on November 1, 2020, net of discount of $5.5 million.</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244,509</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w w:val="98"/>
              </w:rPr>
              <w:t>Borrowings under our $350.0 Term Loan B bearing interest at the greater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w w:val="96"/>
              </w:rPr>
              <w:t>1% or 3 month LIBOR (0.2560% at December 31, 2014) plus an applicable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margin of 5.00% at December 31, 2014, expiring August 29, 2019 net 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discount of $5.0 million.</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under our $100.0 million ABL Revolver bearing interest at a</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floating rate equal to LIBOR (0.17125% at December 31, 2014) plus an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applicable margin of 1.75% at December 31, 2014, expiring August 29,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color w:val="auto"/>
              </w:rPr>
              <w:t>French Safeguard Obligations (Autocam)</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Brazilian lines of credit and equipment notes (Autocam)</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color w:val="auto"/>
              </w:rPr>
              <w:t>Chinese line of credit (Autocam)</w:t>
            </w: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820,073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Less current maturities of long-term debt</w:t>
            </w: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11,714</w:t>
            </w:r>
          </w:p>
        </w:tc>
        <w:tc>
          <w:tcPr>
            <w:tcW w:w="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excluding current maturities of long-term debt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808,359</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60"/>
          </w:cols>
          <w:pgMar w:left="240" w:top="459" w:right="29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On October 19, 2015, concurrent with the PEP Acquisition, we: (i) entered into the New Term Loan Credit Facility; (ii) entered into the New Senior Secured Revolving Credit Facility; and (iii) issued the Senior Notes. Proceeds from the New Term Loan Credit Facility and the Senior Notes were used to finance the purchase price of the PEP Acquisition and pay down debt. The New Senior Credit Facilities replaced our existing credit facilities. On November 9, 2015, an incremental term loan of $50.0 million was drawn on the New Term Loan Credit Facility and the proceeds were used to repurchase approximately $50.0 million of the Senior Notes. As of December 31, 2015, $13.0 million of net capitalized deferred financing costs related to the New Senior Credit Facilities were recorded on the consolidated balance sheet within other non-current assets.</w:t>
      </w:r>
    </w:p>
    <w:p>
      <w:pPr>
        <w:spacing w:after="0" w:line="81" w:lineRule="exact"/>
        <w:rPr>
          <w:sz w:val="20"/>
          <w:szCs w:val="20"/>
          <w:color w:val="auto"/>
        </w:rPr>
      </w:pPr>
    </w:p>
    <w:p>
      <w:pPr>
        <w:ind w:left="920"/>
        <w:spacing w:after="0" w:line="285" w:lineRule="auto"/>
        <w:rPr>
          <w:sz w:val="20"/>
          <w:szCs w:val="20"/>
          <w:color w:val="auto"/>
        </w:rPr>
      </w:pPr>
      <w:r>
        <w:rPr>
          <w:rFonts w:ascii="Arial" w:cs="Arial" w:eastAsia="Arial" w:hAnsi="Arial"/>
          <w:sz w:val="16"/>
          <w:szCs w:val="16"/>
          <w:color w:val="auto"/>
        </w:rPr>
        <w:t>The interest applicable to borrowings under the New Senior Credit Facilities are based upon a fluctuating rate of interest measured by reference to either, at our option, (i) a base rate, plus an applicable margin, or (ii) the greater of the London Interbank Offered Rate (“LIBOR”) or 1.0%, plus an applicable margin. The initial applicable margin for all borrowings under the New Term Loan Credit Facility is 3.75% per annum with respect to base rate borrowings and 4.75% per annum with respect to LIBOR borrowings. The initial applicable margin for New Senior Secured Revolving Credit Facility borrowings is 2.5% per annum with respect to base rate borrowings and 3.5% per annum with respect to LIBOR borrowings, which shall be in effect until we provide a compliance certificate, as required by the credit agreement. Thereafter, the applicable margin shall be determined by reference to a ratio of our consolidated leverage ratio. Our obligations under the New Senior Credit Facilities are guaranteed by certain of our direct and indirect, existing and future domestic subsidiaries, subject to customary exceptions and limitations. The New Senior Credit Facilities are secured by a first priority lien over substantially all of NN’s and each guarantor’s assets, subject to certain customary exceptions. The New Senior Credit Facilities are subject to negative covenants that, among other things subject to certain exceptions, limit our ability and the ability of its restricted subsidiaries to: (i) incur liens; (ii) incur indebtedness; (iii) make investments and acquisitions, (iv) merge, liquidate or dissolve, (v) sell assets, including capital stock of subsidiaries; (vi) pay dividends on capital stock or redeem, repurchase or retire capital stock; (viii) alter our business; (viii) engage in transactions with our affiliates; and (ix) enter into agreements limiting subsidiary dividends and distributions. In the event borrowings under the New Senior Secured Revolving Credit Facility exceed 30.0% of the aggregate commitments under the revolver, we will become subject to a financial covenant that requires us to maintain a specified consolidated net leverage ratio. The credit agreement provides that we have the right to request one or more increases in the revolving loan commitments or term loan commitment up to $100.0 million in the aggregate. In total, including the additional $50.0 million incremental term loan, we have paid original issue discount fees of $11.3 million, which are being amortized into interest expense over the life of the New Senior Credit Facilities. $12.5 million in net capitalized loan origination costs related to our $350.0 million credit facility were written off as of October 19, 2015. $0.4 million in net capitalized loan origination costs related to the $100.0 million asset backed revolver were also written off as of October 19, 2015.</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60"/>
        <w:spacing w:after="0" w:line="285" w:lineRule="auto"/>
        <w:rPr>
          <w:sz w:val="20"/>
          <w:szCs w:val="20"/>
          <w:color w:val="auto"/>
        </w:rPr>
      </w:pPr>
      <w:r>
        <w:rPr>
          <w:rFonts w:ascii="Arial" w:cs="Arial" w:eastAsia="Arial" w:hAnsi="Arial"/>
          <w:sz w:val="16"/>
          <w:szCs w:val="16"/>
          <w:color w:val="auto"/>
        </w:rPr>
        <w:t>The Senior Notes will mature on November 1, 2020. Interest will be payable semi-annually in arrears on May 1 and November 1 of each year, commencing May 2016. Under the Senior Notes, we received funds of $293.3 million, net of a discount of $6.8 million, which is being amortized into interest expense over the life of the Senior Notes. The Senior Notes will be guaranteed by each existing direct and indirect domestic restricted subsidiaries (excluding immaterial subsidiaries). The Senior Notes and guarantees will be senior unsecured obligations of the issuer and the guarantors, respectively, and will rank pari passu in right of payments with all existing and future senior debt and senior to all existing and future subordinated debt of the issuer and guarantors. The Senior Notes and guarantees will be effectively subordinated to all existing and future secured debt of the issuer and guarantors to the extent of the assets securing such debt. In addition, the Senior Notes and the guarantees will be structurally subordinated to all indebtedness and other liabilities and preferred stock of our subsidiaries that do not guarantee the Senior Notes. The Senior Notes have not been registered under the Securities Act of 1933, as amended, or any state securities law and may not be offered or sold within the United States or to, or for the benefit of, a U.S. person (as defined by Regulation S under the Securities Act) except in transactions exempt from, or not subject to, the registration requirements of the Securities Act. The Senior Notes were offered and sold only to persons reasonably believed to be “qualified institutional buyers” (as defined in Rule 144A under the Securities Act) and to persons outside the United States under Regulations S. We will use our commercially reasonable efforts to register notes having substantially identical terms (other than restrictions on transfer and additional interest) as the Senior Notes with the Commission as part of an offer to exchange freely tradable exchange notes for the Senior Notes. We will use our commercially reasonable effort to file a registration statement for the exchange notes with the Commission and cause that registration statement to be declared effective 300 days of the issue date of the Senior Notes. If we fail to register the Senior Notes, than annual interest rate on the Senior Notes will increase by 0.25%. The annual interest rate on the Senior Notes will increase by an additional 0.25% for each subsequent 90-day period during which a registration default continues, up to a maximum additional interest rate of 1.0% per year.</w:t>
      </w:r>
    </w:p>
    <w:p>
      <w:pPr>
        <w:spacing w:after="0" w:line="62"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Concurrent with the Autocam acquisition, on August 29, 2014 we entered into two new credit facilities consisting of a $350.0 million term loan facility (“Term Loan”) and a $100.0 million asset backed revolver (“ABL”). Borrowings under our New Senior Credit Facilities were used to satisfy all of our obligations under the Term Loan and the ABL. Under the Term Loan, we received funds of $344.8 million, net of a discount of $5.3 million, which is being amortized into interest expense over the life of the Term Loan. These new facilities were utilized to fund the Autocam acquisition and to provide for short-term cash flow needs. Additionally, these new facilities replaced the $100.0 million revolving credit facility and the $20.0 million fixed rate agreement both of which were paid off with proceeds from the Term Loan. $1.4 million in net capitalized loan origination costs related to the $100.0 million facility was written off as of August 29, 2014. $30 thousand in net capitalized loan origination costs related to the $20.0 million fixed rate agreements was also written off as of August 29, 2014.</w:t>
      </w:r>
    </w:p>
    <w:p>
      <w:pPr>
        <w:spacing w:after="0" w:line="71" w:lineRule="exact"/>
        <w:rPr>
          <w:sz w:val="20"/>
          <w:szCs w:val="20"/>
          <w:color w:val="auto"/>
        </w:rPr>
      </w:pPr>
    </w:p>
    <w:p>
      <w:pPr>
        <w:ind w:left="920" w:right="100"/>
        <w:spacing w:after="0" w:line="255" w:lineRule="auto"/>
        <w:rPr>
          <w:sz w:val="20"/>
          <w:szCs w:val="20"/>
          <w:color w:val="auto"/>
        </w:rPr>
      </w:pPr>
      <w:r>
        <w:rPr>
          <w:rFonts w:ascii="Arial" w:cs="Arial" w:eastAsia="Arial" w:hAnsi="Arial"/>
          <w:sz w:val="18"/>
          <w:szCs w:val="18"/>
          <w:color w:val="auto"/>
        </w:rPr>
        <w:t>Our Term Loan had a seven year maturity with a 5% per annum repayment. The agreement relating to the Term Loan was a covenant lite agreement with no financial covenants and contained customary restrictions on, among other things, additional indebtedness, liens on our assets, sales or transfers of assets, investments, issuance of equity securities, and merger, acquisition and other fundamental changes in our business including a “material adverse change” clause, which if triggered would have given the lenders the right to accelerate the maturity of the debt. Costs associated with entering into the credit facility were capitalized and will be amortized into interest expense over the life of the facility. As of December 31, 2014, $8.0 million of net capitalized loan origination costs related to the Term Loan were recorded on the consolidated balance sheet within other non-current assets.</w:t>
      </w:r>
    </w:p>
    <w:p>
      <w:pPr>
        <w:spacing w:after="0" w:line="81" w:lineRule="exact"/>
        <w:rPr>
          <w:sz w:val="20"/>
          <w:szCs w:val="20"/>
          <w:color w:val="auto"/>
        </w:rPr>
      </w:pPr>
    </w:p>
    <w:p>
      <w:pPr>
        <w:ind w:left="920" w:right="40"/>
        <w:spacing w:after="0" w:line="272" w:lineRule="auto"/>
        <w:rPr>
          <w:sz w:val="20"/>
          <w:szCs w:val="20"/>
          <w:color w:val="auto"/>
        </w:rPr>
      </w:pPr>
      <w:r>
        <w:rPr>
          <w:rFonts w:ascii="Arial" w:cs="Arial" w:eastAsia="Arial" w:hAnsi="Arial"/>
          <w:sz w:val="17"/>
          <w:szCs w:val="17"/>
          <w:color w:val="auto"/>
        </w:rPr>
        <w:t>Our ABL had a five year maturity and has one springing financial covenant in the event our availability on the ABL fell below $8.0 million. The ABL contained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have given the lenders the right to accelerate the maturity of the debt. The facility had a swing line feature to meet short term cash flow needs. Borrowings under this swing line were considered short term. We incurred costs as a result of issuing the ABL which have been recorded on the consolidated balance sheet within other non-current assets and are being amortized over the term of the notes. The unamortized balance at December 31, 2014 was $1.0 million.</w:t>
      </w:r>
    </w:p>
    <w:p>
      <w:pPr>
        <w:spacing w:after="0" w:line="70" w:lineRule="exact"/>
        <w:rPr>
          <w:sz w:val="20"/>
          <w:szCs w:val="20"/>
          <w:color w:val="auto"/>
        </w:rPr>
      </w:pPr>
    </w:p>
    <w:p>
      <w:pPr>
        <w:ind w:left="920" w:right="420"/>
        <w:spacing w:after="0" w:line="259" w:lineRule="auto"/>
        <w:rPr>
          <w:sz w:val="20"/>
          <w:szCs w:val="20"/>
          <w:color w:val="auto"/>
        </w:rPr>
      </w:pPr>
      <w:r>
        <w:rPr>
          <w:rFonts w:ascii="Arial" w:cs="Arial" w:eastAsia="Arial" w:hAnsi="Arial"/>
          <w:sz w:val="18"/>
          <w:szCs w:val="18"/>
          <w:color w:val="auto"/>
        </w:rPr>
        <w:t>We believe the book values of the credit facilities described above approximate their fair values given the interest rates are variable and we entered into these facilities very close to the year ended December 31 2015 and 2014, at the then market rates for a company with our credit profile. Regarding the Senior Notes, since they are not syndicated and are currently not tradable, the present value is the face value of the outstanding Senior Notes.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As part of the merger with Autocam, we assumed certain foreign credit facilities. These facilities relate to local borrowings in France, Brazil and China. These facilities are with financial institutions in the countries in which foreign plants operate and are meant to fund working capital and equipment purchases in those countries. Below is a description of the credit facilities.</w:t>
      </w:r>
    </w:p>
    <w:p>
      <w:pPr>
        <w:spacing w:after="0" w:line="73" w:lineRule="exact"/>
        <w:rPr>
          <w:sz w:val="20"/>
          <w:szCs w:val="20"/>
          <w:color w:val="auto"/>
        </w:rPr>
      </w:pPr>
    </w:p>
    <w:p>
      <w:pPr>
        <w:ind w:left="920" w:right="220"/>
        <w:spacing w:after="0" w:line="293" w:lineRule="auto"/>
        <w:rPr>
          <w:sz w:val="20"/>
          <w:szCs w:val="20"/>
          <w:color w:val="auto"/>
        </w:rPr>
      </w:pPr>
      <w:r>
        <w:rPr>
          <w:rFonts w:ascii="Arial" w:cs="Arial" w:eastAsia="Arial" w:hAnsi="Arial"/>
          <w:sz w:val="16"/>
          <w:szCs w:val="16"/>
          <w:color w:val="auto"/>
        </w:rPr>
        <w:t>In 2008, Autocam filed “Procedure de Sauvegarde” (“Safeguard”) on behalf of each of their French subsidiaries, Autocam France, SARL and Bouverat Industries, SAS (“Bouverat”). They reached agreement with their creditors with claims subject to Safeguard protection in 2009. Provisions of the agreements allowed, at each creditor’s option, for the payment of a portion of the obligation in January 2010, or the entire obligation over a ten-year period. The liabilities carry a zero percent interest rate and are being paid annually until 2019. Amounts due as of December 31, 2015, to those creditors opting to be paid over a ten-year period totaled $2.0 million and are included in Current Maturities of Long-Term debt $0.4 million and long-term debt excluding current maturities of long-term debt $1.6 million.</w:t>
      </w:r>
    </w:p>
    <w:p>
      <w:pPr>
        <w:spacing w:after="0" w:line="57"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The Brazilian lines of credit include facilities with certain Brazilian banks used to fund working capital needs, while the equipment notes represent borrowings from certain Brazilian banks to fund equipment purchases for Autocam’s Brazilian plants. The lines of credit have interest rates of 2.5% to 9.1%.</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Chinese line of credit is a working capital line of credit with a Chinese bank bearing an interest rate of 4.95%.</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aggregate maturities of long-term debt including current portion for each of the five years subsequent to December 31, 2015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2"/>
          </w:tcPr>
          <w:p>
            <w:pPr>
              <w:jc w:val="right"/>
              <w:ind w:right="2400"/>
              <w:spacing w:after="0"/>
              <w:rPr>
                <w:sz w:val="20"/>
                <w:szCs w:val="20"/>
                <w:color w:val="auto"/>
              </w:rPr>
            </w:pPr>
            <w:r>
              <w:rPr>
                <w:rFonts w:ascii="Arial" w:cs="Arial" w:eastAsia="Arial" w:hAnsi="Arial"/>
                <w:sz w:val="14"/>
                <w:szCs w:val="14"/>
                <w:b w:val="1"/>
                <w:bCs w:val="1"/>
                <w:color w:val="auto"/>
              </w:rPr>
              <w:t>Year ending December 31,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2017</w:t>
            </w: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2019</w:t>
            </w: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255,259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Thereafter</w:t>
            </w:r>
          </w:p>
        </w:tc>
        <w:tc>
          <w:tcPr>
            <w:tcW w:w="5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533,830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820,073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140"/>
        <w:spacing w:after="0" w:line="272" w:lineRule="auto"/>
        <w:rPr>
          <w:sz w:val="20"/>
          <w:szCs w:val="20"/>
          <w:color w:val="auto"/>
        </w:rPr>
      </w:pPr>
      <w:r>
        <w:rPr>
          <w:rFonts w:ascii="Arial" w:cs="Arial" w:eastAsia="Arial" w:hAnsi="Arial"/>
          <w:sz w:val="17"/>
          <w:szCs w:val="17"/>
          <w:color w:val="auto"/>
        </w:rPr>
        <w:t>On June 1, 2004, our wholly owned subsidiary, NN Asia, entered into a twenty year lease agreement with Kunshan Tian Li Steel Structure Co. LTD for the lease of land and building (approximately 110,000 square feet) in the Kunshan Economic and Technology Development Zone, Jiangsu, The People’s Republic of China. The fair value of the land and building were estimated to be approximately $0.5 million and $1.9 million (at current exchange rates), respectively and undiscounted annual lease payments are approximately $0.3 million (approximately $5.6 million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pacing w:after="0" w:line="70"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On October 1, 2011, our wholly owned subsidiary, NN Asia, entered into a twenty year lease agreement with Kunshan Tian Li Steel Structure Co. LTD for the lease of land and building adjacent to the current leased facility (approximately 75,000 square feet) in the Kunshan Economic and Technology Development Zone, Jiangsu, The People’s Republic of China. This lease was entered into to expand the production capacity of our current leased facility. The fair value of the land and building were estimated to be approximately $0.8 million and $1.1 million (at current exchange rates), respectively and undiscounted annual lease payments are approximately $0.2 million (approximately $3.6 million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Below are the aggregate minimum future lease payments under both capital leases together with the present value of the net minimum lease payments as of December 31, 2015:</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ind w:left="3000"/>
              <w:spacing w:after="0"/>
              <w:rPr>
                <w:sz w:val="20"/>
                <w:szCs w:val="20"/>
                <w:color w:val="auto"/>
              </w:rPr>
            </w:pPr>
            <w:r>
              <w:rPr>
                <w:rFonts w:ascii="Arial" w:cs="Arial" w:eastAsia="Arial" w:hAnsi="Arial"/>
                <w:sz w:val="14"/>
                <w:szCs w:val="14"/>
                <w:b w:val="1"/>
                <w:bCs w:val="1"/>
                <w:color w:val="auto"/>
              </w:rPr>
              <w:t>Year ending December 31,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2017</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2019</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Less interest included in payments above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480"/>
        <w:spacing w:after="0" w:line="291" w:lineRule="auto"/>
        <w:rPr>
          <w:sz w:val="20"/>
          <w:szCs w:val="20"/>
          <w:color w:val="auto"/>
        </w:rPr>
      </w:pPr>
      <w:r>
        <w:rPr>
          <w:rFonts w:ascii="Arial" w:cs="Arial" w:eastAsia="Arial" w:hAnsi="Arial"/>
          <w:sz w:val="16"/>
          <w:szCs w:val="16"/>
          <w:color w:val="auto"/>
        </w:rPr>
        <w:t>With the Autocam acquisition, we assumed capital leases on certain buildings and equipment. The cost of the assets subject to capital lease obligations as reflected in Property, Plant and Equipment, net in our Consolidated Balance Sheet was $25.0 million as of December 31,</w:t>
      </w:r>
    </w:p>
    <w:p>
      <w:pPr>
        <w:ind w:left="920"/>
        <w:spacing w:after="0" w:line="261" w:lineRule="auto"/>
        <w:rPr>
          <w:sz w:val="20"/>
          <w:szCs w:val="20"/>
          <w:color w:val="auto"/>
        </w:rPr>
      </w:pPr>
      <w:r>
        <w:rPr>
          <w:rFonts w:ascii="Arial" w:cs="Arial" w:eastAsia="Arial" w:hAnsi="Arial"/>
          <w:sz w:val="18"/>
          <w:szCs w:val="18"/>
          <w:color w:val="auto"/>
        </w:rPr>
        <w:t>2014. The accumulated depreciation of such assets as reflected in Property, Plant and Equipment, net in our Consolidated Balance Sheet was $2.6 million and $0.6 million as of December 31, 2015 and 2014.</w:t>
      </w:r>
    </w:p>
    <w:p>
      <w:pPr>
        <w:spacing w:after="0" w:line="76" w:lineRule="exact"/>
        <w:rPr>
          <w:sz w:val="20"/>
          <w:szCs w:val="20"/>
          <w:color w:val="auto"/>
        </w:rPr>
      </w:pPr>
    </w:p>
    <w:p>
      <w:pPr>
        <w:ind w:left="920" w:right="600"/>
        <w:spacing w:after="0" w:line="277" w:lineRule="auto"/>
        <w:rPr>
          <w:sz w:val="20"/>
          <w:szCs w:val="20"/>
          <w:color w:val="auto"/>
        </w:rPr>
      </w:pPr>
      <w:r>
        <w:rPr>
          <w:rFonts w:ascii="Arial" w:cs="Arial" w:eastAsia="Arial" w:hAnsi="Arial"/>
          <w:sz w:val="18"/>
          <w:szCs w:val="18"/>
          <w:color w:val="auto"/>
        </w:rPr>
        <w:t>Below are the minimum future lease payments under the assumed capital leases together with the present value of the net minimum lease payments as of December 31, 2015:</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ind w:left="3000"/>
              <w:spacing w:after="0"/>
              <w:rPr>
                <w:sz w:val="20"/>
                <w:szCs w:val="20"/>
                <w:color w:val="auto"/>
              </w:rPr>
            </w:pPr>
            <w:r>
              <w:rPr>
                <w:rFonts w:ascii="Arial" w:cs="Arial" w:eastAsia="Arial" w:hAnsi="Arial"/>
                <w:sz w:val="14"/>
                <w:szCs w:val="14"/>
                <w:b w:val="1"/>
                <w:bCs w:val="1"/>
                <w:color w:val="auto"/>
              </w:rPr>
              <w:t>Year ending December 31,</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2017</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2019</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Less interest included in payments above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920" w:right="140"/>
        <w:spacing w:after="0" w:line="255" w:lineRule="auto"/>
        <w:rPr>
          <w:sz w:val="20"/>
          <w:szCs w:val="20"/>
          <w:color w:val="auto"/>
        </w:rPr>
      </w:pPr>
      <w:r>
        <w:rPr>
          <w:rFonts w:ascii="Arial" w:cs="Arial" w:eastAsia="Arial" w:hAnsi="Arial"/>
          <w:sz w:val="18"/>
          <w:szCs w:val="18"/>
          <w:color w:val="auto"/>
        </w:rPr>
        <w:t>We have defined contribution 401(k) profit sharing plans covering substantially all U.S. employees. All eligible employees may enroll in the plans on the first day of the month following their employment date. A participant may elect to contribute between 1% and 60% of their compensation to the plans, subject to Internal Revenue Service (“IRS”) dollar limitations. Participants age 50 and older may defer an additional amount up to the applicable IRS Catch Up Provision Limit. We provide a matching contribution, which is determined on an individual, participating company basis. All participant contributions are immediately vested at 100%. Contributions for all U.S. employees were $0.2 million, $0.8 million and $0.3 million in 2015, 2014, and 2013, respectively.</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Post-Employment Benefit Liabilities</w:t>
      </w:r>
    </w:p>
    <w:p>
      <w:pPr>
        <w:spacing w:after="0" w:line="121"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We provide certain post-employment benefits to employees at our Pinerolo and Veenendaal plants that are either required by law or are local labor practice. There is a plan at our Pinerolo plant and at our Veenendaal plant which are described below.</w:t>
      </w:r>
    </w:p>
    <w:p>
      <w:pPr>
        <w:spacing w:after="0" w:line="62" w:lineRule="exact"/>
        <w:rPr>
          <w:sz w:val="20"/>
          <w:szCs w:val="20"/>
          <w:color w:val="auto"/>
        </w:rPr>
      </w:pPr>
    </w:p>
    <w:p>
      <w:pPr>
        <w:ind w:left="920" w:right="740"/>
        <w:spacing w:after="0" w:line="277" w:lineRule="auto"/>
        <w:rPr>
          <w:sz w:val="20"/>
          <w:szCs w:val="20"/>
          <w:color w:val="auto"/>
        </w:rPr>
      </w:pPr>
      <w:r>
        <w:rPr>
          <w:rFonts w:ascii="Arial" w:cs="Arial" w:eastAsia="Arial" w:hAnsi="Arial"/>
          <w:sz w:val="18"/>
          <w:szCs w:val="18"/>
          <w:color w:val="auto"/>
        </w:rPr>
        <w:t>In accordance with Italian law, we have an unfunded severance plan under which all Italian employees are entitled to receive severance indemnities (Trattamento di Fine Rapporto or “TFR”) upon termination of their employment.</w:t>
      </w:r>
    </w:p>
    <w:p>
      <w:pPr>
        <w:spacing w:after="0" w:line="62" w:lineRule="exact"/>
        <w:rPr>
          <w:sz w:val="20"/>
          <w:szCs w:val="20"/>
          <w:color w:val="auto"/>
        </w:rPr>
      </w:pPr>
    </w:p>
    <w:p>
      <w:pPr>
        <w:ind w:left="920" w:right="480"/>
        <w:spacing w:after="0" w:line="277" w:lineRule="auto"/>
        <w:rPr>
          <w:sz w:val="20"/>
          <w:szCs w:val="20"/>
          <w:color w:val="auto"/>
        </w:rPr>
      </w:pPr>
      <w:r>
        <w:rPr>
          <w:rFonts w:ascii="Arial" w:cs="Arial" w:eastAsia="Arial" w:hAnsi="Arial"/>
          <w:sz w:val="18"/>
          <w:szCs w:val="18"/>
          <w:color w:val="auto"/>
        </w:rPr>
        <w:t>Effective January 1, 2007, the amount payable, based on salary paid, is remitted to a pension fund managed by a third party. The severance indemnities paid to the pension fund accrue approximately at the rate of 1/13.5 of the gross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salaries paid during the year. The amounts accrued become payable upon termination of the individual employee, for any reason, e.g., retirement, dismissal or reduction in work force. Employees are fully vested in TFR benefits after their first year of service.</w:t>
      </w:r>
    </w:p>
    <w:p>
      <w:pPr>
        <w:spacing w:after="0" w:line="62" w:lineRule="exact"/>
        <w:rPr>
          <w:sz w:val="20"/>
          <w:szCs w:val="20"/>
          <w:color w:val="auto"/>
        </w:rPr>
      </w:pPr>
    </w:p>
    <w:p>
      <w:pPr>
        <w:jc w:val="both"/>
        <w:ind w:left="920" w:right="120"/>
        <w:spacing w:after="0" w:line="264" w:lineRule="auto"/>
        <w:rPr>
          <w:sz w:val="20"/>
          <w:szCs w:val="20"/>
          <w:color w:val="auto"/>
        </w:rPr>
      </w:pPr>
      <w:r>
        <w:rPr>
          <w:rFonts w:ascii="Arial" w:cs="Arial" w:eastAsia="Arial" w:hAnsi="Arial"/>
          <w:sz w:val="18"/>
          <w:szCs w:val="18"/>
          <w:color w:val="auto"/>
        </w:rPr>
        <w:t>We have a plan that covers our Veenendaal plant employees that provides an award for employees who achieve 25 or 40 years of service and an award for employees upon retirement. The plan is unfunded and the benefits are based on years of service and rate of compensation at the time the award is paid.</w:t>
      </w:r>
    </w:p>
    <w:p>
      <w:pPr>
        <w:spacing w:after="0" w:line="73"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The amounts shown in the table below represent the actual liabilities at December 31, 2015 and 2014 reported under accrued post-employment benefits in the Consolidated Balance Sheets for both plans combined.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$6,024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$ 6,920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accrued</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employees/government managed plan</w:t>
            </w:r>
          </w:p>
        </w:tc>
        <w:tc>
          <w:tcPr>
            <w:tcW w:w="2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Foreign currency impacts</w:t>
            </w:r>
          </w:p>
        </w:tc>
        <w:tc>
          <w:tcPr>
            <w:tcW w:w="16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(622)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Defined Benefit Plan</w:t>
      </w:r>
    </w:p>
    <w:p>
      <w:pPr>
        <w:spacing w:after="0" w:line="121" w:lineRule="exact"/>
        <w:rPr>
          <w:sz w:val="20"/>
          <w:szCs w:val="20"/>
          <w:color w:val="auto"/>
        </w:rPr>
      </w:pPr>
    </w:p>
    <w:p>
      <w:pPr>
        <w:ind w:left="460" w:right="280"/>
        <w:spacing w:after="0" w:line="312" w:lineRule="auto"/>
        <w:rPr>
          <w:sz w:val="20"/>
          <w:szCs w:val="20"/>
          <w:color w:val="auto"/>
        </w:rPr>
      </w:pPr>
      <w:r>
        <w:rPr>
          <w:rFonts w:ascii="Arial" w:cs="Arial" w:eastAsia="Arial" w:hAnsi="Arial"/>
          <w:sz w:val="16"/>
          <w:szCs w:val="16"/>
          <w:color w:val="auto"/>
        </w:rPr>
        <w:t>Effective with the Autocam acquisition on August 29, 2014, we sponsor a defined benefit pension plan (the “Pension Plan”) for substantially all employees of the Bouverat, France plant. These benefits are calculated based on each employee’s years of credited service and most recent monthly compensation and service category. Employees become vested in accordance with governmental regulations in place at the time of retirement.</w:t>
      </w:r>
    </w:p>
    <w:p>
      <w:pPr>
        <w:spacing w:after="0" w:line="39" w:lineRule="exact"/>
        <w:rPr>
          <w:sz w:val="20"/>
          <w:szCs w:val="20"/>
          <w:color w:val="auto"/>
        </w:rPr>
      </w:pPr>
    </w:p>
    <w:p>
      <w:pPr>
        <w:ind w:left="460" w:right="180"/>
        <w:spacing w:after="0" w:line="308" w:lineRule="auto"/>
        <w:rPr>
          <w:sz w:val="20"/>
          <w:szCs w:val="20"/>
          <w:color w:val="auto"/>
        </w:rPr>
      </w:pPr>
      <w:r>
        <w:rPr>
          <w:rFonts w:ascii="Arial" w:cs="Arial" w:eastAsia="Arial" w:hAnsi="Arial"/>
          <w:sz w:val="17"/>
          <w:szCs w:val="17"/>
          <w:color w:val="auto"/>
        </w:rPr>
        <w:t>For the purpose of calculating the actuarial present value of the benefit obligation under the Pension Plan, the discount rates assumed were 2.15% for 2015. The compensation growth rate was assumed was 3.0% for 2015. The measurement date was December 31, 2015.</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projected benefit obligation information for the Pension Plan and the plan activity for the years ended December 31, 2015 and 2014:</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4"/>
                <w:szCs w:val="14"/>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measurement date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Effect of salary increases</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measurement date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1,444</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60" w:type="dxa"/>
            <w:vAlign w:val="bottom"/>
            <w:gridSpan w:val="2"/>
          </w:tcPr>
          <w:p>
            <w:pPr>
              <w:spacing w:after="0"/>
              <w:rPr>
                <w:sz w:val="20"/>
                <w:szCs w:val="20"/>
                <w:color w:val="auto"/>
              </w:rPr>
            </w:pPr>
            <w:r>
              <w:rPr>
                <w:rFonts w:ascii="Arial" w:cs="Arial" w:eastAsia="Arial" w:hAnsi="Arial"/>
                <w:sz w:val="18"/>
                <w:szCs w:val="18"/>
                <w:color w:val="auto"/>
              </w:rPr>
              <w:t>Projected benefit obligation at date of acquisition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1,537</w:t>
            </w:r>
          </w:p>
        </w:tc>
        <w:tc>
          <w:tcPr>
            <w:tcW w:w="2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Actuarial gains (losses)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Effect of foreign currency translation gains and other</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measurement date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1,444</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net periodic benefit cost information for the Pension Plan for the years ended December 31, 2015 and 2014:</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3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70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4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$ 37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100" w:type="dxa"/>
            <w:vAlign w:val="bottom"/>
            <w:vMerge w:val="restart"/>
          </w:tcPr>
          <w:p>
            <w:pPr>
              <w:jc w:val="right"/>
              <w:ind w:right="2974"/>
              <w:spacing w:after="0"/>
              <w:rPr>
                <w:sz w:val="20"/>
                <w:szCs w:val="20"/>
                <w:color w:val="auto"/>
              </w:rPr>
            </w:pPr>
            <w:r>
              <w:rPr>
                <w:rFonts w:ascii="Arial" w:cs="Arial" w:eastAsia="Arial" w:hAnsi="Arial"/>
                <w:sz w:val="18"/>
                <w:szCs w:val="18"/>
                <w:color w:val="auto"/>
              </w:rPr>
              <w:t>60</w:t>
            </w: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tcPr>
          <w:p>
            <w:pPr>
              <w:jc w:val="center"/>
              <w:ind w:left="1291"/>
              <w:spacing w:after="0"/>
              <w:rPr>
                <w:sz w:val="20"/>
                <w:szCs w:val="20"/>
                <w:color w:val="auto"/>
              </w:rPr>
            </w:pPr>
            <w:r>
              <w:rPr>
                <w:rFonts w:ascii="Arial" w:cs="Arial" w:eastAsia="Arial" w:hAnsi="Arial"/>
                <w:sz w:val="18"/>
                <w:szCs w:val="18"/>
                <w:b w:val="1"/>
                <w:bCs w:val="1"/>
                <w:color w:val="auto"/>
                <w:w w:val="95"/>
              </w:rPr>
              <w:t>NN, Inc.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tcPr>
          <w:p>
            <w:pPr>
              <w:jc w:val="center"/>
              <w:ind w:left="1271"/>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tcPr>
          <w:p>
            <w:pPr>
              <w:jc w:val="center"/>
              <w:ind w:left="1291"/>
              <w:spacing w:after="0"/>
              <w:rPr>
                <w:sz w:val="20"/>
                <w:szCs w:val="20"/>
                <w:color w:val="auto"/>
              </w:rPr>
            </w:pPr>
            <w:r>
              <w:rPr>
                <w:rFonts w:ascii="Arial" w:cs="Arial" w:eastAsia="Arial" w:hAnsi="Arial"/>
                <w:sz w:val="18"/>
                <w:szCs w:val="18"/>
                <w:b w:val="1"/>
                <w:bCs w:val="1"/>
                <w:color w:val="auto"/>
                <w:w w:val="89"/>
              </w:rPr>
              <w:t>December 31, 2015, 2014 and 2013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80" w:type="dxa"/>
            <w:vAlign w:val="bottom"/>
          </w:tcPr>
          <w:p>
            <w:pPr>
              <w:jc w:val="center"/>
              <w:ind w:left="1291"/>
              <w:spacing w:after="0"/>
              <w:rPr>
                <w:sz w:val="20"/>
                <w:szCs w:val="20"/>
                <w:color w:val="auto"/>
              </w:rPr>
            </w:pPr>
            <w:r>
              <w:rPr>
                <w:rFonts w:ascii="Arial" w:cs="Arial" w:eastAsia="Arial" w:hAnsi="Arial"/>
                <w:sz w:val="18"/>
                <w:szCs w:val="18"/>
                <w:b w:val="1"/>
                <w:bCs w:val="1"/>
                <w:color w:val="auto"/>
                <w:w w:val="88"/>
              </w:rPr>
              <w:t>(In thousands, except per share data)</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220" w:type="dxa"/>
            <w:vAlign w:val="bottom"/>
            <w:gridSpan w:val="3"/>
          </w:tcPr>
          <w:p>
            <w:pPr>
              <w:spacing w:after="0"/>
              <w:rPr>
                <w:sz w:val="20"/>
                <w:szCs w:val="20"/>
                <w:color w:val="auto"/>
              </w:rPr>
            </w:pPr>
            <w:r>
              <w:rPr>
                <w:rFonts w:ascii="Arial" w:cs="Arial" w:eastAsia="Arial" w:hAnsi="Arial"/>
                <w:sz w:val="18"/>
                <w:szCs w:val="18"/>
                <w:color w:val="auto"/>
              </w:rPr>
              <w:t>We expect benefit payments under the Pension Plan to be: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80" w:type="dxa"/>
            <w:vAlign w:val="bottom"/>
          </w:tcPr>
          <w:p>
            <w:pPr>
              <w:ind w:left="3020"/>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2021-2025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benefit payments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220" w:type="dxa"/>
            <w:vAlign w:val="bottom"/>
            <w:gridSpan w:val="3"/>
          </w:tcPr>
          <w:p>
            <w:pPr>
              <w:spacing w:after="0"/>
              <w:rPr>
                <w:sz w:val="20"/>
                <w:szCs w:val="20"/>
                <w:color w:val="auto"/>
              </w:rPr>
            </w:pPr>
            <w:r>
              <w:rPr>
                <w:rFonts w:ascii="Arial" w:cs="Arial" w:eastAsia="Arial" w:hAnsi="Arial"/>
                <w:sz w:val="18"/>
                <w:szCs w:val="18"/>
                <w:color w:val="auto"/>
              </w:rPr>
              <w:t>Set forth below is plan asset information for the Pension Plan: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380" w:type="dxa"/>
            <w:vAlign w:val="bottom"/>
            <w:vMerge w:val="restart"/>
          </w:tcPr>
          <w:p>
            <w:pPr>
              <w:spacing w:after="0"/>
              <w:rPr>
                <w:sz w:val="7"/>
                <w:szCs w:val="7"/>
                <w:color w:val="auto"/>
              </w:rPr>
            </w:pPr>
          </w:p>
        </w:tc>
        <w:tc>
          <w:tcPr>
            <w:tcW w:w="460" w:type="dxa"/>
            <w:vAlign w:val="bottom"/>
          </w:tcPr>
          <w:p>
            <w:pPr>
              <w:spacing w:after="0"/>
              <w:rPr>
                <w:sz w:val="7"/>
                <w:szCs w:val="7"/>
                <w:color w:val="auto"/>
              </w:rPr>
            </w:pPr>
          </w:p>
        </w:tc>
        <w:tc>
          <w:tcPr>
            <w:tcW w:w="6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 assets at fair value at measurement date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Projected benefit obligations at measurement date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(1,444)</w:t>
            </w:r>
          </w:p>
        </w:tc>
        <w:tc>
          <w:tcPr>
            <w:tcW w:w="1080" w:type="dxa"/>
            <w:vAlign w:val="bottom"/>
            <w:gridSpan w:val="6"/>
          </w:tcPr>
          <w:p>
            <w:pPr>
              <w:jc w:val="right"/>
              <w:ind w:right="6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status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8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20" w:type="dxa"/>
            <w:vAlign w:val="bottom"/>
            <w:gridSpan w:val="3"/>
          </w:tcPr>
          <w:p>
            <w:pPr>
              <w:ind w:left="1380"/>
              <w:spacing w:after="0"/>
              <w:rPr>
                <w:sz w:val="20"/>
                <w:szCs w:val="20"/>
                <w:color w:val="auto"/>
              </w:rPr>
            </w:pPr>
            <w:r>
              <w:rPr>
                <w:rFonts w:ascii="Arial" w:cs="Arial" w:eastAsia="Arial" w:hAnsi="Arial"/>
                <w:sz w:val="18"/>
                <w:szCs w:val="18"/>
                <w:color w:val="auto"/>
              </w:rPr>
              <w:t>Plan assets at fair value at date of acquisition</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translation gains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8220" w:type="dxa"/>
            <w:vAlign w:val="bottom"/>
            <w:gridSpan w:val="3"/>
          </w:tcPr>
          <w:p>
            <w:pPr>
              <w:ind w:left="1380"/>
              <w:spacing w:after="0"/>
              <w:rPr>
                <w:sz w:val="20"/>
                <w:szCs w:val="20"/>
                <w:color w:val="auto"/>
              </w:rPr>
            </w:pPr>
            <w:r>
              <w:rPr>
                <w:rFonts w:ascii="Arial" w:cs="Arial" w:eastAsia="Arial" w:hAnsi="Arial"/>
                <w:sz w:val="18"/>
                <w:szCs w:val="18"/>
                <w:color w:val="auto"/>
              </w:rPr>
              <w:t>Plan assets at fair value at measurement date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assumed rate of return on assets of the Pension Plan was 2.0% for all periods presented. We have a targeted goal of allocating plan assets one-third to equity and two-thirds to fixed income securities. Actual allocations of Pension Plan assets between equity and fixed income securities were 23% and 77%, respectively, as of December 31, 2015. Our expected funding obligations under the Pension Plan in 2016 is $0.1 million.</w:t>
      </w:r>
    </w:p>
    <w:p>
      <w:pPr>
        <w:spacing w:after="0" w:line="31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jc w:val="both"/>
        <w:ind w:left="920" w:right="160"/>
        <w:spacing w:after="0" w:line="312" w:lineRule="auto"/>
        <w:rPr>
          <w:sz w:val="20"/>
          <w:szCs w:val="20"/>
          <w:color w:val="auto"/>
        </w:rPr>
      </w:pPr>
      <w:r>
        <w:rPr>
          <w:rFonts w:ascii="Arial" w:cs="Arial" w:eastAsia="Arial" w:hAnsi="Arial"/>
          <w:sz w:val="16"/>
          <w:szCs w:val="16"/>
          <w:color w:val="auto"/>
        </w:rPr>
        <w:t>We recognize compensation expense of all employee and non-employee director share-based compensation awards in the financial statements based upon the fair value of the awards over the requisite service or vesting period, less anticipated forfeitures. We account for stock awards by recognizing the fair value of the awarded stock at the grant date as compensation expense over the vesting period, less anticipated forfeitures.</w:t>
      </w:r>
    </w:p>
    <w:p>
      <w:pPr>
        <w:spacing w:after="0" w:line="39" w:lineRule="exact"/>
        <w:rPr>
          <w:sz w:val="20"/>
          <w:szCs w:val="20"/>
          <w:color w:val="auto"/>
        </w:rPr>
      </w:pPr>
    </w:p>
    <w:p>
      <w:pPr>
        <w:ind w:left="920"/>
        <w:spacing w:after="0" w:line="297" w:lineRule="auto"/>
        <w:rPr>
          <w:sz w:val="20"/>
          <w:szCs w:val="20"/>
          <w:color w:val="auto"/>
        </w:rPr>
      </w:pPr>
      <w:r>
        <w:rPr>
          <w:rFonts w:ascii="Arial" w:cs="Arial" w:eastAsia="Arial" w:hAnsi="Arial"/>
          <w:sz w:val="16"/>
          <w:szCs w:val="16"/>
          <w:color w:val="auto"/>
        </w:rPr>
        <w:t>In the years ended December 31, 2015, 2014, and 2013, approximately $3.7 million, $2.6 million, and $2.2 million, respectively of compensation expense was recognized in selling, general and administrative expense for all share-based awards. The compensation expense recognized in the years ended December 31, 2015, 2014 and 2013 related to stock options was $0.9 million, $1.3 million and $1.4 million, respectively. The compensation expense related to stock awards in the years ended December 31, 2015, 2014 and 2013 was $2.4 million, $1.3 million and $0.8 million, respectively. The compensation expense related to performance based awards in the year ended December 31, 2015, was $0.4 million.</w:t>
      </w:r>
    </w:p>
    <w:p>
      <w:pPr>
        <w:spacing w:after="0" w:line="50"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As of December 31, 2015, we have approximately 827,476 maximum shares that can be issued as options, stock appreciation rights, and/or other stock based awards.</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Stock Option Awards</w:t>
      </w:r>
    </w:p>
    <w:p>
      <w:pPr>
        <w:spacing w:after="0" w:line="121"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Option awards are typically granted to non-employee directors and key employees on an annual basis. A single option grant is typically awarded to eligible employees and non-employee directors each year if and when granted by the Compensation Committee of the Board of Directors and occasionally individual grants are awarded to eligible employees. All employee and non-employee directors are awarded options at an exercise price equal to the closing price of our stock on the date of grant. The term life of options is ten years with vesting periods of generally three years for key employees and one year for non-employee directors. The fair value of our options cannot be determined by market value as they are not traded in an open market. Accordingly, the Black Scholes financial pricing model is utilized to determine fair value based on certain assumptions discussed below.</w:t>
      </w:r>
    </w:p>
    <w:p>
      <w:pPr>
        <w:sectPr>
          <w:pgSz w:w="11900" w:h="16838" w:orient="portrait"/>
          <w:cols w:equalWidth="0" w:num="1">
            <w:col w:w="11400"/>
          </w:cols>
          <w:pgMar w:left="240" w:top="459" w:right="25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459" w:right="2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During 2015, 2014 and 2013, we granted options to purchase 54,600, 108,620, and 353,600 shares, respectively, to certain key employees and non-employee directors. The weighted average grant date fair value of the options granted during the years ended December 31, 2015, 2014 and 2013 was $12.61, $9.48 and $5.17, respectively. Upon exercise of stock options, new shares of our stock are issued. The weighted average assumptions relevant to determining the fair value at the dates of grant are below:</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2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0.87%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59.22%</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56.75%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57.00%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bl>
    <w:p>
      <w:pPr>
        <w:spacing w:after="0" w:line="94"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mathematical formula utilizing daily closing price data.</w:t>
      </w:r>
    </w:p>
    <w:p>
      <w:pPr>
        <w:spacing w:after="0" w:line="62"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62"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62"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forfeiture rate is determined from examining the historical pre-vesting forfeiture patterns of past option issuances to key employees. While the forfeiture rate is not an input of the Black Scholes model for determining the fair value of the options, it is an important determinant of stock option compensation expense to be recorded.</w:t>
      </w:r>
    </w:p>
    <w:p>
      <w:pPr>
        <w:spacing w:after="0" w:line="73"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The term is derived from using the “Simplified Method” of determining stock option terms as described under the Securities and Exchange Commission’s Staff Accounting Bulletin 107.</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provides a reconciliation of option activity for the year ended December 31,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860" w:type="dxa"/>
            <w:vAlign w:val="bottom"/>
            <w:gridSpan w:val="3"/>
            <w:vMerge w:val="restart"/>
          </w:tcPr>
          <w:p>
            <w:pPr>
              <w:jc w:val="center"/>
              <w:ind w:right="16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5"/>
              </w:rPr>
              <w:t>Shares</w:t>
            </w:r>
          </w:p>
        </w:tc>
        <w:tc>
          <w:tcPr>
            <w:tcW w:w="11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860" w:type="dxa"/>
            <w:vAlign w:val="bottom"/>
            <w:gridSpan w:val="3"/>
          </w:tcPr>
          <w:p>
            <w:pPr>
              <w:jc w:val="center"/>
              <w:ind w:right="143"/>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000" w:type="dxa"/>
            <w:vAlign w:val="bottom"/>
            <w:gridSpan w:val="2"/>
            <w:vMerge w:val="continue"/>
          </w:tcPr>
          <w:p>
            <w:pPr>
              <w:spacing w:after="0"/>
              <w:rPr>
                <w:sz w:val="12"/>
                <w:szCs w:val="12"/>
                <w:color w:val="auto"/>
              </w:rPr>
            </w:pPr>
          </w:p>
        </w:tc>
        <w:tc>
          <w:tcPr>
            <w:tcW w:w="11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63"/>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6200" w:type="dxa"/>
            <w:vAlign w:val="bottom"/>
            <w:gridSpan w:val="3"/>
            <w:vMerge w:val="continue"/>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(000’s)</w:t>
            </w:r>
          </w:p>
        </w:tc>
        <w:tc>
          <w:tcPr>
            <w:tcW w:w="120" w:type="dxa"/>
            <w:vAlign w:val="bottom"/>
          </w:tcPr>
          <w:p>
            <w:pPr>
              <w:spacing w:after="0"/>
              <w:rPr>
                <w:sz w:val="14"/>
                <w:szCs w:val="14"/>
                <w:color w:val="auto"/>
              </w:rPr>
            </w:pPr>
          </w:p>
        </w:tc>
        <w:tc>
          <w:tcPr>
            <w:tcW w:w="1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1,175</w:t>
            </w:r>
          </w:p>
        </w:tc>
        <w:tc>
          <w:tcPr>
            <w:tcW w:w="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5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25.16</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11.42</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13.44</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1,034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12.09</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4,867</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Exercisable at December 31, 2015</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w w:val="76"/>
              </w:rPr>
              <w:t>(1)</w:t>
            </w:r>
          </w:p>
        </w:tc>
        <w:tc>
          <w:tcPr>
            <w:tcW w:w="0" w:type="dxa"/>
            <w:vAlign w:val="bottom"/>
          </w:tcPr>
          <w:p>
            <w:pPr>
              <w:spacing w:after="0" w:line="20" w:lineRule="exact"/>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540" w:type="dxa"/>
            <w:vAlign w:val="bottom"/>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79"/>
              </w:rPr>
              <w:t>5.2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80" w:hanging="452"/>
        <w:spacing w:after="0" w:line="277"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December 31, 2015.</w:t>
      </w:r>
    </w:p>
    <w:p>
      <w:pPr>
        <w:spacing w:after="0" w:line="62"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As of December 31, 2015, there was approximately $0.6 million and $1.1 million of unrecognized compensation costs for stock options and restricted stock, respectively, to be recognized over approximately two years.</w:t>
      </w:r>
    </w:p>
    <w:p>
      <w:pPr>
        <w:spacing w:after="0" w:line="62" w:lineRule="exact"/>
        <w:rPr>
          <w:sz w:val="20"/>
          <w:szCs w:val="20"/>
          <w:color w:val="auto"/>
        </w:rPr>
      </w:pPr>
    </w:p>
    <w:p>
      <w:pPr>
        <w:ind w:left="920" w:right="180"/>
        <w:spacing w:after="0" w:line="302" w:lineRule="auto"/>
        <w:rPr>
          <w:sz w:val="20"/>
          <w:szCs w:val="20"/>
          <w:color w:val="auto"/>
        </w:rPr>
      </w:pPr>
      <w:r>
        <w:rPr>
          <w:rFonts w:ascii="Arial" w:cs="Arial" w:eastAsia="Arial" w:hAnsi="Arial"/>
          <w:sz w:val="16"/>
          <w:szCs w:val="16"/>
          <w:color w:val="auto"/>
        </w:rPr>
        <w:t>Cash proceeds from the exercise of options in the years ended December 31, 2015, 2014, and 2013 totaled approximately $2.0 million, $1.7 million, and $4.0 million, respectively. For the years ended December 31, 2015, 2014 and 2013, proceeds from stock options were presented exclusive of tax benefits in the Financing Activities section of the Consolidated Statements of Cash Flows. The total intrinsic value of options exercised during the years ended December 31, 2015, 2014 and 2013 was $2.6 million, $2.0 million and $1.4 million, respectively.</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20"/>
          </w:cols>
          <w:pgMar w:left="24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Stock Awards</w:t>
      </w:r>
    </w:p>
    <w:p>
      <w:pPr>
        <w:spacing w:after="0" w:line="121" w:lineRule="exact"/>
        <w:rPr>
          <w:sz w:val="20"/>
          <w:szCs w:val="20"/>
          <w:color w:val="auto"/>
        </w:rPr>
      </w:pPr>
    </w:p>
    <w:p>
      <w:pPr>
        <w:ind w:left="920" w:right="40"/>
        <w:spacing w:after="0" w:line="257" w:lineRule="auto"/>
        <w:rPr>
          <w:sz w:val="20"/>
          <w:szCs w:val="20"/>
          <w:color w:val="auto"/>
        </w:rPr>
      </w:pPr>
      <w:r>
        <w:rPr>
          <w:rFonts w:ascii="Arial" w:cs="Arial" w:eastAsia="Arial" w:hAnsi="Arial"/>
          <w:sz w:val="18"/>
          <w:szCs w:val="18"/>
          <w:color w:val="auto"/>
        </w:rPr>
        <w:t>During the year ended December 31, 2015, 2014 and 2013, we issued 114,475, 114,300 and 94,800 shares, respectively, of our common stock as awards to key employees and non-executive directors. The fair value of the 2015 shares issued was determined by using the grant date price of our common stock with a weighted average grant date value of $23.72. The recognized compensation expense for stock awards in the years ended December 31, 2015, 2014, and 2013 was approximately $2.4 million, $1.3 million, and $0.8 million, respectively. The shares issued in 2015, 2014 and 2013 vest over three years.</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Performance Based Awards</w:t>
      </w:r>
    </w:p>
    <w:p>
      <w:pPr>
        <w:spacing w:after="0" w:line="121" w:lineRule="exact"/>
        <w:rPr>
          <w:sz w:val="20"/>
          <w:szCs w:val="20"/>
          <w:color w:val="auto"/>
        </w:rPr>
      </w:pPr>
    </w:p>
    <w:p>
      <w:pPr>
        <w:ind w:left="920" w:right="380"/>
        <w:spacing w:after="0" w:line="312" w:lineRule="auto"/>
        <w:rPr>
          <w:sz w:val="20"/>
          <w:szCs w:val="20"/>
          <w:color w:val="auto"/>
        </w:rPr>
      </w:pPr>
      <w:r>
        <w:rPr>
          <w:rFonts w:ascii="Arial" w:cs="Arial" w:eastAsia="Arial" w:hAnsi="Arial"/>
          <w:sz w:val="16"/>
          <w:szCs w:val="16"/>
          <w:color w:val="auto"/>
        </w:rPr>
        <w:t>On April 30, 2015, we awarded performance share units (the “PSUs”) to our executive officers. The PSUs are a form of long-term incentive compensation designed to directly align the interests of employees to the interests of our stockholders, and to create long-term stockholder value. The awards were made pursuant to the NN, Inc. 2011 Stock Incentive Plan and a Performance Share Unit Agreement.</w:t>
      </w:r>
    </w:p>
    <w:p>
      <w:pPr>
        <w:spacing w:after="0" w:line="39"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There were two tranches of PSUs awarded, PSUs based on total shareholder return (“TSR Awards”) and PSUs based on return on invested capital (“ROIC Awards”). The TSR Awards vest, if at all, upon our achieving a specified relative total shareholder return, which will be measured against the total shareholder return of the S&amp;P SmallCap 600 Index during the period beginning on February 1, 2015 and ending December 31, 2017 (the “Performance Period”). The ROIC Awards will vest, if at all, upon our achieving a specified average return on invested capital during the Performance Period. If the PSUs do not vest at the end of the Performance Period, the PSUs will expire automatically. Upon vesting, the PSUs will be settled by the issuance of shares of our common stock, subject to the executive officer’s continued employment. The actual number of shares of common stock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70" w:lineRule="exact"/>
        <w:rPr>
          <w:sz w:val="20"/>
          <w:szCs w:val="20"/>
          <w:color w:val="auto"/>
        </w:rPr>
      </w:pPr>
    </w:p>
    <w:p>
      <w:pPr>
        <w:ind w:left="920" w:right="80"/>
        <w:spacing w:after="0" w:line="297" w:lineRule="auto"/>
        <w:rPr>
          <w:sz w:val="20"/>
          <w:szCs w:val="20"/>
          <w:color w:val="auto"/>
        </w:rPr>
      </w:pPr>
      <w:r>
        <w:rPr>
          <w:rFonts w:ascii="Arial" w:cs="Arial" w:eastAsia="Arial" w:hAnsi="Arial"/>
          <w:sz w:val="16"/>
          <w:szCs w:val="16"/>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 below, the percentages will be determined by interpolation. The following table establish the goals with respect to TSR and ROIC:</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TSR:</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gridSpan w:val="3"/>
          </w:tcPr>
          <w:p>
            <w:pPr>
              <w:jc w:val="center"/>
              <w:ind w:right="2300"/>
              <w:spacing w:after="0"/>
              <w:rPr>
                <w:sz w:val="20"/>
                <w:szCs w:val="20"/>
                <w:color w:val="auto"/>
              </w:rPr>
            </w:pPr>
            <w:r>
              <w:rPr>
                <w:rFonts w:ascii="Arial" w:cs="Arial" w:eastAsia="Arial" w:hAnsi="Arial"/>
                <w:sz w:val="14"/>
                <w:szCs w:val="14"/>
                <w:color w:val="auto"/>
                <w:w w:val="92"/>
              </w:rPr>
              <w:t>Threshold Performance</w:t>
            </w:r>
          </w:p>
        </w:tc>
        <w:tc>
          <w:tcPr>
            <w:tcW w:w="100" w:type="dxa"/>
            <w:vAlign w:val="bottom"/>
          </w:tcPr>
          <w:p>
            <w:pPr>
              <w:spacing w:after="0"/>
              <w:rPr>
                <w:sz w:val="14"/>
                <w:szCs w:val="14"/>
                <w:color w:val="auto"/>
              </w:rPr>
            </w:pPr>
          </w:p>
        </w:tc>
        <w:tc>
          <w:tcPr>
            <w:tcW w:w="2260" w:type="dxa"/>
            <w:vAlign w:val="bottom"/>
            <w:gridSpan w:val="3"/>
          </w:tcPr>
          <w:p>
            <w:pPr>
              <w:jc w:val="center"/>
              <w:ind w:right="1120"/>
              <w:spacing w:after="0"/>
              <w:rPr>
                <w:sz w:val="20"/>
                <w:szCs w:val="20"/>
                <w:color w:val="auto"/>
              </w:rPr>
            </w:pPr>
            <w:r>
              <w:rPr>
                <w:rFonts w:ascii="Arial" w:cs="Arial" w:eastAsia="Arial" w:hAnsi="Arial"/>
                <w:sz w:val="14"/>
                <w:szCs w:val="14"/>
                <w:color w:val="auto"/>
                <w:w w:val="91"/>
              </w:rPr>
              <w:t>Target Performance</w:t>
            </w:r>
          </w:p>
        </w:tc>
        <w:tc>
          <w:tcPr>
            <w:tcW w:w="1080" w:type="dxa"/>
            <w:vAlign w:val="bottom"/>
          </w:tcPr>
          <w:p>
            <w:pPr>
              <w:spacing w:after="0"/>
              <w:rPr>
                <w:sz w:val="14"/>
                <w:szCs w:val="14"/>
                <w:color w:val="auto"/>
              </w:rPr>
            </w:pPr>
          </w:p>
        </w:tc>
        <w:tc>
          <w:tcPr>
            <w:tcW w:w="1580" w:type="dxa"/>
            <w:vAlign w:val="bottom"/>
            <w:gridSpan w:val="4"/>
          </w:tcPr>
          <w:p>
            <w:pPr>
              <w:jc w:val="center"/>
              <w:ind w:left="108"/>
              <w:spacing w:after="0"/>
              <w:rPr>
                <w:sz w:val="20"/>
                <w:szCs w:val="20"/>
                <w:color w:val="auto"/>
              </w:rPr>
            </w:pPr>
            <w:r>
              <w:rPr>
                <w:rFonts w:ascii="Arial" w:cs="Arial" w:eastAsia="Arial" w:hAnsi="Arial"/>
                <w:sz w:val="14"/>
                <w:szCs w:val="14"/>
                <w:color w:val="auto"/>
                <w:w w:val="93"/>
              </w:rPr>
              <w:t>Maximum Performance</w:t>
            </w:r>
          </w:p>
        </w:tc>
      </w:tr>
      <w:tr>
        <w:trPr>
          <w:trHeight w:val="188"/>
        </w:trPr>
        <w:tc>
          <w:tcPr>
            <w:tcW w:w="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(50% of Shares)</w:t>
            </w: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(100% of Shares)</w:t>
            </w: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(150% of Shares)</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jc w:val="center"/>
              <w:ind w:right="2320"/>
              <w:spacing w:after="0"/>
              <w:rPr>
                <w:sz w:val="20"/>
                <w:szCs w:val="20"/>
                <w:color w:val="auto"/>
              </w:rPr>
            </w:pPr>
            <w:r>
              <w:rPr>
                <w:rFonts w:ascii="Arial" w:cs="Arial" w:eastAsia="Arial" w:hAnsi="Arial"/>
                <w:sz w:val="18"/>
                <w:szCs w:val="18"/>
                <w:color w:val="auto"/>
                <w:w w:val="89"/>
              </w:rPr>
              <w:t>35th Percentile</w:t>
            </w:r>
          </w:p>
        </w:tc>
        <w:tc>
          <w:tcPr>
            <w:tcW w:w="10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center"/>
              <w:ind w:right="1140"/>
              <w:spacing w:after="0"/>
              <w:rPr>
                <w:sz w:val="20"/>
                <w:szCs w:val="20"/>
                <w:color w:val="auto"/>
              </w:rPr>
            </w:pPr>
            <w:r>
              <w:rPr>
                <w:rFonts w:ascii="Arial" w:cs="Arial" w:eastAsia="Arial" w:hAnsi="Arial"/>
                <w:sz w:val="18"/>
                <w:szCs w:val="18"/>
                <w:color w:val="auto"/>
                <w:w w:val="89"/>
              </w:rPr>
              <w:t>50th Percentile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75th Percentile</w:t>
            </w:r>
          </w:p>
        </w:tc>
      </w:tr>
      <w:tr>
        <w:trPr>
          <w:trHeight w:val="324"/>
        </w:trPr>
        <w:tc>
          <w:tcPr>
            <w:tcW w:w="20" w:type="dxa"/>
            <w:vAlign w:val="bottom"/>
          </w:tcPr>
          <w:p>
            <w:pPr>
              <w:spacing w:after="0"/>
              <w:rPr>
                <w:sz w:val="24"/>
                <w:szCs w:val="24"/>
                <w:color w:val="auto"/>
              </w:rPr>
            </w:pPr>
          </w:p>
        </w:tc>
        <w:tc>
          <w:tcPr>
            <w:tcW w:w="3640" w:type="dxa"/>
            <w:vAlign w:val="bottom"/>
            <w:gridSpan w:val="2"/>
          </w:tcPr>
          <w:p>
            <w:pPr>
              <w:jc w:val="right"/>
              <w:ind w:right="3060"/>
              <w:spacing w:after="0"/>
              <w:rPr>
                <w:sz w:val="20"/>
                <w:szCs w:val="20"/>
                <w:color w:val="auto"/>
              </w:rPr>
            </w:pPr>
            <w:r>
              <w:rPr>
                <w:rFonts w:ascii="Arial" w:cs="Arial" w:eastAsia="Arial" w:hAnsi="Arial"/>
                <w:sz w:val="18"/>
                <w:szCs w:val="18"/>
                <w:color w:val="auto"/>
              </w:rPr>
              <w:t>ROIC: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3660" w:type="dxa"/>
            <w:vAlign w:val="bottom"/>
            <w:gridSpan w:val="3"/>
          </w:tcPr>
          <w:p>
            <w:pPr>
              <w:jc w:val="center"/>
              <w:ind w:right="2300"/>
              <w:spacing w:after="0"/>
              <w:rPr>
                <w:sz w:val="20"/>
                <w:szCs w:val="20"/>
                <w:color w:val="auto"/>
              </w:rPr>
            </w:pPr>
            <w:r>
              <w:rPr>
                <w:rFonts w:ascii="Arial" w:cs="Arial" w:eastAsia="Arial" w:hAnsi="Arial"/>
                <w:sz w:val="14"/>
                <w:szCs w:val="14"/>
                <w:color w:val="auto"/>
                <w:w w:val="92"/>
              </w:rPr>
              <w:t>Threshold Performance</w:t>
            </w:r>
          </w:p>
        </w:tc>
        <w:tc>
          <w:tcPr>
            <w:tcW w:w="2360" w:type="dxa"/>
            <w:vAlign w:val="bottom"/>
            <w:gridSpan w:val="4"/>
          </w:tcPr>
          <w:p>
            <w:pPr>
              <w:jc w:val="center"/>
              <w:ind w:right="1240"/>
              <w:spacing w:after="0"/>
              <w:rPr>
                <w:sz w:val="20"/>
                <w:szCs w:val="20"/>
                <w:color w:val="auto"/>
              </w:rPr>
            </w:pPr>
            <w:r>
              <w:rPr>
                <w:rFonts w:ascii="Arial" w:cs="Arial" w:eastAsia="Arial" w:hAnsi="Arial"/>
                <w:sz w:val="14"/>
                <w:szCs w:val="14"/>
                <w:color w:val="auto"/>
                <w:w w:val="89"/>
              </w:rPr>
              <w:t>Target Performance</w:t>
            </w:r>
          </w:p>
        </w:tc>
        <w:tc>
          <w:tcPr>
            <w:tcW w:w="2660" w:type="dxa"/>
            <w:vAlign w:val="bottom"/>
            <w:gridSpan w:val="5"/>
          </w:tcPr>
          <w:p>
            <w:pPr>
              <w:jc w:val="center"/>
              <w:ind w:left="779"/>
              <w:spacing w:after="0"/>
              <w:rPr>
                <w:sz w:val="20"/>
                <w:szCs w:val="20"/>
                <w:color w:val="auto"/>
              </w:rPr>
            </w:pPr>
            <w:r>
              <w:rPr>
                <w:rFonts w:ascii="Arial" w:cs="Arial" w:eastAsia="Arial" w:hAnsi="Arial"/>
                <w:sz w:val="14"/>
                <w:szCs w:val="14"/>
                <w:color w:val="auto"/>
                <w:w w:val="93"/>
              </w:rPr>
              <w:t>Maximum Performance</w:t>
            </w:r>
          </w:p>
        </w:tc>
      </w:tr>
      <w:tr>
        <w:trPr>
          <w:trHeight w:val="188"/>
        </w:trPr>
        <w:tc>
          <w:tcPr>
            <w:tcW w:w="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 of Shares)</w:t>
            </w:r>
          </w:p>
        </w:tc>
        <w:tc>
          <w:tcPr>
            <w:tcW w:w="230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(100% of Shares)</w:t>
            </w:r>
          </w:p>
        </w:tc>
        <w:tc>
          <w:tcPr>
            <w:tcW w:w="124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(150% of Shares)</w:t>
            </w:r>
          </w:p>
        </w:tc>
        <w:tc>
          <w:tcPr>
            <w:tcW w:w="220" w:type="dxa"/>
            <w:vAlign w:val="bottom"/>
            <w:gridSpan w:val="2"/>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jc w:val="right"/>
              <w:ind w:right="2140"/>
              <w:spacing w:after="0"/>
              <w:rPr>
                <w:sz w:val="20"/>
                <w:szCs w:val="20"/>
                <w:color w:val="auto"/>
              </w:rPr>
            </w:pPr>
            <w:r>
              <w:rPr>
                <w:rFonts w:ascii="Arial" w:cs="Arial" w:eastAsia="Arial" w:hAnsi="Arial"/>
                <w:sz w:val="18"/>
                <w:szCs w:val="18"/>
                <w:color w:val="auto"/>
              </w:rPr>
              <w:t>11%</w:t>
            </w:r>
          </w:p>
        </w:tc>
        <w:tc>
          <w:tcPr>
            <w:tcW w:w="2360" w:type="dxa"/>
            <w:vAlign w:val="bottom"/>
            <w:gridSpan w:val="4"/>
            <w:shd w:val="clear" w:color="auto" w:fill="CCEEFF"/>
          </w:tcPr>
          <w:p>
            <w:pPr>
              <w:jc w:val="right"/>
              <w:ind w:right="1080"/>
              <w:spacing w:after="0"/>
              <w:rPr>
                <w:sz w:val="20"/>
                <w:szCs w:val="20"/>
                <w:color w:val="auto"/>
              </w:rPr>
            </w:pPr>
            <w:r>
              <w:rPr>
                <w:rFonts w:ascii="Arial" w:cs="Arial" w:eastAsia="Arial" w:hAnsi="Arial"/>
                <w:sz w:val="18"/>
                <w:szCs w:val="18"/>
                <w:color w:val="auto"/>
              </w:rPr>
              <w:t>12.5%</w:t>
            </w:r>
          </w:p>
        </w:tc>
        <w:tc>
          <w:tcPr>
            <w:tcW w:w="2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During 2015, we awarded 35,775 TSR Awards and 35,775 ROIC Awards with a grant date fair value of $28.61 and $25.16 per unit, respectively. We estimate the grant date fair value of TSR Awards using the Monte Carlo simulation model, as the total shareholder return metric is considered a market condition under ASC 718. The grant date fair value of ROIC Awards is based on the closing price of a share of our common stock on the date of grant.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The recognized compensation expense for the year ended December 31, 2015 was $0.4 million for all PSUs. Unrecognized compensation expense at December 31, 2015 was $1.5 million to be recognized over approximately two years.</w:t>
      </w:r>
    </w:p>
    <w:p>
      <w:pPr>
        <w:spacing w:after="0" w:line="31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Net</w:t>
      </w:r>
    </w:p>
    <w:p>
      <w:pPr>
        <w:spacing w:after="0" w:line="121" w:lineRule="exact"/>
        <w:rPr>
          <w:sz w:val="20"/>
          <w:szCs w:val="20"/>
          <w:color w:val="auto"/>
        </w:rPr>
      </w:pPr>
    </w:p>
    <w:p>
      <w:pPr>
        <w:ind w:left="920" w:right="360"/>
        <w:spacing w:after="0" w:line="308" w:lineRule="auto"/>
        <w:rPr>
          <w:sz w:val="20"/>
          <w:szCs w:val="20"/>
          <w:color w:val="auto"/>
        </w:rPr>
      </w:pPr>
      <w:r>
        <w:rPr>
          <w:rFonts w:ascii="Arial" w:cs="Arial" w:eastAsia="Arial" w:hAnsi="Arial"/>
          <w:sz w:val="17"/>
          <w:szCs w:val="17"/>
          <w:color w:val="auto"/>
        </w:rPr>
        <w:t>We completed our annual goodwill impairment review during the fourth quarters of 2015 and 2014. For the years ended December 31, 2015, 2014 and 2013, we concluded that there were no indicators of impairment at the reporting units with goodwill.</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changes in the carrying amount of goodwill for the years ended December 31, 2015, 2014 and 2013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Precision</w:t>
            </w:r>
          </w:p>
        </w:tc>
        <w:tc>
          <w:tcPr>
            <w:tcW w:w="1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Autocam</w:t>
            </w:r>
          </w:p>
        </w:tc>
        <w:tc>
          <w:tcPr>
            <w:tcW w:w="260" w:type="dxa"/>
            <w:vAlign w:val="bottom"/>
          </w:tcPr>
          <w:p>
            <w:pPr>
              <w:spacing w:after="0"/>
              <w:rPr>
                <w:sz w:val="14"/>
                <w:szCs w:val="14"/>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Precision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Bearing</w:t>
            </w: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Precision</w:t>
            </w:r>
          </w:p>
        </w:tc>
        <w:tc>
          <w:tcPr>
            <w:tcW w:w="2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260" w:type="dxa"/>
            <w:vAlign w:val="bottom"/>
          </w:tcPr>
          <w:p>
            <w:pPr>
              <w:spacing w:after="0"/>
              <w:rPr>
                <w:sz w:val="12"/>
                <w:szCs w:val="12"/>
                <w:color w:val="auto"/>
              </w:rPr>
            </w:pPr>
          </w:p>
        </w:tc>
        <w:tc>
          <w:tcPr>
            <w:tcW w:w="12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Products</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Group</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Currency impacts</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in acquisition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73,992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76,486</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Balance as of December 31, 2014</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9,949</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87"/>
              </w:rPr>
              <w:t>73,992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Goodwill acquired in acquisition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366,795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366,795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73,992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366,795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449,898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The cumulative accumulated impairment charges included in the reported goodwill balances at December 31, 2015, 2014 and 2013 were $40.0 million all of which were recorded during the years ended December 31, 2008 and 2007.</w:t>
      </w:r>
    </w:p>
    <w:p>
      <w:pPr>
        <w:spacing w:after="0" w:line="62" w:lineRule="exact"/>
        <w:rPr>
          <w:sz w:val="20"/>
          <w:szCs w:val="20"/>
          <w:color w:val="auto"/>
        </w:rPr>
      </w:pPr>
    </w:p>
    <w:p>
      <w:pPr>
        <w:ind w:left="920" w:right="20"/>
        <w:spacing w:after="0" w:line="297" w:lineRule="auto"/>
        <w:rPr>
          <w:sz w:val="20"/>
          <w:szCs w:val="20"/>
          <w:color w:val="auto"/>
        </w:rPr>
      </w:pPr>
      <w:r>
        <w:rPr>
          <w:rFonts w:ascii="Arial" w:cs="Arial" w:eastAsia="Arial" w:hAnsi="Arial"/>
          <w:sz w:val="16"/>
          <w:szCs w:val="16"/>
          <w:color w:val="auto"/>
        </w:rPr>
        <w:t>The goodwill acquired in the 2015 acquisitions within the Precision Engineered Products Group was primarily related to the PEP Acquisition. (See Note 2 of the Notes to Consolidated Financial Statements). The goodwill balance related to the PEP Acquisition is derived from the value of the PEP reporting unit. This fair value was based in large part on management business plans and projected financial information which are subject to a high degree of management judgment and complexity. Actual results may differ from these projections and the differences may be material leading to a potential impairment of this goodwill if this reporting unit’s future results are not as forecasted.</w:t>
      </w:r>
    </w:p>
    <w:p>
      <w:pPr>
        <w:spacing w:after="0" w:line="50" w:lineRule="exact"/>
        <w:rPr>
          <w:sz w:val="20"/>
          <w:szCs w:val="20"/>
          <w:color w:val="auto"/>
        </w:rPr>
      </w:pPr>
    </w:p>
    <w:p>
      <w:pPr>
        <w:ind w:left="920"/>
        <w:spacing w:after="0" w:line="297" w:lineRule="auto"/>
        <w:rPr>
          <w:sz w:val="20"/>
          <w:szCs w:val="20"/>
          <w:color w:val="auto"/>
        </w:rPr>
      </w:pPr>
      <w:r>
        <w:rPr>
          <w:rFonts w:ascii="Arial" w:cs="Arial" w:eastAsia="Arial" w:hAnsi="Arial"/>
          <w:sz w:val="16"/>
          <w:szCs w:val="16"/>
          <w:color w:val="auto"/>
        </w:rPr>
        <w:t>The goodwill acquired in acquisitions during 2014 within the Autocam Precision Components Group was acquired with the acquisition of Autocam (see Note 2 of the Notes to Consolidated Financial Statements). The goodwill balance related to the Autocam acquisition is derived from the value of the Autocam reporting unit. This fair value was based in large part on management business plans and projected financial information which are subject to a high degree of management judgment and complexity. Actual results may differ from these projections and the differences may be material leading to a potential impairment of this goodwill if this reporting unit’s future results are not as forecasted.</w:t>
      </w:r>
    </w:p>
    <w:p>
      <w:pPr>
        <w:spacing w:after="0" w:line="303"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left="920" w:right="200"/>
        <w:spacing w:after="0" w:line="297" w:lineRule="auto"/>
        <w:rPr>
          <w:sz w:val="20"/>
          <w:szCs w:val="20"/>
          <w:color w:val="auto"/>
        </w:rPr>
      </w:pPr>
      <w:r>
        <w:rPr>
          <w:rFonts w:ascii="Arial" w:cs="Arial" w:eastAsia="Arial" w:hAnsi="Arial"/>
          <w:sz w:val="16"/>
          <w:szCs w:val="16"/>
          <w:color w:val="auto"/>
        </w:rPr>
        <w:t>With the PEP Acquisition the Precision Engineered Products Group acquired a customer relationship intangible asset of $226.5 million, a trade name intangible asset of $6.3 million, a backlog and unfavorable leasehold intangible of $7.7 million. The intangible assets have preliminary estimated useful lives of 12 years for customer relationships, 8 years for trade name, the backlog and unfavorable leases will be amortized over the fourth quarter of 2015 and first quarter of 2016. After the estimated useful lives of the backlog and inventory, the estimated amortization of intangibles will be approximately $19.7 million a year. (See Note 2 of the Notes to Consolidated Financial Statements).</w:t>
      </w:r>
    </w:p>
    <w:p>
      <w:pPr>
        <w:spacing w:after="0" w:line="50"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With the Caprock acquisition, the Precision Engineered Products Group acquired $2.5 million of intangibles, approximately $0.1 in trade names and $2.4 million in customer relationships. The intangibles have preliminary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200"/>
        <w:spacing w:after="0" w:line="342" w:lineRule="auto"/>
        <w:rPr>
          <w:sz w:val="20"/>
          <w:szCs w:val="20"/>
          <w:color w:val="auto"/>
        </w:rPr>
      </w:pPr>
      <w:r>
        <w:rPr>
          <w:rFonts w:ascii="Arial" w:cs="Arial" w:eastAsia="Arial" w:hAnsi="Arial"/>
          <w:sz w:val="16"/>
          <w:szCs w:val="16"/>
          <w:color w:val="auto"/>
        </w:rPr>
        <w:t>useful lives of one year for trade names and 12 years for customer relationships. The estimated amortization of the intangibles for the first year will be approximately $0.3 million and $0.2 million for the years thereafter. (See Note 2 of the Notes to Consolidated Financial Statements).</w:t>
      </w:r>
    </w:p>
    <w:p>
      <w:pPr>
        <w:spacing w:after="0" w:line="16" w:lineRule="exact"/>
        <w:rPr>
          <w:sz w:val="20"/>
          <w:szCs w:val="20"/>
          <w:color w:val="auto"/>
        </w:rPr>
      </w:pPr>
    </w:p>
    <w:p>
      <w:pPr>
        <w:ind w:left="920" w:right="280"/>
        <w:spacing w:after="0" w:line="302" w:lineRule="auto"/>
        <w:rPr>
          <w:sz w:val="20"/>
          <w:szCs w:val="20"/>
          <w:color w:val="auto"/>
        </w:rPr>
      </w:pPr>
      <w:r>
        <w:rPr>
          <w:rFonts w:ascii="Arial" w:cs="Arial" w:eastAsia="Arial" w:hAnsi="Arial"/>
          <w:sz w:val="16"/>
          <w:szCs w:val="16"/>
          <w:color w:val="auto"/>
        </w:rPr>
        <w:t>The Autocam Precision Components Group has an intangible asset not subject to amortization of $0.9 million related to the value of the trade names of Whirlaway. This indefinite lived intangible asset was impaired during the year ended December 31, 2014 as management is in the process of phasing out the use of the trade name as a result of the Autocam acquisition. As such, an impairment charge of $0.9 million was included in the restructuring and impairment charges line of the Consolidated Statements of Operations and Comprehensive Income (Loss).</w:t>
      </w:r>
    </w:p>
    <w:p>
      <w:pPr>
        <w:spacing w:after="0" w:line="46" w:lineRule="exact"/>
        <w:rPr>
          <w:sz w:val="20"/>
          <w:szCs w:val="20"/>
          <w:color w:val="auto"/>
        </w:rPr>
      </w:pPr>
    </w:p>
    <w:p>
      <w:pPr>
        <w:ind w:left="920" w:right="120"/>
        <w:spacing w:after="0" w:line="257" w:lineRule="auto"/>
        <w:rPr>
          <w:sz w:val="20"/>
          <w:szCs w:val="20"/>
          <w:color w:val="auto"/>
        </w:rPr>
      </w:pPr>
      <w:r>
        <w:rPr>
          <w:rFonts w:ascii="Arial" w:cs="Arial" w:eastAsia="Arial" w:hAnsi="Arial"/>
          <w:sz w:val="18"/>
          <w:szCs w:val="18"/>
          <w:color w:val="auto"/>
        </w:rPr>
        <w:t>With the Autocam acquisition the Autocam Precision Components Group acquired a customer contract intangible asset of $46.2 million, a trade name intangible asset of $4.1 million, a developed technology intangible asset of $0.9 million, and net favorable leasehold intangible of $0.4 million. The trade names and customer relationship intangible assets have preliminary estimated useful lives of 15 years, the remaining intangibles have a five year useful life. The estimated amortization for the first five year will be approximately $3.6 million a year and $3.4 million thereafter. (See Note 2 of the Notes to Consolidated Financial Statements).</w:t>
      </w:r>
    </w:p>
    <w:p>
      <w:pPr>
        <w:spacing w:after="0" w:line="80"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The Precision Bearing Components Group acquired two customer contract intangible assets related to the acquisition of RKF and Chelsea and a trade name intangible asset related to the acquisition of RFK with an aggregate estimated fair value of $2.7 million. These intangible assets have weighted average useful lives of 10 years and are subject to amortization of approximately $0.3 million per year. (See Note 2 of the Notes to Consolidated Financial Statements).</w:t>
      </w:r>
    </w:p>
    <w:p>
      <w:pPr>
        <w:spacing w:after="0" w:line="33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920" w:right="700"/>
        <w:spacing w:after="0" w:line="277" w:lineRule="auto"/>
        <w:rPr>
          <w:sz w:val="20"/>
          <w:szCs w:val="20"/>
          <w:color w:val="auto"/>
        </w:rPr>
      </w:pPr>
      <w:r>
        <w:rPr>
          <w:rFonts w:ascii="Arial" w:cs="Arial" w:eastAsia="Arial" w:hAnsi="Arial"/>
          <w:sz w:val="18"/>
          <w:szCs w:val="18"/>
          <w:color w:val="auto"/>
        </w:rPr>
        <w:t>We determined our reportable segments under the provisions of GAAP related to disclosures about segments of an enterprise. Our three reportable segments are based on differences in product lines.</w:t>
      </w:r>
    </w:p>
    <w:p>
      <w:pPr>
        <w:spacing w:after="0" w:line="62"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All of the facilities in the Precision Bearing Components Group are engaged in the production of precision steel balls, steel rollers, and metal retainers and automotive specialty products used primarily in the bearing industry. The Precision Engineered Products Group includes the Plastic and Rubber Components Group as presented in previous filings. The name of this segment was changed during 2015 after the PEP Acquisition and disposal of Delta Rubber. With the completion of the PEP Acquisition, we added a global manufacturer of highly engineered precision customized solutions serving the medical, electrical, automotive and aerospace end markets. The Autocam Precision Components Group is engaged in the design and manufacture of close-tolerance, specialty metal alloy components for mechanical and electromechanical systems using turning, grinding and milling processes. Currently, we manufacture components for use in fuel delivery, electromechanical motor, steering and braking systems for the automotive industry and highly engineered shafts, mechanical components, complex precision assembled and tested parts and fluid system components for the HVAC and fluid power industries. This segment was renamed with the acquisition of Autocam.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Precision</w:t>
            </w:r>
          </w:p>
        </w:tc>
        <w:tc>
          <w:tcPr>
            <w:tcW w:w="20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Precision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Autocam</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Bearing</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Precision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Components</w:t>
            </w:r>
          </w:p>
        </w:tc>
        <w:tc>
          <w:tcPr>
            <w:tcW w:w="200" w:type="dxa"/>
            <w:vAlign w:val="bottom"/>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Products</w:t>
            </w:r>
          </w:p>
        </w:tc>
        <w:tc>
          <w:tcPr>
            <w:tcW w:w="16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Components</w:t>
            </w:r>
          </w:p>
        </w:tc>
        <w:tc>
          <w:tcPr>
            <w:tcW w:w="12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Group</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Group</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sales</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261,837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77,183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328,260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21,472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26,310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31,700</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(27,495)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(10,518)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Assets</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215,163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743,191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417,853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17,319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1,393,526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15,111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38,553</w:t>
            </w:r>
          </w:p>
        </w:tc>
        <w:tc>
          <w:tcPr>
            <w:tcW w:w="0" w:type="dxa"/>
            <w:vAlign w:val="bottom"/>
          </w:tcPr>
          <w:p>
            <w:pPr>
              <w:spacing w:after="0"/>
              <w:rPr>
                <w:sz w:val="1"/>
                <w:szCs w:val="1"/>
                <w:color w:val="auto"/>
              </w:rPr>
            </w:pPr>
          </w:p>
        </w:tc>
      </w:tr>
      <w:tr>
        <w:trPr>
          <w:trHeight w:val="32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278,026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33,351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177,224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15,732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10,895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214,291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17,196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444,548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712,713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Expenditures for long-lived assets</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10,941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673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10,947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5,041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27,602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sales</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259,459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34,991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78,756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4,313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27,380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9,112</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(9,257)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Assets</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197,980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16,638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39,432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8,352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vast majority of the acquisition related costs for the PEP Acquisition and Caprock acquisition in 2015, and the Autocam acquisition and the other three acquisitions in 2014 are reported under Corporate and Consolidations. These costs impacted income from operations at Corporate by $10.9 million and $9.8 million for the years ended December 31, 2015 and 2014, respectively. Beginning October 20, 2015 and September 1, 2014, the Precision Engineered Products Group and Autocam Precision Components Group, respectively, include the results of the acquired PEP and Autocam businesses. Since the date of the PEP Acquisition, 2015 sales revenue of $40.7 million and net loss of $(2.6) million (including the $4.3 million for the one-time increase in cost of goods sold for inventory step-up, and $5.2 for the amortization of backlog intangible) has been included in this segment. During 2014 and since the date of the Autocam acquisitions, sales revenue of $80.8 million and net income of $3.7 million (including the $1.2 million for the one-time increase in cost of goods sold for inventory step-up) has been included in this segment.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Pr>
          <w:p>
            <w:pPr>
              <w:spacing w:after="0"/>
              <w:rPr>
                <w:sz w:val="14"/>
                <w:szCs w:val="14"/>
                <w:color w:val="auto"/>
              </w:rPr>
            </w:pPr>
          </w:p>
        </w:tc>
        <w:tc>
          <w:tcPr>
            <w:tcW w:w="202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2014</w:t>
            </w: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Property,</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Property,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Plant and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Plant and</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Plant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Sales</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Equipment,</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Sales</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Equipment,</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Net Sales</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Equipment,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$326,747</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$ 183,226</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$204,360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$ 129,232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$140,875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42,573</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170,921</w:t>
            </w:r>
          </w:p>
        </w:tc>
        <w:tc>
          <w:tcPr>
            <w:tcW w:w="12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77,147</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167,665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82,783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149,649</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86,564</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35,345</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58,470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32,848</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38,233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Canada</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9,759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8,657</w:t>
            </w: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9,415</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39,118</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2,971</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25,900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21,963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 America</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34,171</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20,279</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23,549</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30,942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13,071</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All foreign countries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135,742</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284,241</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149,210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232,331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78,516</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667,280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$ 318,968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488,601</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$ 278,442</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373,206</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Due to the large number of countries in which we sell our products, sales to external customers and long-lived assets utilized by us are reported in the above geographical regions.</w:t>
      </w:r>
    </w:p>
    <w:p>
      <w:pPr>
        <w:spacing w:after="0" w:line="31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Income (loss) before provision (benefit) for income taxes for the years ended December 31, 2015, 2014 and 2013 was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66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United States</w:t>
            </w:r>
          </w:p>
        </w:tc>
        <w:tc>
          <w:tcPr>
            <w:tcW w:w="1120" w:type="dxa"/>
            <w:vAlign w:val="bottom"/>
            <w:gridSpan w:val="4"/>
          </w:tcPr>
          <w:p>
            <w:pPr>
              <w:jc w:val="right"/>
              <w:ind w:right="400"/>
              <w:spacing w:after="0"/>
              <w:rPr>
                <w:sz w:val="20"/>
                <w:szCs w:val="20"/>
                <w:color w:val="auto"/>
              </w:rPr>
            </w:pPr>
            <w:r>
              <w:rPr>
                <w:rFonts w:ascii="Arial" w:cs="Arial" w:eastAsia="Arial" w:hAnsi="Arial"/>
                <w:sz w:val="18"/>
                <w:szCs w:val="18"/>
                <w:color w:val="auto"/>
                <w:w w:val="90"/>
              </w:rPr>
              <w:t>$(42,450)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 (9,341)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16,919</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(22,950</w:t>
            </w:r>
          </w:p>
        </w:tc>
        <w:tc>
          <w:tcPr>
            <w:tcW w:w="460" w:type="dxa"/>
            <w:vAlign w:val="bottom"/>
            <w:gridSpan w:val="2"/>
          </w:tcPr>
          <w:p>
            <w:pPr>
              <w:jc w:val="right"/>
              <w:ind w:right="40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13,172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340"/>
        <w:spacing w:after="0" w:line="264" w:lineRule="auto"/>
        <w:rPr>
          <w:sz w:val="20"/>
          <w:szCs w:val="20"/>
          <w:color w:val="auto"/>
        </w:rPr>
      </w:pPr>
      <w:r>
        <w:rPr>
          <w:rFonts w:ascii="Arial" w:cs="Arial" w:eastAsia="Arial" w:hAnsi="Arial"/>
          <w:sz w:val="18"/>
          <w:szCs w:val="18"/>
          <w:color w:val="auto"/>
        </w:rPr>
        <w:t>The loss of $42.5 million from domestic operations during 2015, was primarily driven from acquisition related charges (included in selling, general and administrative of $11.7 million, cost of products sold $7.5 million and write-off of debt issuance costs of $18.7 million) of which approximately $3.8 million was non-deductible as these costs were directly facilitative to the acquisitions.</w:t>
      </w:r>
    </w:p>
    <w:p>
      <w:pPr>
        <w:spacing w:after="0" w:line="73"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The loss of $9.3 million from domestic operations during 2014, was primarily driven from acquisition related charges of $14.8 million (included in selling, general and administrative, cost of products sold, and interest expense) of which approximately $6.0 million were non-deductible as these cost were directly facilitative to the acquisitions.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income tax expense (benefit) for the years ended December 31, 2015, 2014, and 2013 was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2014</w:t>
            </w:r>
          </w:p>
        </w:tc>
        <w:tc>
          <w:tcPr>
            <w:tcW w:w="4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U.S. 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5,940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7,082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4,490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7,119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4,669</w:t>
            </w:r>
          </w:p>
        </w:tc>
        <w:tc>
          <w:tcPr>
            <w:tcW w:w="0" w:type="dxa"/>
            <w:vAlign w:val="bottom"/>
          </w:tcPr>
          <w:p>
            <w:pPr>
              <w:spacing w:after="0"/>
              <w:rPr>
                <w:sz w:val="1"/>
                <w:szCs w:val="1"/>
                <w:color w:val="auto"/>
              </w:rPr>
            </w:pPr>
          </w:p>
        </w:tc>
      </w:tr>
      <w:tr>
        <w:trPr>
          <w:trHeight w:val="331"/>
        </w:trPr>
        <w:tc>
          <w:tcPr>
            <w:tcW w:w="680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U.S. 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(13,391)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1,625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3,594</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U.S. deferred tax valuation allowance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(1,434)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(1,142)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expense (benefit)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(16,878)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3,331</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800" w:type="dxa"/>
            <w:vAlign w:val="bottom"/>
          </w:tcPr>
          <w:p>
            <w:pPr>
              <w:spacing w:after="0"/>
              <w:rPr>
                <w:sz w:val="20"/>
                <w:szCs w:val="20"/>
                <w:color w:val="auto"/>
              </w:rPr>
            </w:pPr>
            <w:r>
              <w:rPr>
                <w:rFonts w:ascii="Arial" w:cs="Arial" w:eastAsia="Arial" w:hAnsi="Arial"/>
                <w:sz w:val="18"/>
                <w:szCs w:val="18"/>
                <w:color w:val="auto"/>
              </w:rPr>
              <w:t>Total expense (benefit)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(10,518)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5,786</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8,000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A reconciliation of income taxes based on the U.S. federal statutory rate of 34% for each of the years ended December 31, 2015, 2014 and 2013 is summarized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4"/>
                <w:szCs w:val="14"/>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8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(7,803)</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$ 4,478</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$8,561</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Impact of incentive stock options</w:t>
            </w: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(145)</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Decrease in U.S. valuation allowance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(1,434)</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Foreign tax credit (additions) expiration</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(1,343)</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2,736</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Capital gain on return of basis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State taxes, net of federal taxes</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(1,592)</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(362)</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Non-U.S. earnings taxed at different rates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(2,308)</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(1,714)</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Non-deductible mergers and acquisition costs</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1,299</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1,971</w:t>
            </w:r>
          </w:p>
        </w:tc>
        <w:tc>
          <w:tcPr>
            <w:tcW w:w="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R&amp;D Tax credit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(623)</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(529)</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Joint Venture dividend</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1,147</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737</w:t>
            </w:r>
          </w:p>
        </w:tc>
        <w:tc>
          <w:tcPr>
            <w:tcW w:w="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uncertain tax positions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permanent differences, net</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705</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(10,518)</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$ 5,786</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8,000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2015 effective tax rate of 46% primarily reflects the impact of foreign earnings being taxed at lower rates.</w:t>
      </w:r>
    </w:p>
    <w:p>
      <w:pPr>
        <w:spacing w:after="0" w:line="117" w:lineRule="exact"/>
        <w:rPr>
          <w:sz w:val="20"/>
          <w:szCs w:val="20"/>
          <w:color w:val="auto"/>
        </w:rPr>
      </w:pPr>
    </w:p>
    <w:p>
      <w:pPr>
        <w:ind w:left="920" w:right="20"/>
        <w:spacing w:after="0" w:line="302" w:lineRule="auto"/>
        <w:rPr>
          <w:sz w:val="20"/>
          <w:szCs w:val="20"/>
          <w:color w:val="auto"/>
        </w:rPr>
      </w:pPr>
      <w:r>
        <w:rPr>
          <w:rFonts w:ascii="Arial" w:cs="Arial" w:eastAsia="Arial" w:hAnsi="Arial"/>
          <w:sz w:val="16"/>
          <w:szCs w:val="16"/>
          <w:color w:val="auto"/>
        </w:rPr>
        <w:t>The 2014 effective tax rate of 44% reflects the impact of two items related to the merger and acquisition activity in 2014, including: (1) $2.0 million for non-deductible third party merger and acquisition as these costs were directly facilitative to the acquisitions; and (2) $1.3 million for the expiration of foreign tax credits that could not be utilized during 2014 because of the merger related acquisition costs as discussed below. In addition, the rate reflects an offset to the items above for the impact of foreign earnings taxed at lower rates of $1.7 million.</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2013 effective tax rate of 32% reflects the impact of foreign earnings being taxed at lower rates of $0.8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24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tax effects of the temporary differences as of December 31, 2015, 2014 and 2014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14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Tax in excess of book depreciation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42,345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35,411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6,673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91,947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15,944</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deferred tax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4"/>
        </w:trPr>
        <w:tc>
          <w:tcPr>
            <w:tcW w:w="6560" w:type="dxa"/>
            <w:vAlign w:val="bottom"/>
          </w:tcPr>
          <w:p>
            <w:pPr>
              <w:ind w:left="360"/>
              <w:spacing w:after="0"/>
              <w:rPr>
                <w:sz w:val="20"/>
                <w:szCs w:val="20"/>
                <w:color w:val="auto"/>
              </w:rPr>
            </w:pPr>
            <w:r>
              <w:rPr>
                <w:rFonts w:ascii="Arial" w:cs="Arial" w:eastAsia="Arial" w:hAnsi="Arial"/>
                <w:sz w:val="18"/>
                <w:szCs w:val="18"/>
                <w:color w:val="auto"/>
              </w:rPr>
              <w:t>Gross deferred income tax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136,743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55,228</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Pension/Personnel accruals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Foreign tax credits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Guarantee claim deduction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Credit carry forwards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deferred tax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income tax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13,881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11,371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Valuation allowance on deferred tax assets</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(1,434)</w:t>
            </w:r>
          </w:p>
        </w:tc>
        <w:tc>
          <w:tcPr>
            <w:tcW w:w="0" w:type="dxa"/>
            <w:vAlign w:val="bottom"/>
          </w:tcPr>
          <w:p>
            <w:pPr>
              <w:spacing w:after="0"/>
              <w:rPr>
                <w:sz w:val="1"/>
                <w:szCs w:val="1"/>
                <w:color w:val="auto"/>
              </w:rPr>
            </w:pPr>
          </w:p>
        </w:tc>
      </w:tr>
      <w:tr>
        <w:trPr>
          <w:trHeight w:val="115"/>
        </w:trPr>
        <w:tc>
          <w:tcPr>
            <w:tcW w:w="6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income tax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13,881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60" w:type="dxa"/>
            <w:vAlign w:val="bottom"/>
          </w:tcPr>
          <w:p>
            <w:pPr>
              <w:spacing w:after="0"/>
              <w:rPr>
                <w:sz w:val="20"/>
                <w:szCs w:val="20"/>
                <w:color w:val="auto"/>
              </w:rPr>
            </w:pPr>
            <w:r>
              <w:rPr>
                <w:rFonts w:ascii="Arial" w:cs="Arial" w:eastAsia="Arial" w:hAnsi="Arial"/>
                <w:sz w:val="18"/>
                <w:szCs w:val="18"/>
                <w:color w:val="auto"/>
              </w:rPr>
              <w:t>Net deferred income tax assets (liabilities)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(110,021)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(41,347)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With the PEP Acquisition, we assumed $87.6 million in net deferred tax liabilities primarily related to book and tax basis difference in fixed assets and intangibles (excluding goodwill).</w:t>
      </w:r>
    </w:p>
    <w:p>
      <w:pPr>
        <w:spacing w:after="0" w:line="62"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With the Autocam acquisition, we assumed $43.8 million in net deferred tax liabilities primarily related to book and tax basis differences in fixed assets and intangibles (excluding goodwill).</w:t>
      </w:r>
    </w:p>
    <w:p>
      <w:pPr>
        <w:spacing w:after="0" w:line="62" w:lineRule="exact"/>
        <w:rPr>
          <w:sz w:val="20"/>
          <w:szCs w:val="20"/>
          <w:color w:val="auto"/>
        </w:rPr>
      </w:pPr>
    </w:p>
    <w:p>
      <w:pPr>
        <w:ind w:left="920" w:right="160"/>
        <w:spacing w:after="0" w:line="312" w:lineRule="auto"/>
        <w:rPr>
          <w:sz w:val="20"/>
          <w:szCs w:val="20"/>
          <w:color w:val="auto"/>
        </w:rPr>
      </w:pPr>
      <w:r>
        <w:rPr>
          <w:rFonts w:ascii="Arial" w:cs="Arial" w:eastAsia="Arial" w:hAnsi="Arial"/>
          <w:sz w:val="16"/>
          <w:szCs w:val="16"/>
          <w:color w:val="auto"/>
        </w:rPr>
        <w:t>As realization of certain deferred tax assets is not assured, management believes it is more likely than not that those net deferred tax assets will be realized. However, the amount of the deferred tax assets considered realizable could be reduced based on changing conditions. Below is a summary of the activity in the total valuation allowances during the years ended December 31, 2015, 2014 and 2013:</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Balance at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26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Additions</w:t>
            </w:r>
          </w:p>
        </w:tc>
        <w:tc>
          <w:tcPr>
            <w:tcW w:w="54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Recoveries</w:t>
            </w:r>
          </w:p>
        </w:tc>
        <w:tc>
          <w:tcPr>
            <w:tcW w:w="10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74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jc w:val="right"/>
              <w:ind w:right="2310"/>
              <w:spacing w:after="0"/>
              <w:rPr>
                <w:sz w:val="20"/>
                <w:szCs w:val="20"/>
                <w:color w:val="auto"/>
              </w:rPr>
            </w:pPr>
            <w:r>
              <w:rPr>
                <w:rFonts w:ascii="Arial" w:cs="Arial" w:eastAsia="Arial" w:hAnsi="Arial"/>
                <w:sz w:val="18"/>
                <w:szCs w:val="18"/>
                <w:b w:val="1"/>
                <w:bCs w:val="1"/>
                <w:color w:val="auto"/>
                <w:w w:val="79"/>
              </w:rPr>
              <w:t>2015</w:t>
            </w:r>
          </w:p>
        </w:tc>
        <w:tc>
          <w:tcPr>
            <w:tcW w:w="346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jc w:val="right"/>
              <w:ind w:right="2310"/>
              <w:spacing w:after="0"/>
              <w:rPr>
                <w:sz w:val="20"/>
                <w:szCs w:val="20"/>
                <w:color w:val="auto"/>
              </w:rPr>
            </w:pPr>
            <w:r>
              <w:rPr>
                <w:rFonts w:ascii="Arial" w:cs="Arial" w:eastAsia="Arial" w:hAnsi="Arial"/>
                <w:sz w:val="18"/>
                <w:szCs w:val="18"/>
                <w:b w:val="1"/>
                <w:bCs w:val="1"/>
                <w:color w:val="auto"/>
                <w:w w:val="79"/>
              </w:rPr>
              <w:t>2014</w:t>
            </w:r>
          </w:p>
        </w:tc>
        <w:tc>
          <w:tcPr>
            <w:tcW w:w="346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1,434</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(1,434)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jc w:val="right"/>
              <w:ind w:right="2310"/>
              <w:spacing w:after="0"/>
              <w:rPr>
                <w:sz w:val="20"/>
                <w:szCs w:val="20"/>
                <w:color w:val="auto"/>
              </w:rPr>
            </w:pPr>
            <w:r>
              <w:rPr>
                <w:rFonts w:ascii="Arial" w:cs="Arial" w:eastAsia="Arial" w:hAnsi="Arial"/>
                <w:sz w:val="18"/>
                <w:szCs w:val="18"/>
                <w:b w:val="1"/>
                <w:bCs w:val="1"/>
                <w:color w:val="auto"/>
                <w:w w:val="79"/>
              </w:rPr>
              <w:t>2013</w:t>
            </w:r>
          </w:p>
        </w:tc>
        <w:tc>
          <w:tcPr>
            <w:tcW w:w="346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2,252</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300" w:type="dxa"/>
            <w:vAlign w:val="bottom"/>
          </w:tcPr>
          <w:p>
            <w:pPr>
              <w:jc w:val="right"/>
              <w:ind w:right="63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During 2014, the valuation allowance of $1.4 million on our previously recognized foreign tax credits was reduced by the full $1.4 million for credits which expired as of December 31, 2014. In addition to the foreign tax credits with the full valuation allowance, $1.3 million in foreign tax credits expired unused as of December 31, 2014. These foreign tax credits were not utilized during 2014, as management expected, due to the large amount of non-deductible mergers and acquisition costs incurred related to the four acquisitions completed in 2014. The remaining foreign tax credits, net operating loss and credit carry forwards are expected to be utilized before expiration. We record a valuation allowance when it is “more likely than not” that some portion or all of the deferred income tax assets will not be realized. In reaching this determination, we consider the future reversals of taxable temporary differences, future taxable income, exclusive of taxable temporary differences and carry forwards, taxable income in prior carryback years and tax planning strategies.</w:t>
      </w:r>
    </w:p>
    <w:p>
      <w:pPr>
        <w:spacing w:after="0" w:line="71" w:lineRule="exact"/>
        <w:rPr>
          <w:sz w:val="20"/>
          <w:szCs w:val="20"/>
          <w:color w:val="auto"/>
        </w:rPr>
      </w:pPr>
    </w:p>
    <w:p>
      <w:pPr>
        <w:ind w:left="920" w:right="20"/>
        <w:spacing w:after="0" w:line="253" w:lineRule="auto"/>
        <w:rPr>
          <w:sz w:val="20"/>
          <w:szCs w:val="20"/>
          <w:color w:val="auto"/>
        </w:rPr>
      </w:pPr>
      <w:r>
        <w:rPr>
          <w:rFonts w:ascii="Arial" w:cs="Arial" w:eastAsia="Arial" w:hAnsi="Arial"/>
          <w:sz w:val="18"/>
          <w:szCs w:val="18"/>
          <w:color w:val="auto"/>
        </w:rPr>
        <w:t>Unremitted earnings of subsidiaries outside the United States are considered to be reinvested indefinitely at December 31, 2015. It is not practicable to determine the deferred tax liability for temporary differences related to those unremitted earnings. There has been no change in our long term international expansion plans as of December 31, 2015 and our intent and ability is to indefinitely reinvest our foreign earnings. We base this assertion on two factors. The first factor is our intention to invest in foreign countries that are strategically important to our Precision Bearing Components Group, Precision Engineered Products Group and our Autocam Precision Components Group businesses. With the acquisitions completed in 2015 and 2014, we have significantly expanded our international base of operations adding subsidiaries in Mexico, Bosnia and Herzegovina, Brazil, Poland, France and China which will require more foreign investment. Second, we have sufficient access to funds in the U.S. through projected free cash flows and the availability of our US credit facilities to fund currently anticipated domestic operational and investment needs.</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reconciliation of the beginning and ending amounts of unrecognized tax benefits, excluding interest and penalties for the years ended</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December 31, 2015, 2014 and 2013 is as follows: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4"/>
                <w:szCs w:val="14"/>
                <w:color w:val="auto"/>
              </w:rPr>
            </w:pPr>
          </w:p>
        </w:tc>
        <w:tc>
          <w:tcPr>
            <w:tcW w:w="52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r>
      <w:tr>
        <w:trPr>
          <w:trHeight w:val="88"/>
        </w:trPr>
        <w:tc>
          <w:tcPr>
            <w:tcW w:w="73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$3,834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w:t>
            </w:r>
          </w:p>
        </w:tc>
        <w:tc>
          <w:tcPr>
            <w:tcW w:w="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$873</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500" w:type="dxa"/>
            <w:vAlign w:val="bottom"/>
          </w:tcPr>
          <w:p>
            <w:pPr>
              <w:jc w:val="right"/>
              <w:spacing w:after="0"/>
              <w:rPr>
                <w:sz w:val="20"/>
                <w:szCs w:val="20"/>
                <w:color w:val="auto"/>
              </w:rPr>
            </w:pPr>
            <w:r>
              <w:rPr>
                <w:rFonts w:ascii="Arial" w:cs="Arial" w:eastAsia="Arial" w:hAnsi="Arial"/>
                <w:sz w:val="18"/>
                <w:szCs w:val="18"/>
                <w:color w:val="auto"/>
              </w:rPr>
              <w:t>2,516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3,589</w:t>
            </w:r>
          </w:p>
        </w:tc>
        <w:tc>
          <w:tcPr>
            <w:tcW w:w="16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Ending balance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873</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920" w:right="140"/>
        <w:spacing w:after="0" w:line="312" w:lineRule="auto"/>
        <w:rPr>
          <w:sz w:val="20"/>
          <w:szCs w:val="20"/>
          <w:color w:val="auto"/>
        </w:rPr>
      </w:pPr>
      <w:r>
        <w:rPr>
          <w:rFonts w:ascii="Arial" w:cs="Arial" w:eastAsia="Arial" w:hAnsi="Arial"/>
          <w:sz w:val="16"/>
          <w:szCs w:val="16"/>
          <w:color w:val="auto"/>
        </w:rPr>
        <w:t>As of December 31, 2015, the $5.7 million of unrecognized tax benefits would, if recognized, impact our effective tax rate. The addition for tax positions of prior years was added as part of the purchase price allocation of PEP in 2015 of $2.2 million and Autocam in 2014 of $2.8 million and was included in the fair value of assets acquired and liabilities assumed. (See Note 2 of Notes to Consolidated Financial Statements.)</w:t>
      </w:r>
    </w:p>
    <w:p>
      <w:pPr>
        <w:spacing w:after="0" w:line="39" w:lineRule="exact"/>
        <w:rPr>
          <w:sz w:val="20"/>
          <w:szCs w:val="20"/>
          <w:color w:val="auto"/>
        </w:rPr>
      </w:pPr>
    </w:p>
    <w:p>
      <w:pPr>
        <w:ind w:left="920" w:right="220"/>
        <w:spacing w:after="0" w:line="279" w:lineRule="auto"/>
        <w:rPr>
          <w:sz w:val="20"/>
          <w:szCs w:val="20"/>
          <w:color w:val="auto"/>
        </w:rPr>
      </w:pPr>
      <w:r>
        <w:rPr>
          <w:rFonts w:ascii="Arial" w:cs="Arial" w:eastAsia="Arial" w:hAnsi="Arial"/>
          <w:sz w:val="17"/>
          <w:szCs w:val="17"/>
          <w:color w:val="auto"/>
        </w:rPr>
        <w:t>Interest and penalties related to federal, state, and foreign income tax matters are recorded as a component of the provision for income taxes in our Statements of Operations. During 2015, we accrued $30 thousand in foreign interest and $0.3 million in US interest. During 2014, we accrued $31 thousand in foreign interest and $17 thousand in US interest. During 2013, we accrued $32 thousand in foreign interest and penalties. As of December 31, 2015, the total amount accrued for interest and penalties was $1.4 million.</w:t>
      </w:r>
    </w:p>
    <w:p>
      <w:pPr>
        <w:spacing w:after="0" w:line="63"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We or our subsidiaries file income tax returns in the U.S. federal jurisdiction, and in various states and foreign jurisdictions. With few exceptions, we are no longer subject to federal, state and local income tax examinations by tax authorities for years before 2012. We are no longer subject to non-U.S. income tax examinations within various European Union countries for years before 2010. We do not foresee any significant changes to our unrecognized tax benefits within the next twelve months.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Reconciliation of Net Income (Loss) Per Share</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jc w:val="center"/>
              <w:ind w:left="314"/>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(7,431)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17,178</w:t>
            </w:r>
          </w:p>
        </w:tc>
        <w:tc>
          <w:tcPr>
            <w:tcW w:w="0" w:type="dxa"/>
            <w:vAlign w:val="bottom"/>
          </w:tcPr>
          <w:p>
            <w:pPr>
              <w:spacing w:after="0"/>
              <w:rPr>
                <w:sz w:val="1"/>
                <w:szCs w:val="1"/>
                <w:color w:val="auto"/>
              </w:rPr>
            </w:pPr>
          </w:p>
        </w:tc>
      </w:tr>
      <w:tr>
        <w:trPr>
          <w:trHeight w:val="324"/>
        </w:trPr>
        <w:tc>
          <w:tcPr>
            <w:tcW w:w="68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21,181</w:t>
            </w: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17,887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17,176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80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21,181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18,253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17,260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920" w:right="40"/>
        <w:spacing w:after="0" w:line="312" w:lineRule="auto"/>
        <w:rPr>
          <w:sz w:val="20"/>
          <w:szCs w:val="20"/>
          <w:color w:val="auto"/>
        </w:rPr>
      </w:pPr>
      <w:r>
        <w:rPr>
          <w:rFonts w:ascii="Arial" w:cs="Arial" w:eastAsia="Arial" w:hAnsi="Arial"/>
          <w:sz w:val="16"/>
          <w:szCs w:val="16"/>
          <w:color w:val="auto"/>
        </w:rPr>
        <w:t>Given the net loss for the year ended December 31, 2015, all options are considered anti-dilutive. Excluded from the dilutive shares outstanding for the years ended December 31, 2014, and 2013 were 98,000 and 1,148,000 of anti-dilutive options, respectively, which had per share exercise prices ranging from of $19.63 to $22.69 for the year ended December 31, 2014 and $8.54 to $14.13 for the year ended December 31, 2013.</w:t>
      </w:r>
    </w:p>
    <w:p>
      <w:pPr>
        <w:spacing w:after="0" w:line="29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We have operating lease commitments for machinery, office equipment, vehicles, manufacturing and office space which expire on varying dates. Rent expense for 2015, 2014 and 2013 was $5.8 million, $4.5 million and $2.3 million, respectively. The following is a schedule by year of future minimum lease payments as of December 31, 2015 under operating leases that have initial or remaining non-cancelable lease terms in excess of one year.</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2"/>
          </w:tcPr>
          <w:p>
            <w:pPr>
              <w:jc w:val="right"/>
              <w:ind w:right="252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2017</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2019</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Thereafter</w:t>
            </w:r>
          </w:p>
        </w:tc>
        <w:tc>
          <w:tcPr>
            <w:tcW w:w="4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Total minimum lease payments</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Brazil ICMS Tax Matter</w:t>
      </w:r>
    </w:p>
    <w:p>
      <w:pPr>
        <w:spacing w:after="0" w:line="117"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Prior to our acquisition of Autocam on August 29, 2014, Autocam’s Brazilian subsidiary received notification from the tax authorities regarding ICMS (State Value Added Tax or VAT) tax credits claimed on intermediary materials (tooling and perishable items) used in the manufacturing process. The state tax authority notification disallowed state ICMS credits claimed on intermediary materials based on the argument that these items are not intrinsically related to the manufacturing processes. Autocam Brazil filed an administrative defense with the São Paulo state tax authority arguing, among other matters, that it should qualify for ICMS tax credit, contending that the intermediary materials are directly related to the manufacturing process.</w:t>
      </w:r>
    </w:p>
    <w:p>
      <w:pPr>
        <w:spacing w:after="0" w:line="85"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We believe we have substantial legal and factual defenses and plan to defend our interests vigorously. While we believe a loss is not probable we estimate the range of possible loss related to this assessment is from $0 to $6.0 million. No amount has been accrued at December 31, 2015 for this matter.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Management believes the indemnification would include amounts owed for the tax, interest and penalties related to the Brazil ICMS matter.</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All other legal matters</w:t>
      </w:r>
    </w:p>
    <w:p>
      <w:pPr>
        <w:spacing w:after="0" w:line="11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not recognized any loss contingencies as December 31, 2015 and 2014.</w:t>
      </w:r>
    </w:p>
    <w:p>
      <w:pPr>
        <w:spacing w:after="0" w:line="33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Non-Consolidated Joint Venture</w:t>
      </w:r>
    </w:p>
    <w:p>
      <w:pPr>
        <w:spacing w:after="0" w:line="121" w:lineRule="exact"/>
        <w:rPr>
          <w:sz w:val="20"/>
          <w:szCs w:val="20"/>
          <w:color w:val="auto"/>
        </w:rPr>
      </w:pPr>
    </w:p>
    <w:p>
      <w:pPr>
        <w:jc w:val="both"/>
        <w:ind w:right="760"/>
        <w:spacing w:after="0" w:line="264" w:lineRule="auto"/>
        <w:rPr>
          <w:sz w:val="20"/>
          <w:szCs w:val="20"/>
          <w:color w:val="auto"/>
        </w:rPr>
      </w:pPr>
      <w:r>
        <w:rPr>
          <w:rFonts w:ascii="Arial" w:cs="Arial" w:eastAsia="Arial" w:hAnsi="Arial"/>
          <w:sz w:val="18"/>
          <w:szCs w:val="18"/>
          <w:color w:val="auto"/>
        </w:rPr>
        <w:t>As part of the Autocam acquisition, we acquired a 49% investment in a joint venture with an unrelated entity called Wuxi Weifu Autocam Precision Machinery Company, Ltd. (the “JV”), a Chinese company located in the city of Wuxi, China. The JV is jointly controlled and managed and is being accounted for under the equity method.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Below are the components of our JV investment balance and activity for the years ended December 31, 2015 and 2014 (since the date of acquisition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29,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August 29, 2014</w:t>
            </w:r>
          </w:p>
        </w:tc>
        <w:tc>
          <w:tcPr>
            <w:tcW w:w="2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$35,595</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Dividends received</w:t>
            </w: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(2,538)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Our share of cumulative earnings</w:t>
            </w:r>
          </w:p>
        </w:tc>
        <w:tc>
          <w:tcPr>
            <w:tcW w:w="12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2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2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$34,331</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Capital contributions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w:t>
            </w:r>
          </w:p>
        </w:tc>
        <w:tc>
          <w:tcPr>
            <w:tcW w:w="12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Our share of cumulative earnings</w:t>
            </w: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5,440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12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700" w:type="dxa"/>
            <w:vAlign w:val="bottom"/>
            <w:gridSpan w:val="2"/>
          </w:tcPr>
          <w:p>
            <w:pPr>
              <w:ind w:left="460"/>
              <w:spacing w:after="0"/>
              <w:rPr>
                <w:sz w:val="20"/>
                <w:szCs w:val="20"/>
                <w:color w:val="auto"/>
              </w:rPr>
            </w:pPr>
            <w:r>
              <w:rPr>
                <w:rFonts w:ascii="Arial" w:cs="Arial" w:eastAsia="Arial" w:hAnsi="Arial"/>
                <w:sz w:val="18"/>
                <w:szCs w:val="18"/>
                <w:color w:val="auto"/>
              </w:rPr>
              <w:t>Balance as of December 31, 2015</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38,462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Set forth below is summarized balance sheet information for the JV:</w:t>
            </w: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80" w:type="dxa"/>
            <w:vAlign w:val="bottom"/>
            <w:gridSpan w:val="3"/>
            <w:vMerge w:val="continue"/>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gridSpan w:val="6"/>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6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$24,663</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$24,140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22,847</w:t>
            </w:r>
          </w:p>
        </w:tc>
        <w:tc>
          <w:tcPr>
            <w:tcW w:w="42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47,510</w:t>
            </w:r>
          </w:p>
        </w:tc>
        <w:tc>
          <w:tcPr>
            <w:tcW w:w="10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80" w:type="dxa"/>
            <w:vAlign w:val="bottom"/>
            <w:gridSpan w:val="3"/>
          </w:tcPr>
          <w:p>
            <w:pPr>
              <w:ind w:left="1380"/>
              <w:spacing w:after="0"/>
              <w:rPr>
                <w:sz w:val="20"/>
                <w:szCs w:val="20"/>
                <w:color w:val="auto"/>
              </w:rPr>
            </w:pPr>
            <w:r>
              <w:rPr>
                <w:rFonts w:ascii="Arial" w:cs="Arial" w:eastAsia="Arial" w:hAnsi="Arial"/>
                <w:sz w:val="18"/>
                <w:szCs w:val="18"/>
                <w:color w:val="auto"/>
              </w:rPr>
              <w:t>Current liabilities</w:t>
            </w:r>
          </w:p>
        </w:tc>
        <w:tc>
          <w:tcPr>
            <w:tcW w:w="1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11,171</w:t>
            </w:r>
          </w:p>
        </w:tc>
        <w:tc>
          <w:tcPr>
            <w:tcW w:w="10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11,171</w:t>
            </w:r>
          </w:p>
        </w:tc>
        <w:tc>
          <w:tcPr>
            <w:tcW w:w="102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Dividends of $2.8 million were declared for year ended December 31, 2014 and paid by the JV during the year ended December 31, 2015. Our 49% ownership interest in this amount is net of a 10% withholding tax levied by the Chinese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government. We had sales to the JV of $0.1 million for the year ended December 31, 2015. Amounts due to us from the JV were $0.2 million of December 31, 2015. The JV had net sales in 2015 of $55.4 million and net income of $11.1 million.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 dividends were declared by the JV for the four months ended December 31, 2014. We had sales to the JV of $36 thousand during the four months ended December 31, 2014. Amounts due to us from JV were $0.2 million as of December 31, 2014. The JV had net sales in 2014 of $50.5 million and net income of $9.0 million.</w:t>
      </w:r>
    </w:p>
    <w:p>
      <w:pPr>
        <w:spacing w:after="0" w:line="32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summarizes the unaudited quarterly results of operations for the years ended December 31, 2015 and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March 31</w:t>
            </w:r>
          </w:p>
        </w:tc>
        <w:tc>
          <w:tcPr>
            <w:tcW w:w="240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9"/>
              </w:rPr>
              <w:t>Year ended December 31, 2015</w:t>
            </w: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Sept. 30</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$163,746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$164,856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154,824</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183,854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13,934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13,589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10,122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18,996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number of shares</w:t>
            </w:r>
          </w:p>
        </w:tc>
        <w:tc>
          <w:tcPr>
            <w:tcW w:w="1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19,380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March 31</w:t>
            </w:r>
          </w:p>
        </w:tc>
        <w:tc>
          <w:tcPr>
            <w:tcW w:w="240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9"/>
              </w:rPr>
              <w:t>Year ended December 31, 2014</w:t>
            </w:r>
          </w:p>
        </w:tc>
        <w:tc>
          <w:tcPr>
            <w:tcW w:w="100" w:type="dxa"/>
            <w:vAlign w:val="bottom"/>
          </w:tcPr>
          <w:p>
            <w:pPr>
              <w:spacing w:after="0"/>
              <w:rPr>
                <w:sz w:val="24"/>
                <w:szCs w:val="2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Sept. 30</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$102,528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$106,680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125,632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153,761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8,338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8,237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Basic number of shares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17,656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number of shares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17,962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The fourth quarter of 2015 was impacted by merger and acquisition related costs of $18.7 million pre-tax, and $11.6 million after-tax primarily related to the PEP Acquisition. Additionally, the fourth quarter was negatively impacted by $18.7 million in pre-tax costs and $12.0 million in after-tax costs incurred related to writing-off debt issuance costs to our former lenders related to the new debt entered into for the PEP Acquisition.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The third and fourth quarters of 2014 were impacted by merger and acquisition related costs of $8.4 million and $1.5 million, respectively, pre-tax and $7.3 million and $3.2 million, respectively, after-tax related to the four acquisitions closed during 2014. Additionally, the third quarter was negatively impacted by $3.0 million in pre-tax costs and $1.9 million in after-tax costs incurred related to writing-off debt issuance costs and make whole interest payments to our former lenders related to the new debt entered into for the Autocam acquisition.</w:t>
      </w:r>
    </w:p>
    <w:p>
      <w:pPr>
        <w:spacing w:after="0" w:line="31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121"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majority of our Accumulated Other Comprehensive Income balance relates to foreign currency translation of our foreign subsidiary balances. During the year ended December 31, 2015, we had other comprehensive loss of $21.9 million due to foreign currency translations and a $2.6 million loss due to change in fair value of interest rate hedge. During the year ended December 31, 2014, we had other comprehensive loss of $17.7 million due to foreign currency translations and a $0.4 million loss due to change in fair value of interest rate hedge. During the year ended December 31, 2013, we had other comprehensive income $3.9 million due to foreign currency translations. Income taxes on the foreign currency translation adjustments in other comprehensive income were not recognized because the earnings are intended to be indefinitely reinvested in those operations.</w:t>
      </w:r>
    </w:p>
    <w:p>
      <w:pPr>
        <w:spacing w:after="0" w:line="33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Hedging</w:t>
      </w:r>
    </w:p>
    <w:p>
      <w:pPr>
        <w:spacing w:after="0" w:line="121"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Our policy is to manage interest expense using a mix of fixed and variable rate debt. To manage this mix effectively, we may enter into an interest rate swap in which we agree to exchange the difference between fixed and variable interest amounts calculated by reference to an agreed upon notional principal amount.</w:t>
      </w:r>
    </w:p>
    <w:p>
      <w:pPr>
        <w:spacing w:after="0" w:line="73" w:lineRule="exact"/>
        <w:rPr>
          <w:sz w:val="20"/>
          <w:szCs w:val="20"/>
          <w:color w:val="auto"/>
        </w:rPr>
      </w:pPr>
    </w:p>
    <w:p>
      <w:pPr>
        <w:ind w:left="920" w:right="60"/>
        <w:spacing w:after="0" w:line="302" w:lineRule="auto"/>
        <w:rPr>
          <w:sz w:val="20"/>
          <w:szCs w:val="20"/>
          <w:color w:val="auto"/>
        </w:rPr>
      </w:pPr>
      <w:r>
        <w:rPr>
          <w:rFonts w:ascii="Arial" w:cs="Arial" w:eastAsia="Arial" w:hAnsi="Arial"/>
          <w:sz w:val="16"/>
          <w:szCs w:val="16"/>
          <w:color w:val="auto"/>
        </w:rPr>
        <w:t>Effective December 16, 2014, we entered into a $150 million swap that went into effect on December 29, 2015 (one year delayed start), at which time our rate was locked at 6.966% until December 31, 2018. Prior to December 16, 2014, we did not have any existing interest rate hedges. The hedge instrument will be 100% effective and as such the mark to market gains or losses on this hedge will be included in accumulated other comprehensive income (loss) to the extent effective, and reclassified into interest expense over the term of the related debt instruments.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tables below summarizing the fair value measurement of this swap valued on a recurring basis on a gross basis: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97"/>
              </w:rPr>
              <w:t>Fair Value Measurements at December 31, 2015</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80" w:type="dxa"/>
            <w:vAlign w:val="bottom"/>
          </w:tcPr>
          <w:p>
            <w:pPr>
              <w:spacing w:after="0"/>
              <w:rPr>
                <w:sz w:val="10"/>
                <w:szCs w:val="10"/>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Significant Other</w:t>
            </w:r>
          </w:p>
        </w:tc>
        <w:tc>
          <w:tcPr>
            <w:tcW w:w="80" w:type="dxa"/>
            <w:vAlign w:val="bottom"/>
          </w:tcPr>
          <w:p>
            <w:pPr>
              <w:spacing w:after="0"/>
              <w:rPr>
                <w:sz w:val="10"/>
                <w:szCs w:val="10"/>
                <w:color w:val="auto"/>
              </w:rPr>
            </w:pPr>
          </w:p>
        </w:tc>
        <w:tc>
          <w:tcPr>
            <w:tcW w:w="1000" w:type="dxa"/>
            <w:vAlign w:val="bottom"/>
            <w:vMerge w:val="restart"/>
          </w:tcPr>
          <w:p>
            <w:pPr>
              <w:jc w:val="center"/>
              <w:ind w:left="222"/>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 Inputs</w:t>
            </w:r>
          </w:p>
        </w:tc>
        <w:tc>
          <w:tcPr>
            <w:tcW w:w="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 Inputs</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4"/>
                <w:szCs w:val="14"/>
                <w:color w:val="auto"/>
              </w:rPr>
            </w:pPr>
          </w:p>
        </w:tc>
        <w:tc>
          <w:tcPr>
            <w:tcW w:w="100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Derivative</w:t>
            </w:r>
          </w:p>
        </w:tc>
        <w:tc>
          <w:tcPr>
            <w:tcW w:w="31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Assets - current</w:t>
            </w:r>
          </w:p>
        </w:tc>
        <w:tc>
          <w:tcPr>
            <w:tcW w:w="1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Derivative Assets – non-current</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 - current</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Derivative Liabilities - current</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(3,015)</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97"/>
              </w:rPr>
              <w:t>Fair Value Measurements at December 31, 2014</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80" w:type="dxa"/>
            <w:vAlign w:val="bottom"/>
          </w:tcPr>
          <w:p>
            <w:pPr>
              <w:spacing w:after="0"/>
              <w:rPr>
                <w:sz w:val="10"/>
                <w:szCs w:val="10"/>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Significant Other</w:t>
            </w:r>
          </w:p>
        </w:tc>
        <w:tc>
          <w:tcPr>
            <w:tcW w:w="80" w:type="dxa"/>
            <w:vAlign w:val="bottom"/>
          </w:tcPr>
          <w:p>
            <w:pPr>
              <w:spacing w:after="0"/>
              <w:rPr>
                <w:sz w:val="10"/>
                <w:szCs w:val="10"/>
                <w:color w:val="auto"/>
              </w:rPr>
            </w:pPr>
          </w:p>
        </w:tc>
        <w:tc>
          <w:tcPr>
            <w:tcW w:w="1000" w:type="dxa"/>
            <w:vAlign w:val="bottom"/>
            <w:vMerge w:val="restart"/>
          </w:tcPr>
          <w:p>
            <w:pPr>
              <w:jc w:val="center"/>
              <w:ind w:left="222"/>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 Inputs</w:t>
            </w:r>
          </w:p>
        </w:tc>
        <w:tc>
          <w:tcPr>
            <w:tcW w:w="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 Inputs</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4"/>
                <w:szCs w:val="14"/>
                <w:color w:val="auto"/>
              </w:rPr>
            </w:pPr>
          </w:p>
        </w:tc>
        <w:tc>
          <w:tcPr>
            <w:tcW w:w="100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Derivative</w:t>
            </w:r>
          </w:p>
        </w:tc>
        <w:tc>
          <w:tcPr>
            <w:tcW w:w="31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Assets – non-current</w:t>
            </w:r>
          </w:p>
        </w:tc>
        <w:tc>
          <w:tcPr>
            <w:tcW w:w="1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Derivative Liabilities – non-current</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18"/>
                <w:szCs w:val="18"/>
                <w:color w:val="auto"/>
              </w:rPr>
            </w:pPr>
          </w:p>
        </w:tc>
        <w:tc>
          <w:tcPr>
            <w:tcW w:w="140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40" w:type="dxa"/>
            <w:vAlign w:val="bottom"/>
            <w:vMerge w:val="restart"/>
          </w:tcPr>
          <w:p>
            <w:pPr>
              <w:jc w:val="right"/>
              <w:ind w:right="70"/>
              <w:spacing w:after="0"/>
              <w:rPr>
                <w:sz w:val="20"/>
                <w:szCs w:val="20"/>
                <w:color w:val="auto"/>
              </w:rPr>
            </w:pPr>
            <w:r>
              <w:rPr>
                <w:rFonts w:ascii="Arial" w:cs="Arial" w:eastAsia="Arial" w:hAnsi="Arial"/>
                <w:sz w:val="18"/>
                <w:szCs w:val="18"/>
                <w:color w:val="auto"/>
              </w:rPr>
              <w:t>74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The interest rate swap derivative is classified as Level 2. Level 2 fair value is based on estimates using standard pricing models. These standard pricing models use inputs which are derived from or corroborated by observable market data such as interest rate yield curves, index forward curves, discount curves, and volatility surfaces. The counterparty to this derivative contract is a highly rated financial institutions which we believe carries only a minimal risk of nonperformance.</w:t>
      </w:r>
    </w:p>
    <w:p>
      <w:pPr>
        <w:spacing w:after="0" w:line="79"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We have elected to present the derivative contract on a gross basis in the Consolidated Statements of Financial Position within other current and other non-current assets and liabilities. Had we chosen to present the derivative contract on a net basis, we would have a derivative in a net liability position of $3.0 million and $0.4 million as of December 31, 2015 and 2014. We do not have any cash collateral due under such agreements.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Hedging Relationships</w:t>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 after tax of gain/</w:t>
            </w:r>
          </w:p>
        </w:tc>
        <w:tc>
          <w:tcPr>
            <w:tcW w:w="1860" w:type="dxa"/>
            <w:vAlign w:val="bottom"/>
          </w:tcPr>
          <w:p>
            <w:pPr>
              <w:jc w:val="center"/>
              <w:ind w:left="429"/>
              <w:spacing w:after="0"/>
              <w:rPr>
                <w:sz w:val="20"/>
                <w:szCs w:val="20"/>
                <w:color w:val="auto"/>
              </w:rPr>
            </w:pPr>
            <w:r>
              <w:rPr>
                <w:rFonts w:ascii="Arial" w:cs="Arial" w:eastAsia="Arial" w:hAnsi="Arial"/>
                <w:sz w:val="14"/>
                <w:szCs w:val="14"/>
                <w:b w:val="1"/>
                <w:bCs w:val="1"/>
                <w:color w:val="auto"/>
                <w:w w:val="91"/>
              </w:rPr>
              <w:t>Location of 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(loss) recognized in Other</w:t>
            </w:r>
          </w:p>
        </w:tc>
        <w:tc>
          <w:tcPr>
            <w:tcW w:w="1860" w:type="dxa"/>
            <w:vAlign w:val="bottom"/>
          </w:tcPr>
          <w:p>
            <w:pPr>
              <w:jc w:val="center"/>
              <w:ind w:left="449"/>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 Income on</w:t>
            </w:r>
          </w:p>
        </w:tc>
        <w:tc>
          <w:tcPr>
            <w:tcW w:w="1860" w:type="dxa"/>
            <w:vAlign w:val="bottom"/>
          </w:tcPr>
          <w:p>
            <w:pPr>
              <w:jc w:val="center"/>
              <w:ind w:left="449"/>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20"/>
                <w:szCs w:val="20"/>
                <w:color w:val="auto"/>
              </w:rPr>
            </w:pPr>
            <w:r>
              <w:rPr>
                <w:rFonts w:ascii="Arial" w:cs="Arial" w:eastAsia="Arial" w:hAnsi="Arial"/>
                <w:sz w:val="14"/>
                <w:szCs w:val="14"/>
                <w:color w:val="auto"/>
              </w:rPr>
              <w:t>(Dollars in millions)</w:t>
            </w: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Derivatives (effective portion)</w:t>
            </w:r>
          </w:p>
        </w:tc>
        <w:tc>
          <w:tcPr>
            <w:tcW w:w="1860" w:type="dxa"/>
            <w:vAlign w:val="bottom"/>
          </w:tcPr>
          <w:p>
            <w:pPr>
              <w:jc w:val="center"/>
              <w:ind w:left="429"/>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19"/>
        </w:trPr>
        <w:tc>
          <w:tcPr>
            <w:tcW w:w="46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Derivatives’ Cash Flow Hedging Relationships</w:t>
            </w:r>
          </w:p>
        </w:tc>
        <w:tc>
          <w:tcPr>
            <w:tcW w:w="1100" w:type="dxa"/>
            <w:vAlign w:val="bottom"/>
          </w:tcPr>
          <w:p>
            <w:pPr>
              <w:jc w:val="center"/>
              <w:ind w:right="189"/>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80" w:type="dxa"/>
            <w:vAlign w:val="bottom"/>
          </w:tcPr>
          <w:p>
            <w:pPr>
              <w:jc w:val="center"/>
              <w:ind w:left="17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860" w:type="dxa"/>
            <w:vAlign w:val="bottom"/>
          </w:tcPr>
          <w:p>
            <w:pPr>
              <w:jc w:val="center"/>
              <w:ind w:left="449"/>
              <w:spacing w:after="0" w:line="119" w:lineRule="exact"/>
              <w:rPr>
                <w:sz w:val="20"/>
                <w:szCs w:val="20"/>
                <w:color w:val="auto"/>
              </w:rPr>
            </w:pPr>
            <w:r>
              <w:rPr>
                <w:rFonts w:ascii="Arial" w:cs="Arial" w:eastAsia="Arial" w:hAnsi="Arial"/>
                <w:sz w:val="13"/>
                <w:szCs w:val="13"/>
                <w:b w:val="1"/>
                <w:bCs w:val="1"/>
                <w:color w:val="auto"/>
                <w:w w:val="99"/>
              </w:rPr>
              <w:t>Income into Income</w:t>
            </w:r>
          </w:p>
        </w:tc>
        <w:tc>
          <w:tcPr>
            <w:tcW w:w="0" w:type="dxa"/>
            <w:vAlign w:val="bottom"/>
          </w:tcPr>
          <w:p>
            <w:pPr>
              <w:spacing w:after="0"/>
              <w:rPr>
                <w:sz w:val="1"/>
                <w:szCs w:val="1"/>
                <w:color w:val="auto"/>
              </w:rPr>
            </w:pPr>
          </w:p>
        </w:tc>
      </w:tr>
      <w:tr>
        <w:trPr>
          <w:trHeight w:val="176"/>
        </w:trPr>
        <w:tc>
          <w:tcPr>
            <w:tcW w:w="4660" w:type="dxa"/>
            <w:vAlign w:val="bottom"/>
            <w:vMerge w:val="continue"/>
          </w:tcPr>
          <w:p>
            <w:pPr>
              <w:spacing w:after="0"/>
              <w:rPr>
                <w:sz w:val="15"/>
                <w:szCs w:val="15"/>
                <w:color w:val="auto"/>
              </w:rPr>
            </w:pPr>
          </w:p>
        </w:tc>
        <w:tc>
          <w:tcPr>
            <w:tcW w:w="1100" w:type="dxa"/>
            <w:vAlign w:val="bottom"/>
          </w:tcPr>
          <w:p>
            <w:pPr>
              <w:jc w:val="right"/>
              <w:ind w:right="449"/>
              <w:spacing w:after="0"/>
              <w:rPr>
                <w:sz w:val="20"/>
                <w:szCs w:val="20"/>
                <w:color w:val="auto"/>
              </w:rPr>
            </w:pPr>
            <w:r>
              <w:rPr>
                <w:rFonts w:ascii="Arial" w:cs="Arial" w:eastAsia="Arial" w:hAnsi="Arial"/>
                <w:sz w:val="14"/>
                <w:szCs w:val="14"/>
                <w:b w:val="1"/>
                <w:bCs w:val="1"/>
                <w:color w:val="auto"/>
              </w:rPr>
              <w:t>2015</w:t>
            </w:r>
          </w:p>
        </w:tc>
        <w:tc>
          <w:tcPr>
            <w:tcW w:w="10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860" w:type="dxa"/>
            <w:vAlign w:val="bottom"/>
          </w:tcPr>
          <w:p>
            <w:pPr>
              <w:jc w:val="center"/>
              <w:ind w:left="449"/>
              <w:spacing w:after="0"/>
              <w:rPr>
                <w:sz w:val="20"/>
                <w:szCs w:val="20"/>
                <w:color w:val="auto"/>
              </w:rPr>
            </w:pPr>
            <w:r>
              <w:rPr>
                <w:rFonts w:ascii="Arial" w:cs="Arial" w:eastAsia="Arial" w:hAnsi="Arial"/>
                <w:sz w:val="14"/>
                <w:szCs w:val="14"/>
                <w:b w:val="1"/>
                <w:bCs w:val="1"/>
                <w:color w:val="auto"/>
                <w:w w:val="92"/>
              </w:rPr>
              <w:t>(effective 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-2540</wp:posOffset>
            </wp:positionV>
            <wp:extent cx="25641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left="180" w:right="260" w:firstLine="45"/>
        <w:spacing w:after="0" w:line="276" w:lineRule="auto"/>
        <w:rPr>
          <w:sz w:val="20"/>
          <w:szCs w:val="20"/>
          <w:color w:val="auto"/>
        </w:rPr>
      </w:pPr>
      <w:r>
        <w:rPr>
          <w:rFonts w:ascii="Arial" w:cs="Arial" w:eastAsia="Arial" w:hAnsi="Arial"/>
          <w:sz w:val="12"/>
          <w:szCs w:val="12"/>
          <w:b w:val="1"/>
          <w:bCs w:val="1"/>
          <w:color w:val="auto"/>
        </w:rPr>
        <w:t>Pre-tax amount of gain/(loss) reclassified from Accumulated Other Comprehensive Income into Income (effective portion)</w:t>
      </w:r>
    </w:p>
    <w:tbl>
      <w:tblPr>
        <w:tblLayout w:type="fixed"/>
        <w:tblInd w:w="0" w:type="dxa"/>
        <w:tblCellMar>
          <w:top w:w="0" w:type="dxa"/>
          <w:left w:w="0" w:type="dxa"/>
          <w:bottom w:w="0" w:type="dxa"/>
          <w:right w:w="0" w:type="dxa"/>
        </w:tblCellMar>
      </w:tblPr>
      <w:tr>
        <w:trPr>
          <w:trHeight w:val="102"/>
        </w:trPr>
        <w:tc>
          <w:tcPr>
            <w:tcW w:w="1100" w:type="dxa"/>
            <w:vAlign w:val="bottom"/>
            <w:tcBorders>
              <w:top w:val="single" w:sz="8" w:color="auto"/>
            </w:tcBorders>
          </w:tcPr>
          <w:p>
            <w:pPr>
              <w:jc w:val="center"/>
              <w:ind w:right="196"/>
              <w:spacing w:after="0" w:line="102" w:lineRule="exact"/>
              <w:rPr>
                <w:sz w:val="20"/>
                <w:szCs w:val="20"/>
                <w:color w:val="auto"/>
              </w:rPr>
            </w:pPr>
            <w:r>
              <w:rPr>
                <w:rFonts w:ascii="Arial" w:cs="Arial" w:eastAsia="Arial" w:hAnsi="Arial"/>
                <w:sz w:val="11"/>
                <w:szCs w:val="11"/>
                <w:b w:val="1"/>
                <w:bCs w:val="1"/>
                <w:color w:val="auto"/>
              </w:rPr>
              <w:t>December 31,</w:t>
            </w:r>
          </w:p>
        </w:tc>
        <w:tc>
          <w:tcPr>
            <w:tcW w:w="1100" w:type="dxa"/>
            <w:vAlign w:val="bottom"/>
            <w:tcBorders>
              <w:top w:val="single" w:sz="8" w:color="auto"/>
            </w:tcBorders>
          </w:tcPr>
          <w:p>
            <w:pPr>
              <w:jc w:val="center"/>
              <w:ind w:left="196"/>
              <w:spacing w:after="0" w:line="102" w:lineRule="exact"/>
              <w:rPr>
                <w:sz w:val="20"/>
                <w:szCs w:val="20"/>
                <w:color w:val="auto"/>
              </w:rPr>
            </w:pPr>
            <w:r>
              <w:rPr>
                <w:rFonts w:ascii="Arial" w:cs="Arial" w:eastAsia="Arial" w:hAnsi="Arial"/>
                <w:sz w:val="11"/>
                <w:szCs w:val="11"/>
                <w:b w:val="1"/>
                <w:bCs w:val="1"/>
                <w:color w:val="auto"/>
              </w:rPr>
              <w:t>December 31,</w:t>
            </w:r>
          </w:p>
        </w:tc>
      </w:tr>
      <w:tr>
        <w:trPr>
          <w:trHeight w:val="176"/>
        </w:trPr>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1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13976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8700" w:space="420"/>
            <w:col w:w="23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Forward starting interest rate swap contracts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(3015)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(431)</w:t>
            </w:r>
          </w:p>
        </w:tc>
        <w:tc>
          <w:tcPr>
            <w:tcW w:w="1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76"/>
              </w:rPr>
              <w:t>(3015)</w:t>
            </w: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1"/>
              </w:rPr>
              <w:t>(431)</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Equity Offering</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July 1, 2015, we closed an underwritten registered public offering of common stock offered pursuant to a shelf registration statement on Form S-3 that was previously filed with, and declared effective by, the Securities Exchange Commission (the “SEC” or “Commission”). The total number of shares of common stock sold was 7,590,000 at a public offering price of $24.00 per share. All of the shares in the offering were sold by us. Our net proceeds from the offering, after deducting underwriting discounts and commissions and offering expenses, were approximately $173.1 million. Of these proceeds, $148.7 million was used for repayment of principal and interest on our debt.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management, under the supervision and with the participation of the Chief Executive Officer and Chief Financial Officer, conducted an evaluation of the effectiveness of the design and operation of our disclosure controls and procedures as defined under Rule l3a-15(e) promulgated under the Securities Exchange Act of 1934, as amended (the “Exchange Act”). Based on this evaluation, the Chief Executive Officer and the Chief Financial Officer concluded that our disclosure controls and procedures were effective as of December 31, 2015, the end of the period covered by this Annual Report on Form 10-K.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management of NN, Inc.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financial statements for external purposes in accordance with generally accepted accounting principles.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us have been detected. The design of any system of controls is based in part on certain assumptions about the likelihood of future events, and there can be no assurance that any design will succeed in achieving its stated goals under all potential future conditions. Management, under the supervision and with the participation of the Chief Executive Officer and Chief Financial Officer, conducted an evaluation of the effectiveness of our internal control over financial reporting based on the </w:t>
      </w:r>
      <w:r>
        <w:rPr>
          <w:rFonts w:ascii="Arial" w:cs="Arial" w:eastAsia="Arial" w:hAnsi="Arial"/>
          <w:sz w:val="17"/>
          <w:szCs w:val="17"/>
          <w:i w:val="1"/>
          <w:iCs w:val="1"/>
          <w:color w:val="auto"/>
        </w:rPr>
        <w:t>Internal Control- 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18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Management has excluded PEP and Caprock from its assessment of internal control over financial reporting at December 31, 2015 as they were acquired by us in purchase business combinations during 2015. These entities are our wholly-owned subsidiaries whose total assets and total revenues represent 9% and 7%, respectively, of our total assets and total revenue as of and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Based on its evaluation, management concluded that our internal control over financial reporting was effective as of December 31, 2015.</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2015 has been audited by PricewaterhouseCoopers LLP, an independent registered public accounting firm, as stated in their report which appears under Item 8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2015 that have materially affected, or are reasonably likely to materially affect, our internal control over financial reporting.</w:t>
      </w:r>
    </w:p>
    <w:p>
      <w:pPr>
        <w:spacing w:after="0" w:line="315"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information required by this Item 10 of Form 10-K concerning our directors is contained in the sections entitled “Information about the Directors” and “Beneficial Ownership of Common Stock” of our definitive proxy statement to be filed with the Securities and Exchange Commission within 120 days after December 31, 2015, in accordance with General Instruction G to Form 10-K, is hereby incorporated herein by reference.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Code of Ethics (the “Code”) was approved by our Board on November 6, 2003. The Code is applicable to all officers, directors and employees. The Code is posted on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Information contained on our website is not part of this Annual Report on Form 10-K. We will satisfy any disclosure requirements under Item 5.05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Current Report on Form 8-K.</w:t>
      </w:r>
    </w:p>
    <w:p>
      <w:pPr>
        <w:spacing w:after="0" w:line="333"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information required by Item 11 of Form 10-K is contained in the sections entitled “Information about the Directors — Compensation of Directors” and “Executive Compensation” of our definitive proxy statement and, in accordance with General Instruction G to Form 10-K, is hereby incorporated herein by reference.</w:t>
      </w:r>
    </w:p>
    <w:p>
      <w:pPr>
        <w:spacing w:after="0" w:line="326"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information required by Item 12 of Form 10-K is contained in the section entitled “Beneficial Ownership of Common Stock” of our definitive proxy statement and, in accordance with General Instruction G to Form 10-K, is hereby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201(d) of Regulation S-K concerning our equity compensation plans is set forth in the table below:</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Equity Compensation Plan Information</w:t>
      </w:r>
    </w:p>
    <w:p>
      <w:pPr>
        <w:spacing w:after="0" w:line="2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thousands, except per share data)</w:t>
      </w:r>
    </w:p>
    <w:tbl>
      <w:tblPr>
        <w:tblLayout w:type="fixed"/>
        <w:tblInd w:w="920" w:type="dxa"/>
        <w:tblCellMar>
          <w:top w:w="0" w:type="dxa"/>
          <w:left w:w="0" w:type="dxa"/>
          <w:bottom w:w="0" w:type="dxa"/>
          <w:right w:w="0" w:type="dxa"/>
        </w:tblCellMar>
      </w:tblPr>
      <w:tr>
        <w:trPr>
          <w:trHeight w:val="153"/>
        </w:trPr>
        <w:tc>
          <w:tcPr>
            <w:tcW w:w="8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w w:val="93"/>
              </w:rPr>
              <w:t>Number of securities remaining</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 securities to</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available for 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0"/>
              </w:rPr>
              <w:t>be issued upon exercise</w:t>
            </w:r>
          </w:p>
        </w:tc>
        <w:tc>
          <w:tcPr>
            <w:tcW w:w="300" w:type="dxa"/>
            <w:vAlign w:val="bottom"/>
          </w:tcPr>
          <w:p>
            <w:pPr>
              <w:spacing w:after="0"/>
              <w:rPr>
                <w:sz w:val="12"/>
                <w:szCs w:val="12"/>
                <w:color w:val="auto"/>
              </w:rPr>
            </w:pPr>
          </w:p>
        </w:tc>
        <w:tc>
          <w:tcPr>
            <w:tcW w:w="19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Weighted –average exercise</w:t>
            </w:r>
          </w:p>
        </w:tc>
        <w:tc>
          <w:tcPr>
            <w:tcW w:w="2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equity compensation plans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3"/>
              </w:rPr>
              <w:t>of outstanding options,</w:t>
            </w:r>
          </w:p>
        </w:tc>
        <w:tc>
          <w:tcPr>
            <w:tcW w:w="30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price of outstanding options,</w:t>
            </w: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(excluding securities reflected in</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Plan Category</w:t>
            </w:r>
          </w:p>
        </w:tc>
        <w:tc>
          <w:tcPr>
            <w:tcW w:w="304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warrants and rights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warrants and rights</w:t>
            </w:r>
          </w:p>
        </w:tc>
        <w:tc>
          <w:tcPr>
            <w:tcW w:w="2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column (a))</w:t>
            </w:r>
          </w:p>
        </w:tc>
        <w:tc>
          <w:tcPr>
            <w:tcW w:w="0" w:type="dxa"/>
            <w:vAlign w:val="bottom"/>
          </w:tcPr>
          <w:p>
            <w:pPr>
              <w:spacing w:after="0"/>
              <w:rPr>
                <w:sz w:val="1"/>
                <w:szCs w:val="1"/>
                <w:color w:val="auto"/>
              </w:rPr>
            </w:pPr>
          </w:p>
        </w:tc>
      </w:tr>
      <w:tr>
        <w:trPr>
          <w:trHeight w:val="167"/>
        </w:trPr>
        <w:tc>
          <w:tcPr>
            <w:tcW w:w="840" w:type="dxa"/>
            <w:vAlign w:val="bottom"/>
            <w:tcBorders>
              <w:bottom w:val="single" w:sz="8" w:color="auto"/>
            </w:tcBorders>
            <w:vMerge w:val="continue"/>
          </w:tcPr>
          <w:p>
            <w:pPr>
              <w:spacing w:after="0"/>
              <w:rPr>
                <w:sz w:val="14"/>
                <w:szCs w:val="14"/>
                <w:color w:val="auto"/>
              </w:rPr>
            </w:pPr>
          </w:p>
        </w:tc>
        <w:tc>
          <w:tcPr>
            <w:tcW w:w="304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color w:val="auto"/>
              </w:rPr>
              <w:t>(b)</w:t>
            </w:r>
          </w:p>
        </w:tc>
        <w:tc>
          <w:tcPr>
            <w:tcW w:w="280" w:type="dxa"/>
            <w:vAlign w:val="bottom"/>
            <w:tcBorders>
              <w:bottom w:val="single" w:sz="8" w:color="CCEEFF"/>
            </w:tcBorders>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9"/>
              </w:rPr>
              <w:t>Equity compensation plans approved by security</w:t>
            </w: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12.09</w:t>
            </w:r>
          </w:p>
        </w:tc>
        <w:tc>
          <w:tcPr>
            <w:tcW w:w="21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Information regarding review, approval or ratification of transactions with related persons is contained in a section entitled “Certain Relationships and Related Transactions” of our definitive proxy statement and, in accordance with General Instruction G to Form 10-K, is hereby incorporated herein by reference.</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Information regarding director independence is contained in a section entitled “Information about the Directors” of our definitive proxy statement and, in accordance with General Instruction G to Form 10-K, is hereby incorporated herein by reference.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Information required by this item of Form 10-K concerning our accounting fees and services is contained in the section entitled “Fees Paid to Independent Registered Public Accounting Firm” of our definitive proxy statement and, in accordance with General Instruction G to Form 10-K, is hereby incorporated herein by reference.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80" w:type="dxa"/>
            <w:vAlign w:val="bottom"/>
            <w:gridSpan w:val="4"/>
          </w:tcPr>
          <w:p>
            <w:pPr>
              <w:ind w:left="98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0"/>
                <w:szCs w:val="20"/>
                <w:color w:val="auto"/>
              </w:rPr>
            </w:pPr>
          </w:p>
        </w:tc>
      </w:tr>
      <w:tr>
        <w:trPr>
          <w:trHeight w:val="459"/>
        </w:trPr>
        <w:tc>
          <w:tcPr>
            <w:tcW w:w="2160" w:type="dxa"/>
            <w:vAlign w:val="bottom"/>
          </w:tcPr>
          <w:p>
            <w:pPr>
              <w:ind w:left="920"/>
              <w:spacing w:after="0"/>
              <w:rPr>
                <w:sz w:val="20"/>
                <w:szCs w:val="20"/>
                <w:color w:val="auto"/>
              </w:rPr>
            </w:pPr>
            <w:r>
              <w:rPr>
                <w:rFonts w:ascii="Arial" w:cs="Arial" w:eastAsia="Arial" w:hAnsi="Arial"/>
                <w:sz w:val="18"/>
                <w:szCs w:val="18"/>
                <w:b w:val="1"/>
                <w:bCs w:val="1"/>
                <w:color w:val="auto"/>
              </w:rPr>
              <w:t>Item 15.</w:t>
            </w:r>
          </w:p>
        </w:tc>
        <w:tc>
          <w:tcPr>
            <w:tcW w:w="8860" w:type="dxa"/>
            <w:vAlign w:val="bottom"/>
            <w:gridSpan w:val="7"/>
          </w:tcPr>
          <w:p>
            <w:pPr>
              <w:spacing w:after="0"/>
              <w:rPr>
                <w:sz w:val="20"/>
                <w:szCs w:val="20"/>
                <w:color w:val="auto"/>
              </w:rPr>
            </w:pPr>
            <w:r>
              <w:rPr>
                <w:rFonts w:ascii="Arial" w:cs="Arial" w:eastAsia="Arial" w:hAnsi="Arial"/>
                <w:sz w:val="18"/>
                <w:szCs w:val="18"/>
                <w:b w:val="1"/>
                <w:bCs w:val="1"/>
                <w:color w:val="auto"/>
              </w:rPr>
              <w:t>Exhibits and Financial Statement Schedules</w:t>
            </w:r>
          </w:p>
        </w:tc>
        <w:tc>
          <w:tcPr>
            <w:tcW w:w="300" w:type="dxa"/>
            <w:vAlign w:val="bottom"/>
          </w:tcPr>
          <w:p>
            <w:pPr>
              <w:spacing w:after="0"/>
              <w:rPr>
                <w:sz w:val="24"/>
                <w:szCs w:val="24"/>
                <w:color w:val="auto"/>
              </w:rPr>
            </w:pPr>
          </w:p>
        </w:tc>
      </w:tr>
      <w:tr>
        <w:trPr>
          <w:trHeight w:val="324"/>
        </w:trPr>
        <w:tc>
          <w:tcPr>
            <w:tcW w:w="11020" w:type="dxa"/>
            <w:vAlign w:val="bottom"/>
            <w:gridSpan w:val="8"/>
          </w:tcPr>
          <w:p>
            <w:pPr>
              <w:spacing w:after="0"/>
              <w:rPr>
                <w:sz w:val="20"/>
                <w:szCs w:val="20"/>
                <w:color w:val="auto"/>
              </w:rPr>
            </w:pPr>
            <w:r>
              <w:rPr>
                <w:rFonts w:ascii="Arial" w:cs="Arial" w:eastAsia="Arial" w:hAnsi="Arial"/>
                <w:sz w:val="18"/>
                <w:szCs w:val="18"/>
                <w:color w:val="auto"/>
              </w:rPr>
              <w:t>(a) List of Documents Filed as Part of this Report</w:t>
            </w:r>
          </w:p>
        </w:tc>
        <w:tc>
          <w:tcPr>
            <w:tcW w:w="300" w:type="dxa"/>
            <w:vAlign w:val="bottom"/>
          </w:tcPr>
          <w:p>
            <w:pPr>
              <w:spacing w:after="0"/>
              <w:rPr>
                <w:sz w:val="24"/>
                <w:szCs w:val="24"/>
                <w:color w:val="auto"/>
              </w:rPr>
            </w:pPr>
          </w:p>
        </w:tc>
      </w:tr>
      <w:tr>
        <w:trPr>
          <w:trHeight w:val="324"/>
        </w:trPr>
        <w:tc>
          <w:tcPr>
            <w:tcW w:w="2160" w:type="dxa"/>
            <w:vAlign w:val="bottom"/>
          </w:tcPr>
          <w:p>
            <w:pPr>
              <w:ind w:left="460"/>
              <w:spacing w:after="0"/>
              <w:rPr>
                <w:sz w:val="20"/>
                <w:szCs w:val="20"/>
                <w:color w:val="auto"/>
              </w:rPr>
            </w:pPr>
            <w:r>
              <w:rPr>
                <w:rFonts w:ascii="Arial" w:cs="Arial" w:eastAsia="Arial" w:hAnsi="Arial"/>
                <w:sz w:val="18"/>
                <w:szCs w:val="18"/>
                <w:color w:val="auto"/>
                <w:w w:val="89"/>
              </w:rPr>
              <w:t>1. Financial Statements</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11020" w:type="dxa"/>
            <w:vAlign w:val="bottom"/>
            <w:gridSpan w:val="8"/>
          </w:tcPr>
          <w:p>
            <w:pPr>
              <w:ind w:left="460"/>
              <w:spacing w:after="0"/>
              <w:rPr>
                <w:sz w:val="20"/>
                <w:szCs w:val="20"/>
                <w:color w:val="auto"/>
              </w:rPr>
            </w:pPr>
            <w:r>
              <w:rPr>
                <w:rFonts w:ascii="Arial" w:cs="Arial" w:eastAsia="Arial" w:hAnsi="Arial"/>
                <w:sz w:val="18"/>
                <w:szCs w:val="18"/>
                <w:color w:val="auto"/>
              </w:rPr>
              <w:t>The financial statements of NN, Inc. filed as part of this Annual Report on Form 10-K begin on the following pages hereof:</w:t>
            </w:r>
          </w:p>
        </w:tc>
        <w:tc>
          <w:tcPr>
            <w:tcW w:w="300" w:type="dxa"/>
            <w:vAlign w:val="bottom"/>
          </w:tcPr>
          <w:p>
            <w:pPr>
              <w:spacing w:after="0"/>
              <w:rPr>
                <w:sz w:val="24"/>
                <w:szCs w:val="24"/>
                <w:color w:val="auto"/>
              </w:rPr>
            </w:pPr>
          </w:p>
        </w:tc>
      </w:tr>
      <w:tr>
        <w:trPr>
          <w:trHeight w:val="392"/>
        </w:trPr>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102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at December 31, 2015 and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Operations and Comprehensive Income (Loss) for the years ended December 31, 2015, 2014, and 2013</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85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Consolidated Statements of Changes in Stockholders’ Equity for the years ended December 31, 2015, 2014, and 2013</w:t>
              </w:r>
            </w:hyperlink>
          </w:p>
        </w:tc>
        <w:tc>
          <w:tcPr>
            <w:tcW w:w="98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102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Cash Flows for the years ended December 31, 2015, 2014, and 2013</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31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3"/>
          </w:tcPr>
          <w:p>
            <w:pPr>
              <w:spacing w:after="0"/>
              <w:rPr>
                <w:sz w:val="24"/>
                <w:szCs w:val="24"/>
                <w:color w:val="auto"/>
              </w:rPr>
            </w:pPr>
          </w:p>
        </w:tc>
        <w:tc>
          <w:tcPr>
            <w:tcW w:w="406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45"/>
        </w:trPr>
        <w:tc>
          <w:tcPr>
            <w:tcW w:w="11020" w:type="dxa"/>
            <w:vAlign w:val="bottom"/>
            <w:gridSpan w:val="8"/>
          </w:tcPr>
          <w:p>
            <w:pPr>
              <w:ind w:left="460"/>
              <w:spacing w:after="0"/>
              <w:rPr>
                <w:sz w:val="20"/>
                <w:szCs w:val="20"/>
                <w:color w:val="auto"/>
              </w:rPr>
            </w:pPr>
            <w:r>
              <w:rPr>
                <w:rFonts w:ascii="Arial" w:cs="Arial" w:eastAsia="Arial" w:hAnsi="Arial"/>
                <w:sz w:val="18"/>
                <w:szCs w:val="18"/>
                <w:color w:val="auto"/>
              </w:rPr>
              <w:t>2. Financial Statement Schedules</w:t>
            </w:r>
          </w:p>
        </w:tc>
        <w:tc>
          <w:tcPr>
            <w:tcW w:w="300" w:type="dxa"/>
            <w:vAlign w:val="bottom"/>
          </w:tcPr>
          <w:p>
            <w:pPr>
              <w:spacing w:after="0"/>
              <w:rPr>
                <w:sz w:val="24"/>
                <w:szCs w:val="24"/>
                <w:color w:val="auto"/>
              </w:rPr>
            </w:pPr>
          </w:p>
        </w:tc>
      </w:tr>
      <w:tr>
        <w:trPr>
          <w:trHeight w:val="324"/>
        </w:trPr>
        <w:tc>
          <w:tcPr>
            <w:tcW w:w="11020" w:type="dxa"/>
            <w:vAlign w:val="bottom"/>
            <w:gridSpan w:val="8"/>
          </w:tcPr>
          <w:p>
            <w:pPr>
              <w:ind w:left="460"/>
              <w:spacing w:after="0"/>
              <w:rPr>
                <w:sz w:val="20"/>
                <w:szCs w:val="20"/>
                <w:color w:val="auto"/>
              </w:rPr>
            </w:pPr>
            <w:r>
              <w:rPr>
                <w:rFonts w:ascii="Arial" w:cs="Arial" w:eastAsia="Arial" w:hAnsi="Arial"/>
                <w:sz w:val="18"/>
                <w:szCs w:val="18"/>
                <w:color w:val="auto"/>
              </w:rPr>
              <w:t>The required information is reflected in the Notes to Consolidated Financial Statements within Item 8.</w:t>
            </w:r>
          </w:p>
        </w:tc>
        <w:tc>
          <w:tcPr>
            <w:tcW w:w="300" w:type="dxa"/>
            <w:vAlign w:val="bottom"/>
          </w:tcPr>
          <w:p>
            <w:pPr>
              <w:spacing w:after="0"/>
              <w:rPr>
                <w:sz w:val="24"/>
                <w:szCs w:val="24"/>
                <w:color w:val="auto"/>
              </w:rPr>
            </w:pPr>
          </w:p>
        </w:tc>
      </w:tr>
      <w:tr>
        <w:trPr>
          <w:trHeight w:val="324"/>
        </w:trPr>
        <w:tc>
          <w:tcPr>
            <w:tcW w:w="11020" w:type="dxa"/>
            <w:vAlign w:val="bottom"/>
            <w:gridSpan w:val="8"/>
          </w:tcPr>
          <w:p>
            <w:pPr>
              <w:ind w:left="460"/>
              <w:spacing w:after="0"/>
              <w:rPr>
                <w:sz w:val="20"/>
                <w:szCs w:val="20"/>
                <w:color w:val="auto"/>
              </w:rPr>
            </w:pPr>
            <w:r>
              <w:rPr>
                <w:rFonts w:ascii="Arial" w:cs="Arial" w:eastAsia="Arial" w:hAnsi="Arial"/>
                <w:sz w:val="18"/>
                <w:szCs w:val="18"/>
                <w:color w:val="auto"/>
              </w:rPr>
              <w:t>3. See Index to Exhibits (attached hereto)</w:t>
            </w:r>
          </w:p>
        </w:tc>
        <w:tc>
          <w:tcPr>
            <w:tcW w:w="300" w:type="dxa"/>
            <w:vAlign w:val="bottom"/>
          </w:tcPr>
          <w:p>
            <w:pPr>
              <w:spacing w:after="0"/>
              <w:rPr>
                <w:sz w:val="24"/>
                <w:szCs w:val="24"/>
                <w:color w:val="auto"/>
              </w:rPr>
            </w:pPr>
          </w:p>
        </w:tc>
      </w:tr>
      <w:tr>
        <w:trPr>
          <w:trHeight w:val="432"/>
        </w:trPr>
        <w:tc>
          <w:tcPr>
            <w:tcW w:w="11020" w:type="dxa"/>
            <w:vAlign w:val="bottom"/>
            <w:gridSpan w:val="8"/>
          </w:tcPr>
          <w:p>
            <w:pPr>
              <w:spacing w:after="0"/>
              <w:rPr>
                <w:sz w:val="20"/>
                <w:szCs w:val="20"/>
                <w:color w:val="auto"/>
              </w:rPr>
            </w:pPr>
            <w:r>
              <w:rPr>
                <w:rFonts w:ascii="Arial" w:cs="Arial" w:eastAsia="Arial" w:hAnsi="Arial"/>
                <w:sz w:val="18"/>
                <w:szCs w:val="18"/>
                <w:color w:val="auto"/>
              </w:rPr>
              <w:t>(b) Exhibits: See Index to Exhibits (attached hereto).</w:t>
            </w:r>
          </w:p>
        </w:tc>
        <w:tc>
          <w:tcPr>
            <w:tcW w:w="300" w:type="dxa"/>
            <w:vAlign w:val="bottom"/>
          </w:tcPr>
          <w:p>
            <w:pPr>
              <w:spacing w:after="0"/>
              <w:rPr>
                <w:sz w:val="24"/>
                <w:szCs w:val="24"/>
                <w:color w:val="auto"/>
              </w:rPr>
            </w:pPr>
          </w:p>
        </w:tc>
      </w:tr>
    </w:tbl>
    <w:p>
      <w:pPr>
        <w:spacing w:after="0" w:line="94" w:lineRule="exact"/>
        <w:rPr>
          <w:sz w:val="20"/>
          <w:szCs w:val="20"/>
          <w:color w:val="auto"/>
        </w:rPr>
      </w:pPr>
    </w:p>
    <w:p>
      <w:pPr>
        <w:ind w:left="1500" w:right="120"/>
        <w:spacing w:after="0" w:line="277" w:lineRule="auto"/>
        <w:rPr>
          <w:sz w:val="20"/>
          <w:szCs w:val="20"/>
          <w:color w:val="auto"/>
        </w:rPr>
      </w:pPr>
      <w:r>
        <w:rPr>
          <w:rFonts w:ascii="Arial" w:cs="Arial" w:eastAsia="Arial" w:hAnsi="Arial"/>
          <w:sz w:val="18"/>
          <w:szCs w:val="18"/>
          <w:color w:val="auto"/>
        </w:rPr>
        <w:t>NN, Inc. will provide without charge to any person, upon the written request of such person, a copy of any of the Exhibits to this Form 10-K.</w:t>
      </w:r>
    </w:p>
    <w:p>
      <w:pPr>
        <w:spacing w:after="0" w:line="170" w:lineRule="exact"/>
        <w:rPr>
          <w:sz w:val="20"/>
          <w:szCs w:val="20"/>
          <w:color w:val="auto"/>
        </w:rPr>
      </w:pPr>
    </w:p>
    <w:p>
      <w:pPr>
        <w:ind w:left="5620" w:right="4940" w:hanging="581"/>
        <w:spacing w:after="0" w:line="490" w:lineRule="auto"/>
        <w:tabs>
          <w:tab w:leader="none" w:pos="52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 Applicable 78</w:t>
      </w:r>
    </w:p>
    <w:p>
      <w:pPr>
        <w:sectPr>
          <w:pgSz w:w="11900" w:h="16838" w:orient="portrait"/>
          <w:cols w:equalWidth="0" w:num="1">
            <w:col w:w="11320"/>
          </w:cols>
          <w:pgMar w:left="24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ICHARD</w:t>
      </w:r>
      <w:r>
        <w:rPr>
          <w:rFonts w:ascii="Arial" w:cs="Arial" w:eastAsia="Arial" w:hAnsi="Arial"/>
          <w:sz w:val="18"/>
          <w:szCs w:val="18"/>
          <w:color w:val="auto"/>
        </w:rPr>
        <w:t xml:space="preserve"> D. H</w:t>
      </w:r>
      <w:r>
        <w:rPr>
          <w:rFonts w:ascii="Arial" w:cs="Arial" w:eastAsia="Arial" w:hAnsi="Arial"/>
          <w:sz w:val="15"/>
          <w:szCs w:val="15"/>
          <w:color w:val="auto"/>
        </w:rPr>
        <w:t>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Executive Officer, President and Director</w:t>
      </w:r>
    </w:p>
    <w:p>
      <w:pPr>
        <w:spacing w:after="0" w:line="21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Dated: March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14605</wp:posOffset>
            </wp:positionV>
            <wp:extent cx="22898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Name and Signature</w:t>
            </w:r>
          </w:p>
        </w:tc>
        <w:tc>
          <w:tcPr>
            <w:tcW w:w="1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720" w:type="dxa"/>
            <w:vAlign w:val="bottom"/>
          </w:tcPr>
          <w:p>
            <w:pPr>
              <w:spacing w:after="0"/>
              <w:rPr>
                <w:sz w:val="16"/>
                <w:szCs w:val="16"/>
                <w:color w:val="auto"/>
              </w:rPr>
            </w:pPr>
          </w:p>
        </w:tc>
      </w:tr>
      <w:tr>
        <w:trPr>
          <w:trHeight w:val="412"/>
        </w:trPr>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4"/>
          </w:tcPr>
          <w:p>
            <w:pPr>
              <w:jc w:val="center"/>
              <w:ind w:right="1240"/>
              <w:spacing w:after="0"/>
              <w:rPr>
                <w:sz w:val="20"/>
                <w:szCs w:val="20"/>
                <w:color w:val="auto"/>
              </w:rPr>
            </w:pPr>
            <w:r>
              <w:rPr>
                <w:rFonts w:ascii="Arial" w:cs="Arial" w:eastAsia="Arial" w:hAnsi="Arial"/>
                <w:sz w:val="18"/>
                <w:szCs w:val="18"/>
                <w:color w:val="auto"/>
                <w:w w:val="96"/>
              </w:rPr>
              <w:t>R</w:t>
            </w:r>
            <w:r>
              <w:rPr>
                <w:rFonts w:ascii="Arial" w:cs="Arial" w:eastAsia="Arial" w:hAnsi="Arial"/>
                <w:sz w:val="15"/>
                <w:szCs w:val="15"/>
                <w:color w:val="auto"/>
                <w:w w:val="96"/>
              </w:rPr>
              <w:t>ICHARD</w:t>
            </w:r>
            <w:r>
              <w:rPr>
                <w:rFonts w:ascii="Arial" w:cs="Arial" w:eastAsia="Arial" w:hAnsi="Arial"/>
                <w:sz w:val="18"/>
                <w:szCs w:val="18"/>
                <w:color w:val="auto"/>
                <w:w w:val="96"/>
              </w:rPr>
              <w:t xml:space="preserve"> D. H</w:t>
            </w:r>
            <w:r>
              <w:rPr>
                <w:rFonts w:ascii="Arial" w:cs="Arial" w:eastAsia="Arial" w:hAnsi="Arial"/>
                <w:sz w:val="15"/>
                <w:szCs w:val="15"/>
                <w:color w:val="auto"/>
                <w:w w:val="96"/>
              </w:rPr>
              <w:t>OLDER</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President and 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15, 2016</w:t>
            </w:r>
          </w:p>
        </w:tc>
      </w:tr>
      <w:tr>
        <w:trPr>
          <w:trHeight w:val="224"/>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3"/>
          </w:tcPr>
          <w:p>
            <w:pPr>
              <w:jc w:val="center"/>
              <w:ind w:right="1420"/>
              <w:spacing w:after="0"/>
              <w:rPr>
                <w:sz w:val="20"/>
                <w:szCs w:val="20"/>
                <w:color w:val="auto"/>
              </w:rPr>
            </w:pPr>
            <w:r>
              <w:rPr>
                <w:rFonts w:ascii="Arial" w:cs="Arial" w:eastAsia="Arial" w:hAnsi="Arial"/>
                <w:sz w:val="18"/>
                <w:szCs w:val="18"/>
                <w:color w:val="auto"/>
                <w:w w:val="92"/>
              </w:rPr>
              <w:t>Richard D. Holder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79"/>
              </w:rPr>
              <w:t>/</w:t>
            </w:r>
            <w:r>
              <w:rPr>
                <w:rFonts w:ascii="Arial" w:cs="Arial" w:eastAsia="Arial" w:hAnsi="Arial"/>
                <w:sz w:val="15"/>
                <w:szCs w:val="15"/>
                <w:color w:val="auto"/>
                <w:w w:val="79"/>
              </w:rPr>
              <w:t>S</w:t>
            </w: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4"/>
              </w:rPr>
              <w:t>J</w:t>
            </w:r>
            <w:r>
              <w:rPr>
                <w:rFonts w:ascii="Arial" w:cs="Arial" w:eastAsia="Arial" w:hAnsi="Arial"/>
                <w:sz w:val="15"/>
                <w:szCs w:val="15"/>
                <w:color w:val="auto"/>
                <w:w w:val="94"/>
              </w:rPr>
              <w:t>AMES</w:t>
            </w:r>
            <w:r>
              <w:rPr>
                <w:rFonts w:ascii="Arial" w:cs="Arial" w:eastAsia="Arial" w:hAnsi="Arial"/>
                <w:sz w:val="18"/>
                <w:szCs w:val="18"/>
                <w:color w:val="auto"/>
                <w:w w:val="94"/>
              </w:rPr>
              <w:t xml:space="preserve"> H. D</w:t>
            </w:r>
            <w:r>
              <w:rPr>
                <w:rFonts w:ascii="Arial" w:cs="Arial" w:eastAsia="Arial" w:hAnsi="Arial"/>
                <w:sz w:val="15"/>
                <w:szCs w:val="15"/>
                <w:color w:val="auto"/>
                <w:w w:val="94"/>
              </w:rPr>
              <w:t>ORTON</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Senior Vice President- Chief Financial Officer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15, 2016</w:t>
            </w:r>
          </w:p>
        </w:tc>
      </w:tr>
      <w:tr>
        <w:trPr>
          <w:trHeight w:val="224"/>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2"/>
          </w:tcPr>
          <w:p>
            <w:pPr>
              <w:jc w:val="center"/>
              <w:ind w:right="1500"/>
              <w:spacing w:after="0"/>
              <w:rPr>
                <w:sz w:val="20"/>
                <w:szCs w:val="20"/>
                <w:color w:val="auto"/>
              </w:rPr>
            </w:pPr>
            <w:r>
              <w:rPr>
                <w:rFonts w:ascii="Arial" w:cs="Arial" w:eastAsia="Arial" w:hAnsi="Arial"/>
                <w:sz w:val="18"/>
                <w:szCs w:val="18"/>
                <w:color w:val="auto"/>
                <w:w w:val="88"/>
              </w:rPr>
              <w:t>James H. Dorton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T</w:t>
            </w:r>
            <w:r>
              <w:rPr>
                <w:rFonts w:ascii="Arial" w:cs="Arial" w:eastAsia="Arial" w:hAnsi="Arial"/>
                <w:sz w:val="15"/>
                <w:szCs w:val="15"/>
                <w:color w:val="auto"/>
              </w:rPr>
              <w:t>HOMAS</w:t>
            </w:r>
            <w:r>
              <w:rPr>
                <w:rFonts w:ascii="Arial" w:cs="Arial" w:eastAsia="Arial" w:hAnsi="Arial"/>
                <w:sz w:val="18"/>
                <w:szCs w:val="18"/>
                <w:color w:val="auto"/>
              </w:rPr>
              <w:t xml:space="preserve"> C. B</w:t>
            </w:r>
            <w:r>
              <w:rPr>
                <w:rFonts w:ascii="Arial" w:cs="Arial" w:eastAsia="Arial" w:hAnsi="Arial"/>
                <w:sz w:val="15"/>
                <w:szCs w:val="15"/>
                <w:color w:val="auto"/>
              </w:rPr>
              <w:t>URWELL</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Vice President-Chief Accounting Officer and Corporate Controller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15, 2016</w:t>
            </w:r>
          </w:p>
        </w:tc>
      </w:tr>
      <w:tr>
        <w:trPr>
          <w:trHeight w:val="224"/>
        </w:trPr>
        <w:tc>
          <w:tcPr>
            <w:tcW w:w="1300" w:type="dxa"/>
            <w:vAlign w:val="bottom"/>
          </w:tcPr>
          <w:p>
            <w:pPr>
              <w:spacing w:after="0"/>
              <w:rPr>
                <w:sz w:val="19"/>
                <w:szCs w:val="19"/>
                <w:color w:val="auto"/>
              </w:rPr>
            </w:pPr>
          </w:p>
        </w:tc>
        <w:tc>
          <w:tcPr>
            <w:tcW w:w="2980" w:type="dxa"/>
            <w:vAlign w:val="bottom"/>
            <w:gridSpan w:val="4"/>
          </w:tcPr>
          <w:p>
            <w:pPr>
              <w:jc w:val="center"/>
              <w:ind w:right="1300"/>
              <w:spacing w:after="0"/>
              <w:rPr>
                <w:sz w:val="20"/>
                <w:szCs w:val="20"/>
                <w:color w:val="auto"/>
              </w:rPr>
            </w:pPr>
            <w:r>
              <w:rPr>
                <w:rFonts w:ascii="Arial" w:cs="Arial" w:eastAsia="Arial" w:hAnsi="Arial"/>
                <w:sz w:val="18"/>
                <w:szCs w:val="18"/>
                <w:color w:val="auto"/>
                <w:w w:val="92"/>
              </w:rPr>
              <w:t>Thomas C. Burwell, Jr.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6"/>
              </w:rPr>
              <w:t>G. R</w:t>
            </w:r>
            <w:r>
              <w:rPr>
                <w:rFonts w:ascii="Arial" w:cs="Arial" w:eastAsia="Arial" w:hAnsi="Arial"/>
                <w:sz w:val="15"/>
                <w:szCs w:val="15"/>
                <w:color w:val="auto"/>
                <w:w w:val="96"/>
              </w:rPr>
              <w:t>ONALD</w:t>
            </w:r>
            <w:r>
              <w:rPr>
                <w:rFonts w:ascii="Arial" w:cs="Arial" w:eastAsia="Arial" w:hAnsi="Arial"/>
                <w:sz w:val="18"/>
                <w:szCs w:val="18"/>
                <w:color w:val="auto"/>
                <w:w w:val="96"/>
              </w:rPr>
              <w:t xml:space="preserve"> M</w:t>
            </w:r>
            <w:r>
              <w:rPr>
                <w:rFonts w:ascii="Arial" w:cs="Arial" w:eastAsia="Arial" w:hAnsi="Arial"/>
                <w:sz w:val="15"/>
                <w:szCs w:val="15"/>
                <w:color w:val="auto"/>
                <w:w w:val="96"/>
              </w:rPr>
              <w:t>ORRIS</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Non-Executive Chairman, 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15, 2016</w:t>
            </w:r>
          </w:p>
        </w:tc>
      </w:tr>
      <w:tr>
        <w:trPr>
          <w:trHeight w:val="224"/>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3"/>
          </w:tcPr>
          <w:p>
            <w:pPr>
              <w:jc w:val="center"/>
              <w:ind w:right="1420"/>
              <w:spacing w:after="0"/>
              <w:rPr>
                <w:sz w:val="20"/>
                <w:szCs w:val="20"/>
                <w:color w:val="auto"/>
              </w:rPr>
            </w:pPr>
            <w:r>
              <w:rPr>
                <w:rFonts w:ascii="Arial" w:cs="Arial" w:eastAsia="Arial" w:hAnsi="Arial"/>
                <w:sz w:val="18"/>
                <w:szCs w:val="18"/>
                <w:color w:val="auto"/>
                <w:w w:val="94"/>
              </w:rPr>
              <w:t>G. Ronald Morris</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4"/>
          </w:tcPr>
          <w:p>
            <w:pPr>
              <w:jc w:val="center"/>
              <w:ind w:right="1240"/>
              <w:spacing w:after="0"/>
              <w:rPr>
                <w:sz w:val="20"/>
                <w:szCs w:val="20"/>
                <w:color w:val="auto"/>
              </w:rPr>
            </w:pPr>
            <w:r>
              <w:rPr>
                <w:rFonts w:ascii="Arial" w:cs="Arial" w:eastAsia="Arial" w:hAnsi="Arial"/>
                <w:sz w:val="18"/>
                <w:szCs w:val="18"/>
                <w:color w:val="auto"/>
                <w:w w:val="94"/>
              </w:rPr>
              <w:t>R</w:t>
            </w:r>
            <w:r>
              <w:rPr>
                <w:rFonts w:ascii="Arial" w:cs="Arial" w:eastAsia="Arial" w:hAnsi="Arial"/>
                <w:sz w:val="15"/>
                <w:szCs w:val="15"/>
                <w:color w:val="auto"/>
                <w:w w:val="94"/>
              </w:rPr>
              <w:t>OBERT</w:t>
            </w:r>
            <w:r>
              <w:rPr>
                <w:rFonts w:ascii="Arial" w:cs="Arial" w:eastAsia="Arial" w:hAnsi="Arial"/>
                <w:sz w:val="18"/>
                <w:szCs w:val="18"/>
                <w:color w:val="auto"/>
                <w:w w:val="94"/>
              </w:rPr>
              <w:t xml:space="preserve"> E. B</w:t>
            </w:r>
            <w:r>
              <w:rPr>
                <w:rFonts w:ascii="Arial" w:cs="Arial" w:eastAsia="Arial" w:hAnsi="Arial"/>
                <w:sz w:val="15"/>
                <w:szCs w:val="15"/>
                <w:color w:val="auto"/>
                <w:w w:val="94"/>
              </w:rPr>
              <w:t>RUNNER</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15, 2016</w:t>
            </w:r>
          </w:p>
        </w:tc>
      </w:tr>
      <w:tr>
        <w:trPr>
          <w:trHeight w:val="224"/>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3"/>
          </w:tcPr>
          <w:p>
            <w:pPr>
              <w:jc w:val="center"/>
              <w:ind w:right="1420"/>
              <w:spacing w:after="0"/>
              <w:rPr>
                <w:sz w:val="20"/>
                <w:szCs w:val="20"/>
                <w:color w:val="auto"/>
              </w:rPr>
            </w:pPr>
            <w:r>
              <w:rPr>
                <w:rFonts w:ascii="Arial" w:cs="Arial" w:eastAsia="Arial" w:hAnsi="Arial"/>
                <w:sz w:val="18"/>
                <w:szCs w:val="18"/>
                <w:color w:val="auto"/>
                <w:w w:val="90"/>
              </w:rPr>
              <w:t>Robert E. Brunner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42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w w:val="89"/>
              </w:rPr>
              <w:t>/</w:t>
            </w:r>
            <w:r>
              <w:rPr>
                <w:rFonts w:ascii="Arial" w:cs="Arial" w:eastAsia="Arial" w:hAnsi="Arial"/>
                <w:sz w:val="15"/>
                <w:szCs w:val="15"/>
                <w:color w:val="auto"/>
                <w:w w:val="89"/>
              </w:rPr>
              <w:t>S</w:t>
            </w:r>
            <w:r>
              <w:rPr>
                <w:rFonts w:ascii="Arial" w:cs="Arial" w:eastAsia="Arial" w:hAnsi="Arial"/>
                <w:sz w:val="18"/>
                <w:szCs w:val="18"/>
                <w:color w:val="auto"/>
                <w:w w:val="89"/>
              </w:rPr>
              <w:t>/</w:t>
            </w: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center"/>
              <w:ind w:right="144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ILLIAM</w:t>
            </w:r>
            <w:r>
              <w:rPr>
                <w:rFonts w:ascii="Arial" w:cs="Arial" w:eastAsia="Arial" w:hAnsi="Arial"/>
                <w:sz w:val="18"/>
                <w:szCs w:val="18"/>
                <w:color w:val="auto"/>
              </w:rPr>
              <w:t xml:space="preserve"> D</w:t>
            </w:r>
            <w:r>
              <w:rPr>
                <w:rFonts w:ascii="Arial" w:cs="Arial" w:eastAsia="Arial" w:hAnsi="Arial"/>
                <w:sz w:val="15"/>
                <w:szCs w:val="15"/>
                <w:color w:val="auto"/>
              </w:rPr>
              <w:t>RIES</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15, 2016</w:t>
            </w:r>
          </w:p>
        </w:tc>
      </w:tr>
      <w:tr>
        <w:trPr>
          <w:trHeight w:val="224"/>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2"/>
          </w:tcPr>
          <w:p>
            <w:pPr>
              <w:jc w:val="center"/>
              <w:ind w:right="1480"/>
              <w:spacing w:after="0"/>
              <w:rPr>
                <w:sz w:val="20"/>
                <w:szCs w:val="20"/>
                <w:color w:val="auto"/>
              </w:rPr>
            </w:pPr>
            <w:r>
              <w:rPr>
                <w:rFonts w:ascii="Arial" w:cs="Arial" w:eastAsia="Arial" w:hAnsi="Arial"/>
                <w:sz w:val="18"/>
                <w:szCs w:val="18"/>
                <w:color w:val="auto"/>
                <w:w w:val="97"/>
              </w:rPr>
              <w:t>William Dries</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420" w:type="dxa"/>
            <w:vAlign w:val="bottom"/>
            <w:tcBorders>
              <w:bottom w:val="single" w:sz="8" w:color="auto"/>
            </w:tcBorders>
            <w:gridSpan w:val="2"/>
          </w:tcPr>
          <w:p>
            <w:pPr>
              <w:ind w:left="1240"/>
              <w:spacing w:after="0"/>
              <w:rPr>
                <w:sz w:val="20"/>
                <w:szCs w:val="20"/>
                <w:color w:val="auto"/>
              </w:rPr>
            </w:pPr>
            <w:r>
              <w:rPr>
                <w:rFonts w:ascii="Arial" w:cs="Arial" w:eastAsia="Arial" w:hAnsi="Arial"/>
                <w:sz w:val="18"/>
                <w:szCs w:val="18"/>
                <w:color w:val="auto"/>
                <w:w w:val="79"/>
              </w:rPr>
              <w:t>/</w:t>
            </w:r>
            <w:r>
              <w:rPr>
                <w:rFonts w:ascii="Arial" w:cs="Arial" w:eastAsia="Arial" w:hAnsi="Arial"/>
                <w:sz w:val="15"/>
                <w:szCs w:val="15"/>
                <w:color w:val="auto"/>
                <w:w w:val="79"/>
              </w:rPr>
              <w:t>S</w:t>
            </w: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center"/>
              <w:ind w:right="1420"/>
              <w:spacing w:after="0"/>
              <w:rPr>
                <w:sz w:val="20"/>
                <w:szCs w:val="20"/>
                <w:color w:val="auto"/>
              </w:rPr>
            </w:pPr>
            <w:r>
              <w:rPr>
                <w:rFonts w:ascii="Arial" w:cs="Arial" w:eastAsia="Arial" w:hAnsi="Arial"/>
                <w:sz w:val="18"/>
                <w:szCs w:val="18"/>
                <w:color w:val="auto"/>
                <w:w w:val="97"/>
              </w:rPr>
              <w:t>D</w:t>
            </w:r>
            <w:r>
              <w:rPr>
                <w:rFonts w:ascii="Arial" w:cs="Arial" w:eastAsia="Arial" w:hAnsi="Arial"/>
                <w:sz w:val="15"/>
                <w:szCs w:val="15"/>
                <w:color w:val="auto"/>
                <w:w w:val="97"/>
              </w:rPr>
              <w:t>AVID</w:t>
            </w:r>
            <w:r>
              <w:rPr>
                <w:rFonts w:ascii="Arial" w:cs="Arial" w:eastAsia="Arial" w:hAnsi="Arial"/>
                <w:sz w:val="18"/>
                <w:szCs w:val="18"/>
                <w:color w:val="auto"/>
                <w:w w:val="97"/>
              </w:rPr>
              <w:t xml:space="preserve"> L. P</w:t>
            </w:r>
            <w:r>
              <w:rPr>
                <w:rFonts w:ascii="Arial" w:cs="Arial" w:eastAsia="Arial" w:hAnsi="Arial"/>
                <w:sz w:val="15"/>
                <w:szCs w:val="15"/>
                <w:color w:val="auto"/>
                <w:w w:val="97"/>
              </w:rPr>
              <w:t>UGH</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15, 2016</w:t>
            </w:r>
          </w:p>
        </w:tc>
      </w:tr>
      <w:tr>
        <w:trPr>
          <w:trHeight w:val="224"/>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2"/>
          </w:tcPr>
          <w:p>
            <w:pPr>
              <w:jc w:val="center"/>
              <w:ind w:right="1500"/>
              <w:spacing w:after="0"/>
              <w:rPr>
                <w:sz w:val="20"/>
                <w:szCs w:val="20"/>
                <w:color w:val="auto"/>
              </w:rPr>
            </w:pPr>
            <w:r>
              <w:rPr>
                <w:rFonts w:ascii="Arial" w:cs="Arial" w:eastAsia="Arial" w:hAnsi="Arial"/>
                <w:sz w:val="18"/>
                <w:szCs w:val="18"/>
                <w:color w:val="auto"/>
                <w:w w:val="91"/>
              </w:rPr>
              <w:t>David L. Pugh</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980" w:type="dxa"/>
            <w:vAlign w:val="bottom"/>
            <w:tcBorders>
              <w:bottom w:val="single" w:sz="8" w:color="auto"/>
            </w:tcBorders>
            <w:gridSpan w:val="4"/>
          </w:tcPr>
          <w:p>
            <w:pPr>
              <w:jc w:val="center"/>
              <w:ind w:right="1240"/>
              <w:spacing w:after="0"/>
              <w:rPr>
                <w:sz w:val="20"/>
                <w:szCs w:val="20"/>
                <w:color w:val="auto"/>
              </w:rPr>
            </w:pPr>
            <w:r>
              <w:rPr>
                <w:rFonts w:ascii="Arial" w:cs="Arial" w:eastAsia="Arial" w:hAnsi="Arial"/>
                <w:sz w:val="18"/>
                <w:szCs w:val="18"/>
                <w:color w:val="auto"/>
                <w:w w:val="94"/>
              </w:rPr>
              <w:t>S</w:t>
            </w:r>
            <w:r>
              <w:rPr>
                <w:rFonts w:ascii="Arial" w:cs="Arial" w:eastAsia="Arial" w:hAnsi="Arial"/>
                <w:sz w:val="15"/>
                <w:szCs w:val="15"/>
                <w:color w:val="auto"/>
                <w:w w:val="94"/>
              </w:rPr>
              <w:t>TEVEN</w:t>
            </w:r>
            <w:r>
              <w:rPr>
                <w:rFonts w:ascii="Arial" w:cs="Arial" w:eastAsia="Arial" w:hAnsi="Arial"/>
                <w:sz w:val="18"/>
                <w:szCs w:val="18"/>
                <w:color w:val="auto"/>
                <w:w w:val="94"/>
              </w:rPr>
              <w:t xml:space="preserve"> T. W</w:t>
            </w:r>
            <w:r>
              <w:rPr>
                <w:rFonts w:ascii="Arial" w:cs="Arial" w:eastAsia="Arial" w:hAnsi="Arial"/>
                <w:sz w:val="15"/>
                <w:szCs w:val="15"/>
                <w:color w:val="auto"/>
                <w:w w:val="94"/>
              </w:rPr>
              <w:t>ARSHAW</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15, 2016</w:t>
            </w:r>
          </w:p>
        </w:tc>
      </w:tr>
      <w:tr>
        <w:trPr>
          <w:trHeight w:val="224"/>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3"/>
          </w:tcPr>
          <w:p>
            <w:pPr>
              <w:jc w:val="center"/>
              <w:ind w:right="1420"/>
              <w:spacing w:after="0"/>
              <w:rPr>
                <w:sz w:val="20"/>
                <w:szCs w:val="20"/>
                <w:color w:val="auto"/>
              </w:rPr>
            </w:pPr>
            <w:r>
              <w:rPr>
                <w:rFonts w:ascii="Arial" w:cs="Arial" w:eastAsia="Arial" w:hAnsi="Arial"/>
                <w:sz w:val="18"/>
                <w:szCs w:val="18"/>
                <w:color w:val="auto"/>
                <w:w w:val="89"/>
              </w:rPr>
              <w:t>Steven T. Warshaw</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1"/>
        </w:trPr>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9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ICHAEL</w:t>
            </w:r>
            <w:r>
              <w:rPr>
                <w:rFonts w:ascii="Arial" w:cs="Arial" w:eastAsia="Arial" w:hAnsi="Arial"/>
                <w:sz w:val="18"/>
                <w:szCs w:val="18"/>
                <w:color w:val="auto"/>
              </w:rPr>
              <w:t xml:space="preserve"> E. W</w:t>
            </w:r>
            <w:r>
              <w:rPr>
                <w:rFonts w:ascii="Arial" w:cs="Arial" w:eastAsia="Arial" w:hAnsi="Arial"/>
                <w:sz w:val="15"/>
                <w:szCs w:val="15"/>
                <w:color w:val="auto"/>
              </w:rPr>
              <w:t>ERNER</w:t>
            </w: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March 15, 2016</w:t>
            </w:r>
          </w:p>
        </w:tc>
      </w:tr>
      <w:tr>
        <w:trPr>
          <w:trHeight w:val="224"/>
        </w:trPr>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3"/>
          </w:tcPr>
          <w:p>
            <w:pPr>
              <w:jc w:val="center"/>
              <w:ind w:right="1420"/>
              <w:spacing w:after="0"/>
              <w:rPr>
                <w:sz w:val="20"/>
                <w:szCs w:val="20"/>
                <w:color w:val="auto"/>
              </w:rPr>
            </w:pPr>
            <w:r>
              <w:rPr>
                <w:rFonts w:ascii="Arial" w:cs="Arial" w:eastAsia="Arial" w:hAnsi="Arial"/>
                <w:sz w:val="18"/>
                <w:szCs w:val="18"/>
                <w:color w:val="auto"/>
                <w:w w:val="91"/>
              </w:rPr>
              <w:t>Michael E. Werner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64"/>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00" w:type="dxa"/>
            <w:vAlign w:val="bottom"/>
          </w:tcPr>
          <w:p>
            <w:pPr>
              <w:ind w:left="1340"/>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p>
      <w:pPr>
        <w:ind w:left="940" w:right="20" w:hanging="751"/>
        <w:spacing w:after="0" w:line="264" w:lineRule="auto"/>
        <w:tabs>
          <w:tab w:leader="none" w:pos="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July 18, 2014, by and among NN, Inc., PMC Global Acquisition Corporation, Autocam Corporation, Newport Global Advisors, L.P., and John C. Kennedy (incorporated by reference to Exhibit 2.1 to NN, Inc.’s Current Report on Form 8-K filed on July 22, 2014).</w:t>
      </w:r>
    </w:p>
    <w:p>
      <w:pPr>
        <w:spacing w:after="0" w:line="73" w:lineRule="exact"/>
        <w:rPr>
          <w:sz w:val="20"/>
          <w:szCs w:val="20"/>
          <w:color w:val="auto"/>
        </w:rPr>
      </w:pPr>
    </w:p>
    <w:p>
      <w:pPr>
        <w:jc w:val="center"/>
        <w:ind w:right="400"/>
        <w:spacing w:after="0" w:line="308" w:lineRule="auto"/>
        <w:rPr>
          <w:sz w:val="20"/>
          <w:szCs w:val="20"/>
          <w:color w:val="auto"/>
        </w:rPr>
      </w:pPr>
      <w:r>
        <w:rPr>
          <w:rFonts w:ascii="Arial" w:cs="Arial" w:eastAsia="Arial" w:hAnsi="Arial"/>
          <w:sz w:val="17"/>
          <w:szCs w:val="17"/>
          <w:color w:val="auto"/>
        </w:rPr>
        <w:t>2.2      Stock Purchase Agreement, dated as of August 17, 2015, by and among NN, Inc., Precision Engineered Products Holdings, Inc. and PEP Industries, LLC (incorporated by reference to Exhibit 2.1 to NN, Inc.’s Current Report on Form 8-K filed on August 18, 2015).</w:t>
      </w:r>
    </w:p>
    <w:p>
      <w:pPr>
        <w:spacing w:after="0" w:line="38" w:lineRule="exact"/>
        <w:rPr>
          <w:sz w:val="20"/>
          <w:szCs w:val="20"/>
          <w:color w:val="auto"/>
        </w:rPr>
      </w:pPr>
    </w:p>
    <w:p>
      <w:pPr>
        <w:ind w:left="940" w:right="140" w:hanging="751"/>
        <w:spacing w:after="0" w:line="277" w:lineRule="auto"/>
        <w:tabs>
          <w:tab w:leader="none" w:pos="9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NN, Inc. (incorporated by reference to Exhibit 3.1 of NN, Inc.’s Registration Statement No. 333-89950 on Form S-3 filed June 6, 2002).</w:t>
      </w:r>
    </w:p>
    <w:p>
      <w:pPr>
        <w:spacing w:after="0" w:line="62" w:lineRule="exact"/>
        <w:rPr>
          <w:sz w:val="20"/>
          <w:szCs w:val="20"/>
          <w:color w:val="auto"/>
        </w:rPr>
      </w:pPr>
    </w:p>
    <w:p>
      <w:pPr>
        <w:ind w:left="940" w:right="520" w:hanging="751"/>
        <w:spacing w:after="0" w:line="277" w:lineRule="auto"/>
        <w:tabs>
          <w:tab w:leader="none" w:pos="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NN, Inc. (incorporated by reference to Exhibit 3.1 to NN, Inc.’s Current Report on Form 8-K filed on November 20, 2015).</w:t>
      </w:r>
    </w:p>
    <w:p>
      <w:pPr>
        <w:spacing w:after="0" w:line="62" w:lineRule="exact"/>
        <w:rPr>
          <w:sz w:val="20"/>
          <w:szCs w:val="20"/>
          <w:color w:val="auto"/>
        </w:rPr>
      </w:pPr>
    </w:p>
    <w:p>
      <w:pPr>
        <w:ind w:left="940" w:right="260" w:hanging="751"/>
        <w:spacing w:after="0" w:line="277" w:lineRule="auto"/>
        <w:tabs>
          <w:tab w:leader="none" w:pos="9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specimen stock certificate representing NN, Inc.’s Common Stock, par value $0.01 per share (incorporated by reference to Exhibit 4.1 of NN, Inc.’s Registration Statement No. 333-89950 on Form S-3 filed on June 6, 2002).</w:t>
      </w:r>
    </w:p>
    <w:p>
      <w:pPr>
        <w:spacing w:after="0" w:line="62"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Stockholders’ Agreement, effective as of August 29, 2014, by and between NN, Inc. and John C. Kennedy (incorporated by reference to Exhibit</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3.1 to NN, Inc.’s Current Report on Form 8-K filed on September 2, 2014).</w:t>
      </w:r>
    </w:p>
    <w:p>
      <w:pPr>
        <w:spacing w:after="0" w:line="103" w:lineRule="exact"/>
        <w:rPr>
          <w:sz w:val="20"/>
          <w:szCs w:val="20"/>
          <w:color w:val="auto"/>
        </w:rPr>
      </w:pPr>
    </w:p>
    <w:p>
      <w:pPr>
        <w:ind w:left="940" w:hanging="751"/>
        <w:spacing w:after="0" w:line="308" w:lineRule="auto"/>
        <w:tabs>
          <w:tab w:leader="none" w:pos="9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Indenture, dated as of October 19, 2015, by and among NN, Inc., the subsidiary guarantors party thereto, and U.S. Bank National Association, as trustee (incorporated by reference to Exhibit 4.1 to NN, Inc.’s Current Report on Form 8-K filed on October 20, 2015).</w:t>
      </w:r>
    </w:p>
    <w:p>
      <w:pPr>
        <w:spacing w:after="0" w:line="38" w:lineRule="exact"/>
        <w:rPr>
          <w:sz w:val="20"/>
          <w:szCs w:val="20"/>
          <w:color w:val="auto"/>
        </w:rPr>
      </w:pPr>
    </w:p>
    <w:p>
      <w:pPr>
        <w:ind w:left="940" w:right="320" w:hanging="751"/>
        <w:spacing w:after="0" w:line="277" w:lineRule="auto"/>
        <w:tabs>
          <w:tab w:leader="none" w:pos="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the NN, Inc. 10.25% Senior Notes due 2020 (included as Exhibit A to the Indenture incorporated by reference to Exhibit 4.1 to NN, Inc.’s Current Report on Form 8-K filed on October 20, 2015).</w:t>
      </w:r>
    </w:p>
    <w:p>
      <w:pPr>
        <w:spacing w:after="0" w:line="62" w:lineRule="exact"/>
        <w:rPr>
          <w:sz w:val="20"/>
          <w:szCs w:val="20"/>
          <w:color w:val="auto"/>
        </w:rPr>
      </w:pPr>
    </w:p>
    <w:p>
      <w:pPr>
        <w:jc w:val="both"/>
        <w:ind w:left="940" w:right="60" w:hanging="751"/>
        <w:spacing w:after="0" w:line="264" w:lineRule="auto"/>
        <w:tabs>
          <w:tab w:leader="none" w:pos="9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Supplemental Indenture, dated as of October 19, 2015, by and among NN, Inc., certain direct and indirect subsidiaries of NN, Inc., as additional subsidiary guarantors, and U.S. Bank National Association, as trustee (incorporated by reference to Exhibit 4.3 to NN, Inc.’s Current Report on Form 8-K filed on October 20, 2015).</w:t>
      </w:r>
    </w:p>
    <w:p>
      <w:pPr>
        <w:spacing w:after="0" w:line="73" w:lineRule="exact"/>
        <w:rPr>
          <w:sz w:val="20"/>
          <w:szCs w:val="20"/>
          <w:color w:val="auto"/>
        </w:rPr>
      </w:pPr>
    </w:p>
    <w:p>
      <w:pPr>
        <w:ind w:left="940" w:right="40" w:hanging="841"/>
        <w:spacing w:after="0" w:line="277" w:lineRule="auto"/>
        <w:tabs>
          <w:tab w:leader="none" w:pos="9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NN, Inc. 2005 Stock Incentive Plan (incorporated by reference to Exhibit 4.3 of NN, Inc.’s Registration Statement No. 333-130395 on Form S-8 filed December 16, 2005).</w:t>
      </w:r>
    </w:p>
    <w:p>
      <w:pPr>
        <w:spacing w:after="0" w:line="62"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NN, Inc. 2011 Stock Incentive Plan (incorporated by reference to NN, Inc.’s Proxy Statement on Schedule 14A filed April 6, 2011).</w:t>
      </w:r>
    </w:p>
    <w:p>
      <w:pPr>
        <w:spacing w:after="0" w:line="117" w:lineRule="exact"/>
        <w:rPr>
          <w:sz w:val="20"/>
          <w:szCs w:val="20"/>
          <w:color w:val="auto"/>
        </w:rPr>
      </w:pPr>
    </w:p>
    <w:p>
      <w:pPr>
        <w:ind w:left="940" w:right="60" w:hanging="841"/>
        <w:spacing w:after="0" w:line="277" w:lineRule="auto"/>
        <w:tabs>
          <w:tab w:leader="none" w:pos="9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Indemnification Agreement (incorporated by reference to Exhibit 10.6 of NN, Inc.’s Registration Statement No. 333-89950 on Form S-3/A filed July 15, 2002).</w:t>
      </w:r>
    </w:p>
    <w:p>
      <w:pPr>
        <w:spacing w:after="0" w:line="62" w:lineRule="exact"/>
        <w:rPr>
          <w:sz w:val="20"/>
          <w:szCs w:val="20"/>
          <w:color w:val="auto"/>
        </w:rPr>
      </w:pPr>
    </w:p>
    <w:p>
      <w:pPr>
        <w:ind w:left="940" w:right="380" w:hanging="841"/>
        <w:spacing w:after="0" w:line="277" w:lineRule="auto"/>
        <w:tabs>
          <w:tab w:leader="none" w:pos="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Elective Deferred Compensation Plan, dated February 26, 1999 (incorporated by reference to Exhibit 10.16 of NN, Inc.’s Annual Report on Form 10-K filed March 31, 1999).</w:t>
      </w:r>
    </w:p>
    <w:p>
      <w:pPr>
        <w:spacing w:after="0" w:line="62" w:lineRule="exact"/>
        <w:rPr>
          <w:sz w:val="20"/>
          <w:szCs w:val="20"/>
          <w:color w:val="auto"/>
        </w:rPr>
      </w:pPr>
    </w:p>
    <w:p>
      <w:pPr>
        <w:ind w:left="940" w:right="760" w:hanging="841"/>
        <w:spacing w:after="0" w:line="308" w:lineRule="auto"/>
        <w:tabs>
          <w:tab w:leader="none" w:pos="9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Amended and Restated Executive Employment Agreement, dated September 13, 2012, by and between NN, Inc. and James H. Dorton (incorporated by reference to Exhibit 10.2 to NN, Inc.’s Current Report on Form 8-K filed September 18, 2012).</w:t>
      </w:r>
    </w:p>
    <w:p>
      <w:pPr>
        <w:spacing w:after="0" w:line="38" w:lineRule="exact"/>
        <w:rPr>
          <w:sz w:val="20"/>
          <w:szCs w:val="20"/>
          <w:color w:val="auto"/>
        </w:rPr>
      </w:pPr>
    </w:p>
    <w:p>
      <w:pPr>
        <w:ind w:left="940" w:right="560" w:hanging="841"/>
        <w:spacing w:after="0" w:line="308" w:lineRule="auto"/>
        <w:tabs>
          <w:tab w:leader="none" w:pos="9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Amended and Restated Executive Employment Agreement, dated September 13, 2012, by and between NN, Inc. and Thomas C. Burwell (incorporated by reference to Exhibit 10.3 to NN, Inc.’s Current Report on Form 8-K filed September 18, 2012).</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80" w:hanging="827"/>
        <w:spacing w:after="0" w:line="277" w:lineRule="auto"/>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Amended and Restated Executive Employment Agreement, dated September 13, 2012, by and between NN, Inc. and William C. Kelly, Jr., (incorporated by reference to Exhibit 10.4 to NN, Inc.’s Current Report on Form 8-K filed September 18, 2012).</w:t>
      </w:r>
    </w:p>
    <w:p>
      <w:pPr>
        <w:spacing w:after="0" w:line="62" w:lineRule="exact"/>
        <w:rPr>
          <w:sz w:val="20"/>
          <w:szCs w:val="20"/>
          <w:color w:val="auto"/>
        </w:rPr>
      </w:pPr>
    </w:p>
    <w:p>
      <w:pPr>
        <w:ind w:left="920" w:right="760" w:hanging="827"/>
        <w:spacing w:after="0" w:line="308"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Amended and Restated Executive Employment Agreement, dated September 13, 2012, by and between NN, Inc. and Jeffery H. Hodge (incorporated by reference to Exhibit 10.5 to NN, Inc.’s Current Report on Form 8-K filed September 18, 2012).</w:t>
      </w:r>
    </w:p>
    <w:p>
      <w:pPr>
        <w:spacing w:after="0" w:line="38" w:lineRule="exact"/>
        <w:rPr>
          <w:sz w:val="20"/>
          <w:szCs w:val="20"/>
          <w:color w:val="auto"/>
        </w:rPr>
      </w:pPr>
    </w:p>
    <w:p>
      <w:pPr>
        <w:ind w:left="920" w:right="280" w:hanging="827"/>
        <w:spacing w:after="0" w:line="308"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Amended and Restated Executive Employment Agreement, dated September 13, 2012, by and between the Whirlaway and James R. Widders (incorporated by reference to Exhibit 10.6 to NN, Inc.’s Current Report on Form 8-K filed September 18, 2012).</w:t>
      </w:r>
    </w:p>
    <w:p>
      <w:pPr>
        <w:spacing w:after="0" w:line="38" w:lineRule="exact"/>
        <w:rPr>
          <w:sz w:val="20"/>
          <w:szCs w:val="20"/>
          <w:color w:val="auto"/>
        </w:rPr>
      </w:pPr>
    </w:p>
    <w:p>
      <w:pPr>
        <w:ind w:left="920" w:right="180" w:hanging="827"/>
        <w:spacing w:after="0" w:line="277"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Executive Employment Agreement, dated May 8, 2013, between NN, Inc. and Richard D. Holder (incorporated by reference to Exhibit 10.1 of NN, Inc.’s Form 8-K filed May 10, 2013).</w:t>
      </w:r>
    </w:p>
    <w:p>
      <w:pPr>
        <w:spacing w:after="0" w:line="62" w:lineRule="exact"/>
        <w:rPr>
          <w:sz w:val="20"/>
          <w:szCs w:val="20"/>
          <w:color w:val="auto"/>
        </w:rPr>
      </w:pPr>
    </w:p>
    <w:p>
      <w:pPr>
        <w:ind w:left="920" w:hanging="827"/>
        <w:spacing w:after="0" w:line="259"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Term Loan Credit Agreement, dated as of August 29, 2014, by and among NN, Inc., Bank of America, N.A., the several lenders from time to time a party thereto, KeyBank National Association, as syndication agent, and Merrill Lynch, Pierce, Fenner &amp; Smith Incorporated and KeyBank National Association as joint lead arrangers and joint book runners (incorporated by reference to Exhibit 10.1 to NN, Inc.’s Current Report on Form 8-K filed on September 2, 2014).</w:t>
      </w:r>
    </w:p>
    <w:p>
      <w:pPr>
        <w:spacing w:after="0" w:line="79" w:lineRule="exact"/>
        <w:rPr>
          <w:sz w:val="20"/>
          <w:szCs w:val="20"/>
          <w:color w:val="auto"/>
        </w:rPr>
      </w:pPr>
    </w:p>
    <w:p>
      <w:pPr>
        <w:ind w:left="920" w:right="160" w:hanging="827"/>
        <w:spacing w:after="0" w:line="264"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Credit Agreement, dated as of August 29, 2014, by and among NN, Inc., NN Netherlands B.V., the several lenders from time to time a party thereto, KeyBank National Association, and Bank of America, N.A. (incorporated by reference to Exhibit 10.2 to NN, Inc.’s Current Report on Form 8-K filed on September 2, 2014).</w:t>
      </w:r>
    </w:p>
    <w:p>
      <w:pPr>
        <w:spacing w:after="0" w:line="73" w:lineRule="exact"/>
        <w:rPr>
          <w:sz w:val="20"/>
          <w:szCs w:val="20"/>
          <w:color w:val="auto"/>
        </w:rPr>
      </w:pPr>
    </w:p>
    <w:p>
      <w:pPr>
        <w:ind w:left="920" w:right="20" w:hanging="827"/>
        <w:spacing w:after="0" w:line="264"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Escrow Agreement, effective as of August 29, 2014, by and among NN, Inc., Newport Global Advisors, L.P., John C. Kennedy and Computershare Trust Company, N.A. (incorporated by reference to Exhibit 10.3 to NN, Inc.’s Current Report on Form 8-K filed on September 2, 2014).</w:t>
      </w:r>
    </w:p>
    <w:p>
      <w:pPr>
        <w:spacing w:after="0" w:line="73" w:lineRule="exact"/>
        <w:rPr>
          <w:sz w:val="20"/>
          <w:szCs w:val="20"/>
          <w:color w:val="auto"/>
        </w:rPr>
      </w:pPr>
    </w:p>
    <w:p>
      <w:pPr>
        <w:ind w:left="920" w:right="120" w:hanging="827"/>
        <w:spacing w:after="0" w:line="308"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Indemnity Agreement, effective as of August 29, 2014, by and among NN, Inc. and each of the shareholders of Autocam Corporation identified therein (incorporated by reference to Exhibit 10.4 to NN, Inc.’s Current Report on Form 8-K filed on September 2, 2014).</w:t>
      </w:r>
    </w:p>
    <w:p>
      <w:pPr>
        <w:spacing w:after="0" w:line="38" w:lineRule="exact"/>
        <w:rPr>
          <w:sz w:val="20"/>
          <w:szCs w:val="20"/>
          <w:color w:val="auto"/>
        </w:rPr>
      </w:pPr>
    </w:p>
    <w:p>
      <w:pPr>
        <w:ind w:left="920" w:hanging="827"/>
        <w:spacing w:after="0" w:line="277"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Noncompetition and Nondisclosure Agreement, effective as of August 29, 2014, by and between NN, Inc. and John C. Kennedy (incorporated by reference to Exhibit 10.5 to NN, Inc.’s Current Report on Form 8-K filed on September 2, 2014).</w:t>
      </w:r>
    </w:p>
    <w:p>
      <w:pPr>
        <w:spacing w:after="0" w:line="62" w:lineRule="exact"/>
        <w:rPr>
          <w:sz w:val="20"/>
          <w:szCs w:val="20"/>
          <w:color w:val="auto"/>
        </w:rPr>
      </w:pPr>
    </w:p>
    <w:p>
      <w:pPr>
        <w:ind w:left="920" w:right="460" w:hanging="827"/>
        <w:spacing w:after="0" w:line="308"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7"/>
          <w:szCs w:val="17"/>
          <w:color w:val="auto"/>
        </w:rPr>
        <w:t>Transition Services Agreement, effective as of August 29, 2014, by and among Autocam Corporation and Autocam Medical Devices, LLC (incorporated by reference to Exhibit 10.6 to NN, Inc.’s Current Report on Form 8-K filed on September 2, 2014).</w:t>
      </w:r>
    </w:p>
    <w:p>
      <w:pPr>
        <w:spacing w:after="0" w:line="38"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Executive Employment Agreement, dated September 9, 2014, between NN, Inc. and Warren A. Veltman. (incorporated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10.27 to NN, Inc.’s Annual Report on Form 10-K filed on March 16, 2015).</w:t>
      </w:r>
    </w:p>
    <w:p>
      <w:pPr>
        <w:spacing w:after="0" w:line="10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Executive Employment Agreement, dated October 6, 2014, between NN, Inc. and L. Jeffrey Manzagol. (incorporated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10.28 to NN, Inc.’s Annual Report on Form 10-K filed on March 16, 2015).</w:t>
      </w:r>
    </w:p>
    <w:p>
      <w:pPr>
        <w:spacing w:after="0" w:line="103" w:lineRule="exact"/>
        <w:rPr>
          <w:sz w:val="20"/>
          <w:szCs w:val="20"/>
          <w:color w:val="auto"/>
        </w:rPr>
      </w:pPr>
    </w:p>
    <w:p>
      <w:pPr>
        <w:ind w:left="920" w:right="400" w:hanging="827"/>
        <w:spacing w:after="0" w:line="277"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Incentive Stock Option Agreement (incorporated by reference to Exhibit 10.29 to NN, Inc.’s Annual Report on Form 10-K filed on March 16, 2015).</w:t>
      </w:r>
    </w:p>
    <w:p>
      <w:pPr>
        <w:spacing w:after="0" w:line="62" w:lineRule="exact"/>
        <w:rPr>
          <w:sz w:val="20"/>
          <w:szCs w:val="20"/>
          <w:color w:val="auto"/>
        </w:rPr>
      </w:pPr>
    </w:p>
    <w:p>
      <w:pPr>
        <w:ind w:left="920" w:right="440" w:hanging="827"/>
        <w:spacing w:after="0" w:line="277"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Restricted Stock Grant Agreement (incorporated by reference to Exhibit 10.30 to NN, Inc.’s Annual Report on Form 10-K filed on March 16, 2015).</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Performance Share Unit Agreement (incorporated by reference to Exhibit 10.1 to NN, Inc.’s Current Report on Form 8-K filed on May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 2015).</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10.22</w:t>
            </w:r>
          </w:p>
        </w:tc>
        <w:tc>
          <w:tcPr>
            <w:tcW w:w="10440" w:type="dxa"/>
            <w:vAlign w:val="bottom"/>
          </w:tcPr>
          <w:p>
            <w:pPr>
              <w:ind w:left="120"/>
              <w:spacing w:after="0"/>
              <w:rPr>
                <w:sz w:val="20"/>
                <w:szCs w:val="20"/>
                <w:color w:val="auto"/>
              </w:rPr>
            </w:pPr>
            <w:r>
              <w:rPr>
                <w:rFonts w:ascii="Arial" w:cs="Arial" w:eastAsia="Arial" w:hAnsi="Arial"/>
                <w:sz w:val="18"/>
                <w:szCs w:val="18"/>
                <w:color w:val="auto"/>
                <w:w w:val="95"/>
              </w:rPr>
              <w:t>Commitment Letter, dated as of August 17, 2015, by and among NN, Inc., KeyBanc Capital Markets Inc., KeyBank National Association,</w:t>
            </w:r>
          </w:p>
        </w:tc>
      </w:tr>
      <w:tr>
        <w:trPr>
          <w:trHeight w:val="216"/>
        </w:trPr>
        <w:tc>
          <w:tcPr>
            <w:tcW w:w="920" w:type="dxa"/>
            <w:vAlign w:val="bottom"/>
          </w:tcPr>
          <w:p>
            <w:pPr>
              <w:spacing w:after="0"/>
              <w:rPr>
                <w:sz w:val="18"/>
                <w:szCs w:val="18"/>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w w:val="91"/>
              </w:rPr>
              <w:t>SunTrust Bank, SunTrust Robinson Humphrey, Inc., Regions Capital Markets and Regions Bank (incorporated by reference to Exhibit 10.1 to</w:t>
            </w:r>
          </w:p>
        </w:tc>
      </w:tr>
      <w:tr>
        <w:trPr>
          <w:trHeight w:val="230"/>
        </w:trPr>
        <w:tc>
          <w:tcPr>
            <w:tcW w:w="920" w:type="dxa"/>
            <w:vAlign w:val="bottom"/>
          </w:tcPr>
          <w:p>
            <w:pPr>
              <w:spacing w:after="0"/>
              <w:rPr>
                <w:sz w:val="20"/>
                <w:szCs w:val="20"/>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rPr>
              <w:t>NN, Inc.’s Current Report on Form 8-K filed on August 18, 2015).</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10.23</w:t>
            </w:r>
          </w:p>
        </w:tc>
        <w:tc>
          <w:tcPr>
            <w:tcW w:w="10440" w:type="dxa"/>
            <w:vAlign w:val="bottom"/>
          </w:tcPr>
          <w:p>
            <w:pPr>
              <w:ind w:left="120"/>
              <w:spacing w:after="0"/>
              <w:rPr>
                <w:sz w:val="20"/>
                <w:szCs w:val="20"/>
                <w:color w:val="auto"/>
              </w:rPr>
            </w:pPr>
            <w:r>
              <w:rPr>
                <w:rFonts w:ascii="Arial" w:cs="Arial" w:eastAsia="Arial" w:hAnsi="Arial"/>
                <w:sz w:val="18"/>
                <w:szCs w:val="18"/>
                <w:color w:val="auto"/>
                <w:w w:val="92"/>
              </w:rPr>
              <w:t>Purchase Agreement, dated as of October 16, 2015, by and among NN, Inc., the subsidiary guarantors party thereto and SunTrust Robinson</w:t>
            </w:r>
          </w:p>
        </w:tc>
      </w:tr>
      <w:tr>
        <w:trPr>
          <w:trHeight w:val="216"/>
        </w:trPr>
        <w:tc>
          <w:tcPr>
            <w:tcW w:w="920" w:type="dxa"/>
            <w:vAlign w:val="bottom"/>
          </w:tcPr>
          <w:p>
            <w:pPr>
              <w:spacing w:after="0"/>
              <w:rPr>
                <w:sz w:val="18"/>
                <w:szCs w:val="18"/>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w w:val="90"/>
              </w:rPr>
              <w:t>Humphrey, Inc., acting on behalf of itself and as the representative of the several initial purchasers identified therein (incorporated by reference</w:t>
            </w:r>
          </w:p>
        </w:tc>
      </w:tr>
      <w:tr>
        <w:trPr>
          <w:trHeight w:val="230"/>
        </w:trPr>
        <w:tc>
          <w:tcPr>
            <w:tcW w:w="920" w:type="dxa"/>
            <w:vAlign w:val="bottom"/>
          </w:tcPr>
          <w:p>
            <w:pPr>
              <w:spacing w:after="0"/>
              <w:rPr>
                <w:sz w:val="20"/>
                <w:szCs w:val="20"/>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rPr>
              <w:t>to Exhibit 10.1 to NN, Inc.’s Current Report on Form 8-K filed on October 20, 2015).</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10.24</w:t>
            </w:r>
          </w:p>
        </w:tc>
        <w:tc>
          <w:tcPr>
            <w:tcW w:w="10440" w:type="dxa"/>
            <w:vAlign w:val="bottom"/>
          </w:tcPr>
          <w:p>
            <w:pPr>
              <w:ind w:left="120"/>
              <w:spacing w:after="0"/>
              <w:rPr>
                <w:sz w:val="20"/>
                <w:szCs w:val="20"/>
                <w:color w:val="auto"/>
              </w:rPr>
            </w:pPr>
            <w:r>
              <w:rPr>
                <w:rFonts w:ascii="Arial" w:cs="Arial" w:eastAsia="Arial" w:hAnsi="Arial"/>
                <w:sz w:val="18"/>
                <w:szCs w:val="18"/>
                <w:color w:val="auto"/>
                <w:w w:val="95"/>
              </w:rPr>
              <w:t>Joinder to the Purchase Agreement, dated as of October 19, 2015, by and among certain direct and indirect subsidiaries of NN, Inc., as</w:t>
            </w:r>
          </w:p>
        </w:tc>
      </w:tr>
      <w:tr>
        <w:trPr>
          <w:trHeight w:val="216"/>
        </w:trPr>
        <w:tc>
          <w:tcPr>
            <w:tcW w:w="920" w:type="dxa"/>
            <w:vAlign w:val="bottom"/>
          </w:tcPr>
          <w:p>
            <w:pPr>
              <w:spacing w:after="0"/>
              <w:rPr>
                <w:sz w:val="18"/>
                <w:szCs w:val="18"/>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w w:val="94"/>
              </w:rPr>
              <w:t>additional parties to the Purchase Agreement (incorporated by reference to Exhibit 10.2 to NN, Inc.’s Current Report on Form 8-K filed on</w:t>
            </w:r>
          </w:p>
        </w:tc>
      </w:tr>
      <w:tr>
        <w:trPr>
          <w:trHeight w:val="230"/>
        </w:trPr>
        <w:tc>
          <w:tcPr>
            <w:tcW w:w="920" w:type="dxa"/>
            <w:vAlign w:val="bottom"/>
          </w:tcPr>
          <w:p>
            <w:pPr>
              <w:spacing w:after="0"/>
              <w:rPr>
                <w:sz w:val="20"/>
                <w:szCs w:val="20"/>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rPr>
              <w:t>October 20, 2015).</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10.25</w:t>
            </w:r>
          </w:p>
        </w:tc>
        <w:tc>
          <w:tcPr>
            <w:tcW w:w="10440" w:type="dxa"/>
            <w:vAlign w:val="bottom"/>
          </w:tcPr>
          <w:p>
            <w:pPr>
              <w:ind w:left="120"/>
              <w:spacing w:after="0"/>
              <w:rPr>
                <w:sz w:val="20"/>
                <w:szCs w:val="20"/>
                <w:color w:val="auto"/>
              </w:rPr>
            </w:pPr>
            <w:r>
              <w:rPr>
                <w:rFonts w:ascii="Arial" w:cs="Arial" w:eastAsia="Arial" w:hAnsi="Arial"/>
                <w:sz w:val="18"/>
                <w:szCs w:val="18"/>
                <w:color w:val="auto"/>
                <w:w w:val="93"/>
              </w:rPr>
              <w:t>Credit Agreement, dated as of October 19, 2015, by and among NN, Inc., KeyBank National Association, as administrative agent, Regions</w:t>
            </w:r>
          </w:p>
        </w:tc>
      </w:tr>
      <w:tr>
        <w:trPr>
          <w:trHeight w:val="216"/>
        </w:trPr>
        <w:tc>
          <w:tcPr>
            <w:tcW w:w="920" w:type="dxa"/>
            <w:vAlign w:val="bottom"/>
          </w:tcPr>
          <w:p>
            <w:pPr>
              <w:spacing w:after="0"/>
              <w:rPr>
                <w:sz w:val="18"/>
                <w:szCs w:val="18"/>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w w:val="90"/>
              </w:rPr>
              <w:t>Bank, a syndication agent and SunTrust Bank as documentation agent, and KeyBanc Capital Markets, Inc., SunTrust Robinson Humphrey, Inc.</w:t>
            </w:r>
          </w:p>
        </w:tc>
      </w:tr>
      <w:tr>
        <w:trPr>
          <w:trHeight w:val="216"/>
        </w:trPr>
        <w:tc>
          <w:tcPr>
            <w:tcW w:w="920" w:type="dxa"/>
            <w:vAlign w:val="bottom"/>
          </w:tcPr>
          <w:p>
            <w:pPr>
              <w:spacing w:after="0"/>
              <w:rPr>
                <w:sz w:val="18"/>
                <w:szCs w:val="18"/>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w w:val="94"/>
              </w:rPr>
              <w:t>and Regions Capital Markets as joint lead arrangers and joint bookrunners (incorporated by reference to Exhibit 10.3 to NN, Inc.’s Current</w:t>
            </w:r>
          </w:p>
        </w:tc>
      </w:tr>
      <w:tr>
        <w:trPr>
          <w:trHeight w:val="230"/>
        </w:trPr>
        <w:tc>
          <w:tcPr>
            <w:tcW w:w="920" w:type="dxa"/>
            <w:vAlign w:val="bottom"/>
          </w:tcPr>
          <w:p>
            <w:pPr>
              <w:spacing w:after="0"/>
              <w:rPr>
                <w:sz w:val="20"/>
                <w:szCs w:val="20"/>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rPr>
              <w:t>Report on Form 8-K filed on October 20, 2015).</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10.26</w:t>
            </w:r>
          </w:p>
        </w:tc>
        <w:tc>
          <w:tcPr>
            <w:tcW w:w="10440" w:type="dxa"/>
            <w:vAlign w:val="bottom"/>
          </w:tcPr>
          <w:p>
            <w:pPr>
              <w:ind w:left="120"/>
              <w:spacing w:after="0"/>
              <w:rPr>
                <w:sz w:val="20"/>
                <w:szCs w:val="20"/>
                <w:color w:val="auto"/>
              </w:rPr>
            </w:pPr>
            <w:r>
              <w:rPr>
                <w:rFonts w:ascii="Arial" w:cs="Arial" w:eastAsia="Arial" w:hAnsi="Arial"/>
                <w:sz w:val="18"/>
                <w:szCs w:val="18"/>
                <w:color w:val="auto"/>
                <w:w w:val="92"/>
              </w:rPr>
              <w:t>Registration Rights Agreement, dated as of October 19, 2015, by and among NN, Inc., the subsidiary guarantors party thereto and SunTrust</w:t>
            </w:r>
          </w:p>
        </w:tc>
      </w:tr>
      <w:tr>
        <w:trPr>
          <w:trHeight w:val="230"/>
        </w:trPr>
        <w:tc>
          <w:tcPr>
            <w:tcW w:w="920" w:type="dxa"/>
            <w:vAlign w:val="bottom"/>
          </w:tcPr>
          <w:p>
            <w:pPr>
              <w:spacing w:after="0"/>
              <w:rPr>
                <w:sz w:val="20"/>
                <w:szCs w:val="20"/>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w w:val="94"/>
              </w:rPr>
              <w:t>Robinson Humphrey, Inc. (incorporated by reference to Exhibit 10.4 to NN, Inc.’s Current Report on Form 8-K filed on October 20, 2015).</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10.27</w:t>
            </w:r>
          </w:p>
        </w:tc>
        <w:tc>
          <w:tcPr>
            <w:tcW w:w="10440" w:type="dxa"/>
            <w:vAlign w:val="bottom"/>
          </w:tcPr>
          <w:p>
            <w:pPr>
              <w:ind w:left="120"/>
              <w:spacing w:after="0"/>
              <w:rPr>
                <w:sz w:val="20"/>
                <w:szCs w:val="20"/>
                <w:color w:val="auto"/>
              </w:rPr>
            </w:pPr>
            <w:r>
              <w:rPr>
                <w:rFonts w:ascii="Arial" w:cs="Arial" w:eastAsia="Arial" w:hAnsi="Arial"/>
                <w:sz w:val="18"/>
                <w:szCs w:val="18"/>
                <w:color w:val="auto"/>
                <w:w w:val="93"/>
              </w:rPr>
              <w:t>Registration Rights Agreement Joinder, dated as of October 19, 2015, by and among certain direct and indirect subsidiaries of NN, Inc., as</w:t>
            </w:r>
          </w:p>
        </w:tc>
      </w:tr>
      <w:tr>
        <w:trPr>
          <w:trHeight w:val="216"/>
        </w:trPr>
        <w:tc>
          <w:tcPr>
            <w:tcW w:w="920" w:type="dxa"/>
            <w:vAlign w:val="bottom"/>
          </w:tcPr>
          <w:p>
            <w:pPr>
              <w:spacing w:after="0"/>
              <w:rPr>
                <w:sz w:val="18"/>
                <w:szCs w:val="18"/>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w w:val="93"/>
              </w:rPr>
              <w:t>additional parties to the Registration Rights Agreement (incorporated by reference to Exhibit 10.5 to NN, Inc.’s Current Report on Form 8-K</w:t>
            </w:r>
          </w:p>
        </w:tc>
      </w:tr>
      <w:tr>
        <w:trPr>
          <w:trHeight w:val="230"/>
        </w:trPr>
        <w:tc>
          <w:tcPr>
            <w:tcW w:w="920" w:type="dxa"/>
            <w:vAlign w:val="bottom"/>
          </w:tcPr>
          <w:p>
            <w:pPr>
              <w:spacing w:after="0"/>
              <w:rPr>
                <w:sz w:val="20"/>
                <w:szCs w:val="20"/>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rPr>
              <w:t>filed on October 20, 2015).</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10.28</w:t>
            </w:r>
          </w:p>
        </w:tc>
        <w:tc>
          <w:tcPr>
            <w:tcW w:w="10440" w:type="dxa"/>
            <w:vAlign w:val="bottom"/>
          </w:tcPr>
          <w:p>
            <w:pPr>
              <w:ind w:left="120"/>
              <w:spacing w:after="0"/>
              <w:rPr>
                <w:sz w:val="20"/>
                <w:szCs w:val="20"/>
                <w:color w:val="auto"/>
              </w:rPr>
            </w:pPr>
            <w:r>
              <w:rPr>
                <w:rFonts w:ascii="Arial" w:cs="Arial" w:eastAsia="Arial" w:hAnsi="Arial"/>
                <w:sz w:val="18"/>
                <w:szCs w:val="18"/>
                <w:color w:val="auto"/>
                <w:w w:val="99"/>
              </w:rPr>
              <w:t>Amendment No 1 to Credit Agreement, dated as of November 9, 2015, by and among NN, Inc., KeyBank National Association, as</w:t>
            </w:r>
          </w:p>
        </w:tc>
      </w:tr>
      <w:tr>
        <w:trPr>
          <w:trHeight w:val="216"/>
        </w:trPr>
        <w:tc>
          <w:tcPr>
            <w:tcW w:w="920" w:type="dxa"/>
            <w:vAlign w:val="bottom"/>
          </w:tcPr>
          <w:p>
            <w:pPr>
              <w:spacing w:after="0"/>
              <w:rPr>
                <w:sz w:val="18"/>
                <w:szCs w:val="18"/>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w w:val="93"/>
              </w:rPr>
              <w:t>administrative agent, Regions Bank, SunTrust Bank and KBCM Bridge LLC (incorporated by reference to Exhibit 10.1 to NN, Inc.’s Current</w:t>
            </w:r>
          </w:p>
        </w:tc>
      </w:tr>
      <w:tr>
        <w:trPr>
          <w:trHeight w:val="230"/>
        </w:trPr>
        <w:tc>
          <w:tcPr>
            <w:tcW w:w="920" w:type="dxa"/>
            <w:vAlign w:val="bottom"/>
          </w:tcPr>
          <w:p>
            <w:pPr>
              <w:spacing w:after="0"/>
              <w:rPr>
                <w:sz w:val="20"/>
                <w:szCs w:val="20"/>
                <w:color w:val="auto"/>
              </w:rPr>
            </w:pPr>
          </w:p>
        </w:tc>
        <w:tc>
          <w:tcPr>
            <w:tcW w:w="10440" w:type="dxa"/>
            <w:vAlign w:val="bottom"/>
          </w:tcPr>
          <w:p>
            <w:pPr>
              <w:ind w:left="120"/>
              <w:spacing w:after="0"/>
              <w:rPr>
                <w:sz w:val="20"/>
                <w:szCs w:val="20"/>
                <w:color w:val="auto"/>
              </w:rPr>
            </w:pPr>
            <w:r>
              <w:rPr>
                <w:rFonts w:ascii="Arial" w:cs="Arial" w:eastAsia="Arial" w:hAnsi="Arial"/>
                <w:sz w:val="18"/>
                <w:szCs w:val="18"/>
                <w:color w:val="auto"/>
              </w:rPr>
              <w:t>Report on Form 8-K filed on November 10, 2015).</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10440" w:type="dxa"/>
            <w:vAlign w:val="bottom"/>
          </w:tcPr>
          <w:p>
            <w:pPr>
              <w:ind w:left="120"/>
              <w:spacing w:after="0"/>
              <w:rPr>
                <w:sz w:val="20"/>
                <w:szCs w:val="20"/>
                <w:color w:val="auto"/>
              </w:rPr>
            </w:pPr>
            <w:r>
              <w:rPr>
                <w:rFonts w:ascii="Arial" w:cs="Arial" w:eastAsia="Arial" w:hAnsi="Arial"/>
                <w:sz w:val="18"/>
                <w:szCs w:val="18"/>
                <w:color w:val="auto"/>
              </w:rPr>
              <w:t>List of Subsidiaries of NN, Inc.</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10440" w:type="dxa"/>
            <w:vAlign w:val="bottom"/>
          </w:tcPr>
          <w:p>
            <w:pPr>
              <w:ind w:left="12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44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pursuant to Section 302 of Sarbanes-Oxley Act.</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44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 Section 302 of Sarbanes-Oxley Act.</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44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pursuant to Section 906 of Sarbanes-Oxley Act.</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044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 Section 906 of Sarbanes-Oxley Act.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12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12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120"/>
              <w:spacing w:after="0"/>
              <w:rPr>
                <w:sz w:val="20"/>
                <w:szCs w:val="20"/>
                <w:color w:val="auto"/>
              </w:rPr>
            </w:pPr>
            <w:r>
              <w:rPr>
                <w:rFonts w:ascii="Arial" w:cs="Arial" w:eastAsia="Arial" w:hAnsi="Arial"/>
                <w:sz w:val="18"/>
                <w:szCs w:val="18"/>
                <w:color w:val="auto"/>
              </w:rPr>
              <w:t>XBRL Taxonomy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12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12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920" w:type="dxa"/>
            <w:vAlign w:val="bottom"/>
          </w:tcPr>
          <w:p>
            <w:pPr>
              <w:spacing w:after="0"/>
              <w:rPr>
                <w:sz w:val="24"/>
                <w:szCs w:val="24"/>
                <w:color w:val="auto"/>
              </w:rPr>
            </w:pPr>
          </w:p>
        </w:tc>
        <w:tc>
          <w:tcPr>
            <w:tcW w:w="10440" w:type="dxa"/>
            <w:vAlign w:val="bottom"/>
          </w:tcPr>
          <w:p>
            <w:pPr>
              <w:ind w:left="470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38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219"/>
          </w:cols>
          <w:pgMar w:left="240" w:top="459"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gridSpan w:val="2"/>
          </w:tcPr>
          <w:p>
            <w:pPr>
              <w:ind w:left="350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392"/>
        </w:trPr>
        <w:tc>
          <w:tcPr>
            <w:tcW w:w="2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0" w:type="dxa"/>
            <w:vAlign w:val="bottom"/>
            <w:gridSpan w:val="5"/>
          </w:tcPr>
          <w:p>
            <w:pPr>
              <w:ind w:left="300"/>
              <w:spacing w:after="0"/>
              <w:rPr>
                <w:sz w:val="20"/>
                <w:szCs w:val="20"/>
                <w:color w:val="auto"/>
              </w:rPr>
            </w:pPr>
            <w:r>
              <w:rPr>
                <w:rFonts w:ascii="Arial" w:cs="Arial" w:eastAsia="Arial" w:hAnsi="Arial"/>
                <w:sz w:val="18"/>
                <w:szCs w:val="18"/>
                <w:b w:val="1"/>
                <w:bCs w:val="1"/>
                <w:color w:val="auto"/>
              </w:rPr>
              <w:t>Subsidiaries of Registrant</w:t>
            </w:r>
          </w:p>
        </w:tc>
        <w:tc>
          <w:tcPr>
            <w:tcW w:w="0" w:type="dxa"/>
            <w:vAlign w:val="bottom"/>
          </w:tcPr>
          <w:p>
            <w:pPr>
              <w:spacing w:after="0"/>
              <w:rPr>
                <w:sz w:val="1"/>
                <w:szCs w:val="1"/>
                <w:color w:val="auto"/>
              </w:rPr>
            </w:pPr>
          </w:p>
        </w:tc>
      </w:tr>
      <w:tr>
        <w:trPr>
          <w:trHeight w:val="480"/>
        </w:trPr>
        <w:tc>
          <w:tcPr>
            <w:tcW w:w="2000" w:type="dxa"/>
            <w:vAlign w:val="bottom"/>
            <w:vMerge w:val="restart"/>
          </w:tcPr>
          <w:p>
            <w:pPr>
              <w:spacing w:after="0"/>
              <w:rPr>
                <w:sz w:val="20"/>
                <w:szCs w:val="20"/>
                <w:color w:val="auto"/>
              </w:rPr>
            </w:pPr>
            <w:r>
              <w:rPr>
                <w:rFonts w:ascii="Arial" w:cs="Arial" w:eastAsia="Arial" w:hAnsi="Arial"/>
                <w:sz w:val="18"/>
                <w:szCs w:val="18"/>
                <w:color w:val="auto"/>
                <w:w w:val="82"/>
              </w:rPr>
              <w:t>Advanced Precision Products,</w:t>
            </w: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Subsidiaries of NN, Inc.</w:t>
            </w:r>
          </w:p>
        </w:tc>
        <w:tc>
          <w:tcPr>
            <w:tcW w:w="30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Jurisdiction of Incorporation or Organization</w:t>
            </w:r>
          </w:p>
        </w:tc>
        <w:tc>
          <w:tcPr>
            <w:tcW w:w="0" w:type="dxa"/>
            <w:vAlign w:val="bottom"/>
          </w:tcPr>
          <w:p>
            <w:pPr>
              <w:spacing w:after="0"/>
              <w:rPr>
                <w:sz w:val="1"/>
                <w:szCs w:val="1"/>
                <w:color w:val="auto"/>
              </w:rPr>
            </w:pPr>
          </w:p>
        </w:tc>
      </w:tr>
      <w:tr>
        <w:trPr>
          <w:trHeight w:val="195"/>
        </w:trPr>
        <w:tc>
          <w:tcPr>
            <w:tcW w:w="2000" w:type="dxa"/>
            <w:vAlign w:val="bottom"/>
            <w:vMerge w:val="continue"/>
          </w:tcPr>
          <w:p>
            <w:pPr>
              <w:spacing w:after="0"/>
              <w:rPr>
                <w:sz w:val="16"/>
                <w:szCs w:val="16"/>
                <w:color w:val="auto"/>
              </w:rPr>
            </w:pPr>
          </w:p>
        </w:tc>
        <w:tc>
          <w:tcPr>
            <w:tcW w:w="184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Inc.</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Autocam (China) Automotive Components Co., Ltd.</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China</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Autocam Corporation</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4"/>
              </w:rPr>
              <w:t>Michigan</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Autocam do Brasil Usinagem, Ltda.</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7"/>
              </w:rPr>
              <w:t>Brazil</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Autocam Equipment Holdings,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Autocam Equipment,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Autocam Europe, B.V.</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Autocam France, SARL</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Autocam International, Ltd</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4"/>
              </w:rPr>
              <w:t>Michigan</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Autocam Poland Sp. z o.o.</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40"/>
              <w:spacing w:after="0"/>
              <w:rPr>
                <w:sz w:val="20"/>
                <w:szCs w:val="20"/>
                <w:color w:val="auto"/>
              </w:rPr>
            </w:pPr>
            <w:r>
              <w:rPr>
                <w:rFonts w:ascii="Arial" w:cs="Arial" w:eastAsia="Arial" w:hAnsi="Arial"/>
                <w:sz w:val="18"/>
                <w:szCs w:val="18"/>
                <w:color w:val="auto"/>
                <w:w w:val="89"/>
              </w:rPr>
              <w:t>Poland</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Autocam South Carolina,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4"/>
              </w:rPr>
              <w:t>Michigan</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Autocam-Pax,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4"/>
              </w:rPr>
              <w:t>Michigan</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Boston Endo-Surgical Technologies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Bouverat Industries, S.A.S.</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w w:val="97"/>
              </w:rPr>
              <w:t>Brainin (Foshan) Precision Engineered Products Co. Ltd.</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China</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Brainin de Mexico, S.A. de C.V.</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8"/>
              </w:rPr>
              <w:t>Mexico</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Brainin-Advance Industries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Caprock Enclosures,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Caprock Manufacturing,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1"/>
              </w:rPr>
              <w:t>Texas</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Connecticut Plastics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General Metal Finishing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Holmed,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HowesTemco,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Industrial Molding Corporation</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Kugelfertigung Eltmann GMBH</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1"/>
              </w:rPr>
              <w:t>Germany</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Kunshan NN Trading Company</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China</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Lacey Manufacturing Company,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Matrix I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NN Euroball Ireland Limited</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4"/>
              </w:rPr>
              <w:t>Ireland</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NN Europe S.p.A. f/k/a Euroball S.p.A.</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6"/>
              </w:rPr>
              <w:t>Italy</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NN Holdings B.V.</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NN International B.V.</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NN Netherlands B.V.</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NN Precision Bearing Products Co. LTD</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China</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NN Precisions Plastics,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NN Slovakia, s.r.o.</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4"/>
              </w:rPr>
              <w:t>Slovakia</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NN Trading Company</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PMC Acquisition Company,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PMC USA Acquisition Company,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PNC Acquisition Company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Polymetallurgical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Precision Engineered Products Holdings,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Precision Engineered Products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Precision Metal Components Mexico SRL</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8"/>
              </w:rPr>
              <w:t>Mexico</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Premco,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6"/>
              </w:rPr>
              <w:t>Massachusetts</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Profiles Incorporated</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6"/>
              </w:rPr>
              <w:t>Massachusetts</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RFK Valjcici d.d. Konjiu</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1"/>
              </w:rPr>
              <w:t>Bosnia Herzegovina</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Trigon International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Triumph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40"/>
              <w:spacing w:after="0"/>
              <w:rPr>
                <w:sz w:val="20"/>
                <w:szCs w:val="20"/>
                <w:color w:val="auto"/>
              </w:rPr>
            </w:pPr>
            <w:r>
              <w:rPr>
                <w:rFonts w:ascii="Arial" w:cs="Arial" w:eastAsia="Arial" w:hAnsi="Arial"/>
                <w:sz w:val="18"/>
                <w:szCs w:val="18"/>
                <w:color w:val="auto"/>
                <w:w w:val="94"/>
              </w:rPr>
              <w:t>Arizona</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Wauconda Tool &amp; Engineering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Whirlaway Corporation</w:t>
            </w: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gridSpan w:val="2"/>
          </w:tcPr>
          <w:p>
            <w:pPr>
              <w:jc w:val="center"/>
              <w:ind w:right="920"/>
              <w:spacing w:after="0"/>
              <w:rPr>
                <w:sz w:val="20"/>
                <w:szCs w:val="20"/>
                <w:color w:val="auto"/>
              </w:rPr>
            </w:pPr>
            <w:r>
              <w:rPr>
                <w:rFonts w:ascii="Arial" w:cs="Arial" w:eastAsia="Arial" w:hAnsi="Arial"/>
                <w:sz w:val="18"/>
                <w:szCs w:val="18"/>
                <w:color w:val="auto"/>
                <w:w w:val="94"/>
              </w:rPr>
              <w:t>Ohio</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866140" cy="677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6614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333-174519, No. 333-130395, No. 333-69588, No. 333-50934) and in the Registration Statement on Form S-3 (No. 333-201274) of NN, Inc. of our report dated March 15, 2016 related to the financial statements and the effectiveness of internal control over financial reporting, which appears in this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ectPr>
          <w:pgSz w:w="11900" w:h="16838" w:orient="portrait"/>
          <w:cols w:equalWidth="0" w:num="1">
            <w:col w:w="11420"/>
          </w:cols>
          <w:pgMar w:left="240" w:top="121" w:right="239" w:bottom="1440" w:gutter="0" w:footer="0" w:header="0"/>
        </w:sectPr>
      </w:pPr>
    </w:p>
    <w:bookmarkStart w:id="88" w:name="page89"/>
    <w:bookmarkEnd w:id="88"/>
    <w:p>
      <w:pPr>
        <w:ind w:left="10540"/>
        <w:spacing w:after="0"/>
        <w:rPr>
          <w:sz w:val="20"/>
          <w:szCs w:val="20"/>
          <w:color w:val="auto"/>
        </w:rPr>
      </w:pPr>
      <w:r>
        <w:rPr>
          <w:rFonts w:ascii="Arial" w:cs="Arial" w:eastAsia="Arial" w:hAnsi="Arial"/>
          <w:sz w:val="16"/>
          <w:szCs w:val="16"/>
          <w:color w:val="auto"/>
        </w:rPr>
        <w:t>Exhibit 31.1</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ICHARD</w:t>
      </w:r>
      <w:r>
        <w:rPr>
          <w:rFonts w:ascii="Arial" w:cs="Arial" w:eastAsia="Arial" w:hAnsi="Arial"/>
          <w:sz w:val="18"/>
          <w:szCs w:val="18"/>
          <w:color w:val="auto"/>
        </w:rPr>
        <w:t xml:space="preserve"> D. H</w:t>
      </w:r>
      <w:r>
        <w:rPr>
          <w:rFonts w:ascii="Arial" w:cs="Arial" w:eastAsia="Arial" w:hAnsi="Arial"/>
          <w:sz w:val="15"/>
          <w:szCs w:val="15"/>
          <w:color w:val="auto"/>
        </w:rPr>
        <w:t>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Chief Executive Officer, President and Director</w:t>
      </w:r>
    </w:p>
    <w:p>
      <w:pPr>
        <w:sectPr>
          <w:pgSz w:w="11900" w:h="16838" w:orient="portrait"/>
          <w:cols w:equalWidth="0" w:num="1">
            <w:col w:w="11420"/>
          </w:cols>
          <w:pgMar w:left="240" w:top="125" w:right="239" w:bottom="1440" w:gutter="0" w:footer="0" w:header="0"/>
        </w:sectPr>
      </w:pPr>
    </w:p>
    <w:bookmarkStart w:id="89" w:name="page90"/>
    <w:bookmarkEnd w:id="89"/>
    <w:p>
      <w:pPr>
        <w:ind w:left="10540"/>
        <w:spacing w:after="0"/>
        <w:rPr>
          <w:sz w:val="20"/>
          <w:szCs w:val="20"/>
          <w:color w:val="auto"/>
        </w:rPr>
      </w:pPr>
      <w:r>
        <w:rPr>
          <w:rFonts w:ascii="Arial" w:cs="Arial" w:eastAsia="Arial" w:hAnsi="Arial"/>
          <w:sz w:val="16"/>
          <w:szCs w:val="16"/>
          <w:color w:val="auto"/>
        </w:rPr>
        <w:t>Exhibit 31.2</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131"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w:t>
      </w:r>
      <w:r>
        <w:rPr>
          <w:rFonts w:ascii="Arial" w:cs="Arial" w:eastAsia="Arial" w:hAnsi="Arial"/>
          <w:sz w:val="15"/>
          <w:szCs w:val="15"/>
          <w:color w:val="auto"/>
        </w:rPr>
        <w:t>S</w:t>
      </w:r>
      <w:r>
        <w:rPr>
          <w:rFonts w:ascii="Arial" w:cs="Arial" w:eastAsia="Arial" w:hAnsi="Arial"/>
          <w:sz w:val="18"/>
          <w:szCs w:val="18"/>
          <w:color w:val="auto"/>
        </w:rPr>
        <w:t>/ J</w:t>
      </w:r>
      <w:r>
        <w:rPr>
          <w:rFonts w:ascii="Arial" w:cs="Arial" w:eastAsia="Arial" w:hAnsi="Arial"/>
          <w:sz w:val="15"/>
          <w:szCs w:val="15"/>
          <w:color w:val="auto"/>
        </w:rPr>
        <w:t>AMES</w:t>
      </w:r>
      <w:r>
        <w:rPr>
          <w:rFonts w:ascii="Arial" w:cs="Arial" w:eastAsia="Arial" w:hAnsi="Arial"/>
          <w:sz w:val="18"/>
          <w:szCs w:val="18"/>
          <w:color w:val="auto"/>
        </w:rPr>
        <w:t xml:space="preserve"> H. D</w:t>
      </w:r>
      <w:r>
        <w:rPr>
          <w:rFonts w:ascii="Arial" w:cs="Arial" w:eastAsia="Arial" w:hAnsi="Arial"/>
          <w:sz w:val="15"/>
          <w:szCs w:val="15"/>
          <w:color w:val="auto"/>
        </w:rPr>
        <w:t>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Senior Vice President –Chief Financial Officer</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ICHARD</w:t>
      </w:r>
      <w:r>
        <w:rPr>
          <w:rFonts w:ascii="Arial" w:cs="Arial" w:eastAsia="Arial" w:hAnsi="Arial"/>
          <w:sz w:val="18"/>
          <w:szCs w:val="18"/>
          <w:color w:val="auto"/>
        </w:rPr>
        <w:t xml:space="preserve"> D. H</w:t>
      </w:r>
      <w:r>
        <w:rPr>
          <w:rFonts w:ascii="Arial" w:cs="Arial" w:eastAsia="Arial" w:hAnsi="Arial"/>
          <w:sz w:val="15"/>
          <w:szCs w:val="15"/>
          <w:color w:val="auto"/>
        </w:rPr>
        <w:t>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w:t>
      </w:r>
      <w:r>
        <w:rPr>
          <w:rFonts w:ascii="Arial" w:cs="Arial" w:eastAsia="Arial" w:hAnsi="Arial"/>
          <w:sz w:val="15"/>
          <w:szCs w:val="15"/>
          <w:color w:val="auto"/>
        </w:rPr>
        <w:t>AMES</w:t>
      </w:r>
      <w:r>
        <w:rPr>
          <w:rFonts w:ascii="Arial" w:cs="Arial" w:eastAsia="Arial" w:hAnsi="Arial"/>
          <w:sz w:val="18"/>
          <w:szCs w:val="18"/>
          <w:color w:val="auto"/>
        </w:rPr>
        <w:t xml:space="preserve"> H. D</w:t>
      </w:r>
      <w:r>
        <w:rPr>
          <w:rFonts w:ascii="Arial" w:cs="Arial" w:eastAsia="Arial" w:hAnsi="Arial"/>
          <w:sz w:val="15"/>
          <w:szCs w:val="15"/>
          <w:color w:val="auto"/>
        </w:rPr>
        <w:t>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Officer</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lowerRoman"/>
      <w:start w:val="1"/>
    </w:lvl>
  </w:abstractNum>
  <w:abstractNum w:abstractNumId="12">
    <w:nsid w:val="440BADFC"/>
    <w:multiLevelType w:val="hybridMultilevel"/>
    <w:lvl w:ilvl="0">
      <w:lvlJc w:val="left"/>
      <w:lvlText w:val="%1"/>
      <w:numFmt w:val="upperLetter"/>
      <w:start w:val="40"/>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lvl w:ilvl="1">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lowerLetter"/>
      <w:start w:val="1"/>
    </w:lvl>
  </w:abstractNum>
  <w:abstractNum w:abstractNumId="20">
    <w:nsid w:val="51EAD36B"/>
    <w:multiLevelType w:val="hybridMultilevel"/>
    <w:lvl w:ilvl="0">
      <w:lvlJc w:val="left"/>
      <w:lvlText w:val="%1)"/>
      <w:numFmt w:val="lowerLetter"/>
      <w:start w:val="2"/>
    </w:lvl>
  </w:abstractNum>
  <w:abstractNum w:abstractNumId="21">
    <w:nsid w:val="2D517796"/>
    <w:multiLevelType w:val="hybridMultilevel"/>
    <w:lvl w:ilvl="0">
      <w:lvlJc w:val="left"/>
      <w:lvlText w:val="%1)"/>
      <w:numFmt w:val="lowerLetter"/>
      <w:start w:val="3"/>
    </w:lvl>
  </w:abstractNum>
  <w:abstractNum w:abstractNumId="22">
    <w:nsid w:val="580BD78F"/>
    <w:multiLevelType w:val="hybridMultilevel"/>
    <w:lvl w:ilvl="0">
      <w:lvlJc w:val="left"/>
      <w:lvlText w:val="%1)"/>
      <w:numFmt w:val="lowerLetter"/>
      <w:start w:val="4"/>
    </w:lvl>
  </w:abstractNum>
  <w:abstractNum w:abstractNumId="23">
    <w:nsid w:val="153EA438"/>
    <w:multiLevelType w:val="hybridMultilevel"/>
    <w:lvl w:ilvl="0">
      <w:lvlJc w:val="left"/>
      <w:lvlText w:val="%1)"/>
      <w:numFmt w:val="lowerLetter"/>
      <w:start w:val="5"/>
    </w:lvl>
  </w:abstractNum>
  <w:abstractNum w:abstractNumId="24">
    <w:nsid w:val="3855585C"/>
    <w:multiLevelType w:val="hybridMultilevel"/>
    <w:lvl w:ilvl="0">
      <w:lvlJc w:val="left"/>
      <w:lvlText w:val="%1)"/>
      <w:numFmt w:val="lowerLetter"/>
      <w:start w:val="6"/>
    </w:lvl>
  </w:abstractNum>
  <w:abstractNum w:abstractNumId="25">
    <w:nsid w:val="70A64E2A"/>
    <w:multiLevelType w:val="hybridMultilevel"/>
    <w:lvl w:ilvl="0">
      <w:lvlJc w:val="left"/>
      <w:lvlText w:val="%1)"/>
      <w:numFmt w:val="lowerLetter"/>
      <w:start w:val="7"/>
    </w:lvl>
  </w:abstractNum>
  <w:abstractNum w:abstractNumId="26">
    <w:nsid w:val="6A2342EC"/>
    <w:multiLevelType w:val="hybridMultilevel"/>
    <w:lvl w:ilvl="0">
      <w:lvlJc w:val="left"/>
      <w:lvlText w:val="%1)"/>
      <w:numFmt w:val="lowerLetter"/>
      <w:start w:val="8"/>
    </w:lvl>
  </w:abstractNum>
  <w:abstractNum w:abstractNumId="27">
    <w:nsid w:val="2A487CB0"/>
    <w:multiLevelType w:val="hybridMultilevel"/>
    <w:lvl w:ilvl="0">
      <w:lvlJc w:val="left"/>
      <w:lvlText w:val="%1)"/>
      <w:numFmt w:val="lowerRoman"/>
      <w:start w:val="1"/>
    </w:lvl>
  </w:abstractNum>
  <w:abstractNum w:abstractNumId="28">
    <w:nsid w:val="1D4ED43B"/>
    <w:multiLevelType w:val="hybridMultilevel"/>
    <w:lvl w:ilvl="0">
      <w:lvlJc w:val="left"/>
      <w:lvlText w:val="%1)"/>
      <w:numFmt w:val="lowerLetter"/>
      <w:start w:val="10"/>
    </w:lvl>
  </w:abstractNum>
  <w:abstractNum w:abstractNumId="29">
    <w:nsid w:val="725A06FB"/>
    <w:multiLevelType w:val="hybridMultilevel"/>
    <w:lvl w:ilvl="0">
      <w:lvlJc w:val="left"/>
      <w:lvlText w:val="%1)"/>
      <w:numFmt w:val="lowerLetter"/>
      <w:start w:val="11"/>
    </w:lvl>
  </w:abstractNum>
  <w:abstractNum w:abstractNumId="30">
    <w:nsid w:val="2CD89A32"/>
    <w:multiLevelType w:val="hybridMultilevel"/>
    <w:lvl w:ilvl="0">
      <w:lvlJc w:val="left"/>
      <w:lvlText w:val="%1)"/>
      <w:numFmt w:val="lowerLetter"/>
      <w:start w:val="12"/>
    </w:lvl>
  </w:abstractNum>
  <w:abstractNum w:abstractNumId="31">
    <w:nsid w:val="57E4CCAF"/>
    <w:multiLevelType w:val="hybridMultilevel"/>
    <w:lvl w:ilvl="0">
      <w:lvlJc w:val="left"/>
      <w:lvlText w:val="%1)"/>
      <w:numFmt w:val="lowerLetter"/>
      <w:start w:val="13"/>
    </w:lvl>
  </w:abstractNum>
  <w:abstractNum w:abstractNumId="32">
    <w:nsid w:val="7A6D8D3C"/>
    <w:multiLevelType w:val="hybridMultilevel"/>
    <w:lvl w:ilvl="0">
      <w:lvlJc w:val="left"/>
      <w:lvlText w:val="%1)"/>
      <w:numFmt w:val="lowerLetter"/>
      <w:start w:val="14"/>
    </w:lvl>
  </w:abstractNum>
  <w:abstractNum w:abstractNumId="33">
    <w:nsid w:val="4B588F54"/>
    <w:multiLevelType w:val="hybridMultilevel"/>
    <w:lvl w:ilvl="0">
      <w:lvlJc w:val="left"/>
      <w:lvlText w:val="%1)"/>
      <w:numFmt w:val="lowerLetter"/>
      <w:start w:val="15"/>
    </w:lvl>
  </w:abstractNum>
  <w:abstractNum w:abstractNumId="34">
    <w:nsid w:val="542289EC"/>
    <w:multiLevelType w:val="hybridMultilevel"/>
    <w:lvl w:ilvl="0">
      <w:lvlJc w:val="left"/>
      <w:lvlText w:val="%1)"/>
      <w:numFmt w:val="lowerLetter"/>
      <w:start w:val="16"/>
    </w:lvl>
  </w:abstractNum>
  <w:abstractNum w:abstractNumId="35">
    <w:nsid w:val="6DE91B18"/>
    <w:multiLevelType w:val="hybridMultilevel"/>
    <w:lvl w:ilvl="0">
      <w:lvlJc w:val="left"/>
      <w:lvlText w:val="%1)"/>
      <w:numFmt w:val="lowerLetter"/>
      <w:start w:val="17"/>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2"/>
    </w:lvl>
  </w:abstractNum>
  <w:abstractNum w:abstractNumId="38">
    <w:nsid w:val="32FFF902"/>
    <w:multiLevelType w:val="hybridMultilevel"/>
    <w:lvl w:ilvl="0">
      <w:lvlJc w:val="left"/>
      <w:lvlText w:val="%1)"/>
      <w:numFmt w:val="decimal"/>
      <w:start w:val="3"/>
    </w:lvl>
  </w:abstractNum>
  <w:abstractNum w:abstractNumId="39">
    <w:nsid w:val="684A481A"/>
    <w:multiLevelType w:val="hybridMultilevel"/>
    <w:lvl w:ilvl="0">
      <w:lvlJc w:val="left"/>
      <w:lvlText w:val="%1)"/>
      <w:numFmt w:val="decimal"/>
      <w:start w:val="5"/>
    </w:lvl>
  </w:abstractNum>
  <w:abstractNum w:abstractNumId="40">
    <w:nsid w:val="579478FE"/>
    <w:multiLevelType w:val="hybridMultilevel"/>
    <w:lvl w:ilvl="0">
      <w:lvlJc w:val="left"/>
      <w:lvlText w:val="%1)"/>
      <w:numFmt w:val="decimal"/>
      <w:start w:val="7"/>
    </w:lvl>
  </w:abstractNum>
  <w:abstractNum w:abstractNumId="41">
    <w:nsid w:val="749ABB43"/>
    <w:multiLevelType w:val="hybridMultilevel"/>
    <w:lvl w:ilvl="0">
      <w:lvlJc w:val="left"/>
      <w:lvlText w:val="%1)"/>
      <w:numFmt w:val="decimal"/>
      <w:start w:val="8"/>
    </w:lvl>
  </w:abstractNum>
  <w:abstractNum w:abstractNumId="42">
    <w:nsid w:val="3DC240FB"/>
    <w:multiLevelType w:val="hybridMultilevel"/>
    <w:lvl w:ilvl="0">
      <w:lvlJc w:val="left"/>
      <w:lvlText w:val="%1)"/>
      <w:numFmt w:val="decimal"/>
      <w:start w:val="9"/>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0"/>
    </w:lvl>
  </w:abstractNum>
  <w:abstractNum w:abstractNumId="45">
    <w:nsid w:val="75C6C33A"/>
    <w:multiLevelType w:val="hybridMultilevel"/>
    <w:lvl w:ilvl="0">
      <w:lvlJc w:val="left"/>
      <w:lvlText w:val="%1)"/>
      <w:numFmt w:val="decimal"/>
      <w:start w:val="11"/>
    </w:lvl>
  </w:abstractNum>
  <w:abstractNum w:abstractNumId="46">
    <w:nsid w:val="12E685FB"/>
    <w:multiLevelType w:val="hybridMultilevel"/>
    <w:lvl w:ilvl="0">
      <w:lvlJc w:val="left"/>
      <w:lvlText w:val="%1)"/>
      <w:numFmt w:val="decimal"/>
      <w:start w:val="12"/>
    </w:lvl>
  </w:abstractNum>
  <w:abstractNum w:abstractNumId="47">
    <w:nsid w:val="70C6A529"/>
    <w:multiLevelType w:val="hybridMultilevel"/>
    <w:lvl w:ilvl="0">
      <w:lvlJc w:val="left"/>
      <w:lvlText w:val="%1)"/>
      <w:numFmt w:val="decimal"/>
      <w:start w:val="13"/>
    </w:lvl>
  </w:abstractNum>
  <w:abstractNum w:abstractNumId="48">
    <w:nsid w:val="520EEDD1"/>
    <w:multiLevelType w:val="hybridMultilevel"/>
    <w:lvl w:ilvl="0">
      <w:lvlJc w:val="left"/>
      <w:lvlText w:val="%1)"/>
      <w:numFmt w:val="decimal"/>
      <w:start w:val="15"/>
    </w:lvl>
  </w:abstractNum>
  <w:abstractNum w:abstractNumId="49">
    <w:nsid w:val="374A3FE6"/>
    <w:multiLevelType w:val="hybridMultilevel"/>
    <w:lvl w:ilvl="0">
      <w:lvlJc w:val="left"/>
      <w:lvlText w:val="%1)"/>
      <w:numFmt w:val="decimal"/>
      <w:start w:val="16"/>
    </w:lvl>
  </w:abstractNum>
  <w:abstractNum w:abstractNumId="50">
    <w:nsid w:val="4F4EF005"/>
    <w:multiLevelType w:val="hybridMultilevel"/>
    <w:lvl w:ilvl="0">
      <w:lvlJc w:val="left"/>
      <w:lvlText w:val="%1)"/>
      <w:numFmt w:val="decimal"/>
      <w:start w:val="17"/>
    </w:lvl>
  </w:abstractNum>
  <w:abstractNum w:abstractNumId="51">
    <w:nsid w:val="23F9C13C"/>
    <w:multiLevelType w:val="hybridMultilevel"/>
    <w:lvl w:ilvl="0">
      <w:lvlJc w:val="left"/>
      <w:lvlText w:val="%1)"/>
      <w:numFmt w:val="decimal"/>
      <w:start w:val="18"/>
    </w:lvl>
  </w:abstractNum>
  <w:abstractNum w:abstractNumId="52">
    <w:nsid w:val="649BB77C"/>
    <w:multiLevelType w:val="hybridMultilevel"/>
    <w:lvl w:ilvl="0">
      <w:lvlJc w:val="left"/>
      <w:lvlText w:val="%1)"/>
      <w:numFmt w:val="decimal"/>
      <w:start w:val="19"/>
    </w:lvl>
  </w:abstractNum>
  <w:abstractNum w:abstractNumId="53">
    <w:nsid w:val="275AC794"/>
    <w:multiLevelType w:val="hybridMultilevel"/>
    <w:lvl w:ilvl="0">
      <w:lvlJc w:val="left"/>
      <w:lvlText w:val="%1)"/>
      <w:numFmt w:val="decimal"/>
      <w:start w:val="20"/>
    </w:lvl>
  </w:abstractNum>
  <w:abstractNum w:abstractNumId="54">
    <w:nsid w:val="39386575"/>
    <w:multiLevelType w:val="hybridMultilevel"/>
    <w:lvl w:ilvl="0">
      <w:lvlJc w:val="left"/>
      <w:lvlText w:val="(%1)"/>
      <w:numFmt w:val="lowerLetter"/>
      <w:start w:val="3"/>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2019-12-29T13:54:35Z</dcterms:created>
  <dcterms:modified xsi:type="dcterms:W3CDTF">2019-12-29T13:54:35Z</dcterms:modified>
</cp:coreProperties>
</file>