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8"/>
          <w:szCs w:val="18"/>
          <w:color w:val="auto"/>
        </w:rPr>
        <w:t>UNITED STATES</w:t>
      </w:r>
    </w:p>
    <w:p>
      <w:pPr>
        <w:ind w:left="21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(Amendment No. 4)*</w:t>
      </w:r>
    </w:p>
    <w:p>
      <w:pPr>
        <w:spacing w:after="0" w:line="207" w:lineRule="exact"/>
        <w:rPr>
          <w:sz w:val="24"/>
          <w:szCs w:val="24"/>
          <w:color w:val="auto"/>
        </w:rPr>
      </w:pPr>
    </w:p>
    <w:p>
      <w:pPr>
        <w:ind w:left="3060" w:right="5079" w:hanging="314"/>
        <w:spacing w:after="0" w:line="290" w:lineRule="auto"/>
        <w:tabs>
          <w:tab w:leader="none" w:pos="30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(Name of Issuer)</w:t>
      </w:r>
    </w:p>
    <w:p>
      <w:pPr>
        <w:spacing w:after="0" w:line="164"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8"/>
          <w:szCs w:val="18"/>
          <w:color w:val="auto"/>
        </w:rPr>
        <w:t>Common</w:t>
      </w:r>
    </w:p>
    <w:p>
      <w:pPr>
        <w:jc w:val="center"/>
        <w:ind w:right="233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629305103</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December 31, 1999</w:t>
      </w:r>
    </w:p>
    <w:p>
      <w:pPr>
        <w:ind w:left="10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right="8139" w:firstLine="8"/>
        <w:spacing w:after="0" w:line="547" w:lineRule="auto"/>
        <w:tabs>
          <w:tab w:leader="none" w:pos="52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243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4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spacing w:after="0"/>
        <w:tabs>
          <w:tab w:leader="none" w:pos="3560" w:val="left"/>
          <w:tab w:leader="none" w:pos="536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640" w:right="43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Neuberger Berman, Inc.</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061523639</w:t>
      </w:r>
    </w:p>
    <w:p>
      <w:pPr>
        <w:spacing w:after="0" w:line="4" w:lineRule="exact"/>
        <w:rPr>
          <w:rFonts w:ascii="Courier New" w:cs="Courier New" w:eastAsia="Courier New" w:hAnsi="Courier New"/>
          <w:sz w:val="18"/>
          <w:szCs w:val="18"/>
          <w:color w:val="auto"/>
        </w:rPr>
      </w:pPr>
    </w:p>
    <w:p>
      <w:pPr>
        <w:ind w:left="640" w:right="71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Neuberger Berman, LLC. 13-5521910</w:t>
      </w: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1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420" w:type="dxa"/>
            <w:vAlign w:val="bottom"/>
          </w:tcPr>
          <w:p>
            <w:pPr>
              <w:ind w:left="580"/>
              <w:spacing w:after="0"/>
              <w:rPr>
                <w:sz w:val="20"/>
                <w:szCs w:val="20"/>
                <w:color w:val="auto"/>
              </w:rPr>
            </w:pPr>
            <w:r>
              <w:rPr>
                <w:rFonts w:ascii="Courier New" w:cs="Courier New" w:eastAsia="Courier New" w:hAnsi="Courier New"/>
                <w:sz w:val="18"/>
                <w:szCs w:val="18"/>
                <w:color w:val="auto"/>
                <w:w w:val="94"/>
              </w:rPr>
              <w:t>(a) /__/</w:t>
            </w:r>
          </w:p>
        </w:tc>
      </w:tr>
      <w:tr>
        <w:trPr>
          <w:trHeight w:val="203"/>
        </w:trPr>
        <w:tc>
          <w:tcPr>
            <w:tcW w:w="38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(b) /X/</w:t>
            </w: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900" w:type="dxa"/>
            <w:vAlign w:val="bottom"/>
          </w:tcPr>
          <w:p>
            <w:pPr>
              <w:ind w:left="160"/>
              <w:spacing w:after="0"/>
              <w:rPr>
                <w:sz w:val="20"/>
                <w:szCs w:val="20"/>
                <w:color w:val="auto"/>
              </w:rPr>
            </w:pPr>
            <w:r>
              <w:rPr>
                <w:rFonts w:ascii="Courier New" w:cs="Courier New" w:eastAsia="Courier New" w:hAnsi="Courier New"/>
                <w:sz w:val="18"/>
                <w:szCs w:val="18"/>
                <w:color w:val="auto"/>
              </w:rPr>
              <w:t>SEC USE ONLY</w:t>
            </w:r>
          </w:p>
        </w:tc>
        <w:tc>
          <w:tcPr>
            <w:tcW w:w="1420" w:type="dxa"/>
            <w:vAlign w:val="bottom"/>
          </w:tcPr>
          <w:p>
            <w:pPr>
              <w:spacing w:after="0"/>
              <w:rPr>
                <w:sz w:val="24"/>
                <w:szCs w:val="24"/>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4)</w:t>
            </w:r>
          </w:p>
        </w:tc>
        <w:tc>
          <w:tcPr>
            <w:tcW w:w="5900" w:type="dxa"/>
            <w:vAlign w:val="bottom"/>
          </w:tcPr>
          <w:p>
            <w:pPr>
              <w:ind w:left="160"/>
              <w:spacing w:after="0"/>
              <w:rPr>
                <w:sz w:val="20"/>
                <w:szCs w:val="20"/>
                <w:color w:val="auto"/>
              </w:rPr>
            </w:pPr>
            <w:r>
              <w:rPr>
                <w:rFonts w:ascii="Courier New" w:cs="Courier New" w:eastAsia="Courier New" w:hAnsi="Courier New"/>
                <w:sz w:val="18"/>
                <w:szCs w:val="18"/>
                <w:color w:val="auto"/>
              </w:rPr>
              <w:t>CITIZENSHIP OR PLACE OF ORGANIZATION</w:t>
            </w:r>
          </w:p>
        </w:tc>
        <w:tc>
          <w:tcPr>
            <w:tcW w:w="1420" w:type="dxa"/>
            <w:vAlign w:val="bottom"/>
          </w:tcPr>
          <w:p>
            <w:pPr>
              <w:spacing w:after="0"/>
              <w:rPr>
                <w:sz w:val="24"/>
                <w:szCs w:val="24"/>
                <w:color w:val="auto"/>
              </w:rPr>
            </w:pPr>
          </w:p>
        </w:tc>
      </w:tr>
      <w:tr>
        <w:trPr>
          <w:trHeight w:val="202"/>
        </w:trPr>
        <w:tc>
          <w:tcPr>
            <w:tcW w:w="380" w:type="dxa"/>
            <w:vAlign w:val="bottom"/>
          </w:tcPr>
          <w:p>
            <w:pPr>
              <w:spacing w:after="0"/>
              <w:rPr>
                <w:sz w:val="17"/>
                <w:szCs w:val="17"/>
                <w:color w:val="auto"/>
              </w:rPr>
            </w:pPr>
          </w:p>
        </w:tc>
        <w:tc>
          <w:tcPr>
            <w:tcW w:w="5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Delaware</w:t>
            </w:r>
          </w:p>
        </w:tc>
        <w:tc>
          <w:tcPr>
            <w:tcW w:w="1420" w:type="dxa"/>
            <w:vAlign w:val="bottom"/>
          </w:tcPr>
          <w:p>
            <w:pPr>
              <w:spacing w:after="0"/>
              <w:rPr>
                <w:sz w:val="17"/>
                <w:szCs w:val="17"/>
                <w:color w:val="auto"/>
              </w:rPr>
            </w:pP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640" w:right="7819" w:hanging="632"/>
        <w:spacing w:after="0" w:line="235" w:lineRule="auto"/>
        <w:tabs>
          <w:tab w:leader="none" w:pos="5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328,077</w:t>
      </w:r>
    </w:p>
    <w:p>
      <w:pPr>
        <w:spacing w:after="0" w:line="208" w:lineRule="exact"/>
        <w:rPr>
          <w:rFonts w:ascii="Courier New" w:cs="Courier New" w:eastAsia="Courier New" w:hAnsi="Courier New"/>
          <w:sz w:val="18"/>
          <w:szCs w:val="18"/>
          <w:color w:val="auto"/>
        </w:rPr>
      </w:pPr>
    </w:p>
    <w:p>
      <w:pPr>
        <w:ind w:left="640" w:right="7599" w:hanging="632"/>
        <w:spacing w:after="0" w:line="235" w:lineRule="auto"/>
        <w:tabs>
          <w:tab w:leader="none" w:pos="5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8" w:lineRule="exact"/>
        <w:rPr>
          <w:rFonts w:ascii="Courier New" w:cs="Courier New" w:eastAsia="Courier New" w:hAnsi="Courier New"/>
          <w:sz w:val="18"/>
          <w:szCs w:val="18"/>
          <w:color w:val="auto"/>
        </w:rPr>
      </w:pPr>
    </w:p>
    <w:p>
      <w:pPr>
        <w:ind w:left="640" w:right="7279" w:hanging="632"/>
        <w:spacing w:after="0" w:line="235" w:lineRule="auto"/>
        <w:tabs>
          <w:tab w:leader="none" w:pos="5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640" w:right="7079" w:hanging="632"/>
        <w:spacing w:after="0" w:line="235" w:lineRule="auto"/>
        <w:tabs>
          <w:tab w:leader="none" w:pos="5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328,077</w:t>
      </w:r>
    </w:p>
    <w:p>
      <w:pPr>
        <w:sectPr>
          <w:pgSz w:w="11900" w:h="16838" w:orient="portrait"/>
          <w:cols w:equalWidth="0" w:num="1">
            <w:col w:w="10139"/>
          </w:cols>
          <w:pgMar w:left="320" w:top="244" w:right="1440" w:bottom="32" w:gutter="0" w:footer="0" w:header="0"/>
        </w:sectPr>
      </w:pPr>
    </w:p>
    <w:bookmarkStart w:id="1" w:name="page2"/>
    <w:bookmarkEnd w:id="1"/>
    <w:p>
      <w:pPr>
        <w:ind w:left="640" w:right="327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328,077</w:t>
      </w:r>
    </w:p>
    <w:p>
      <w:pPr>
        <w:spacing w:after="0" w:line="208" w:lineRule="exact"/>
        <w:rPr>
          <w:rFonts w:ascii="Courier New" w:cs="Courier New" w:eastAsia="Courier New" w:hAnsi="Courier New"/>
          <w:sz w:val="18"/>
          <w:szCs w:val="18"/>
          <w:color w:val="auto"/>
        </w:rPr>
      </w:pPr>
    </w:p>
    <w:p>
      <w:pPr>
        <w:ind w:left="640" w:right="2239" w:hanging="632"/>
        <w:spacing w:after="0" w:line="235"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2,500</w:t>
      </w:r>
    </w:p>
    <w:p>
      <w:pPr>
        <w:spacing w:after="0" w:line="208" w:lineRule="exact"/>
        <w:rPr>
          <w:rFonts w:ascii="Courier New" w:cs="Courier New" w:eastAsia="Courier New" w:hAnsi="Courier New"/>
          <w:sz w:val="18"/>
          <w:szCs w:val="18"/>
          <w:color w:val="auto"/>
        </w:rPr>
      </w:pPr>
    </w:p>
    <w:p>
      <w:pPr>
        <w:ind w:left="640" w:right="4559" w:hanging="632"/>
        <w:spacing w:after="0" w:line="235"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2.15</w:t>
      </w:r>
    </w:p>
    <w:p>
      <w:pPr>
        <w:spacing w:after="0" w:line="208" w:lineRule="exact"/>
        <w:rPr>
          <w:rFonts w:ascii="Courier New" w:cs="Courier New" w:eastAsia="Courier New" w:hAnsi="Courier New"/>
          <w:sz w:val="18"/>
          <w:szCs w:val="18"/>
          <w:color w:val="auto"/>
        </w:rPr>
      </w:pPr>
    </w:p>
    <w:p>
      <w:pPr>
        <w:ind w:left="640" w:right="6859" w:hanging="632"/>
        <w:spacing w:after="0" w:line="708"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gridSpan w:val="3"/>
          </w:tcPr>
          <w:p>
            <w:pPr>
              <w:spacing w:after="0"/>
              <w:rPr>
                <w:sz w:val="20"/>
                <w:szCs w:val="20"/>
                <w:color w:val="auto"/>
              </w:rPr>
            </w:pPr>
            <w:r>
              <w:rPr>
                <w:rFonts w:ascii="Courier New" w:cs="Courier New" w:eastAsia="Courier New" w:hAnsi="Courier New"/>
                <w:sz w:val="18"/>
                <w:szCs w:val="18"/>
                <w:color w:val="auto"/>
                <w:w w:val="99"/>
              </w:rPr>
              <w:t>CUSIP No. 629305103</w:t>
            </w:r>
          </w:p>
        </w:tc>
        <w:tc>
          <w:tcPr>
            <w:tcW w:w="3160" w:type="dxa"/>
            <w:vAlign w:val="bottom"/>
          </w:tcPr>
          <w:p>
            <w:pPr>
              <w:ind w:left="1520"/>
              <w:spacing w:after="0"/>
              <w:rPr>
                <w:sz w:val="20"/>
                <w:szCs w:val="20"/>
                <w:color w:val="auto"/>
              </w:rPr>
            </w:pPr>
            <w:r>
              <w:rPr>
                <w:rFonts w:ascii="Courier New" w:cs="Courier New" w:eastAsia="Courier New" w:hAnsi="Courier New"/>
                <w:sz w:val="18"/>
                <w:szCs w:val="18"/>
                <w:color w:val="auto"/>
              </w:rPr>
              <w:t>13G</w:t>
            </w:r>
          </w:p>
        </w:tc>
        <w:tc>
          <w:tcPr>
            <w:tcW w:w="1940" w:type="dxa"/>
            <w:vAlign w:val="bottom"/>
          </w:tcPr>
          <w:p>
            <w:pPr>
              <w:ind w:left="160"/>
              <w:spacing w:after="0"/>
              <w:rPr>
                <w:sz w:val="20"/>
                <w:szCs w:val="20"/>
                <w:color w:val="auto"/>
              </w:rPr>
            </w:pPr>
            <w:r>
              <w:rPr>
                <w:rFonts w:ascii="Courier New" w:cs="Courier New" w:eastAsia="Courier New" w:hAnsi="Courier New"/>
                <w:sz w:val="18"/>
                <w:szCs w:val="18"/>
                <w:color w:val="auto"/>
                <w:w w:val="95"/>
              </w:rPr>
              <w:t>Page 3 of 5 Pages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3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Name of Issuer:</w:t>
            </w:r>
          </w:p>
        </w:tc>
        <w:tc>
          <w:tcPr>
            <w:tcW w:w="194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NN Ball &amp; Roller, Inc.</w:t>
            </w:r>
          </w:p>
        </w:tc>
        <w:tc>
          <w:tcPr>
            <w:tcW w:w="194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57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800 Tennessee Rd. Erwin, TN 37650</w:t>
            </w:r>
          </w:p>
        </w:tc>
        <w:tc>
          <w:tcPr>
            <w:tcW w:w="194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8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Name of Person Filing:</w:t>
            </w:r>
          </w:p>
        </w:tc>
        <w:tc>
          <w:tcPr>
            <w:tcW w:w="194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Neuberger Berman Inc.</w:t>
            </w:r>
          </w:p>
        </w:tc>
        <w:tc>
          <w:tcPr>
            <w:tcW w:w="194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Neuberger Berman, LLC.</w:t>
            </w:r>
          </w:p>
        </w:tc>
        <w:tc>
          <w:tcPr>
            <w:tcW w:w="194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57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605 Third Ave., New York, NY, 10158-3698</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38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Citizenship:</w:t>
            </w:r>
          </w:p>
        </w:tc>
        <w:tc>
          <w:tcPr>
            <w:tcW w:w="194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USA</w:t>
            </w:r>
          </w:p>
        </w:tc>
        <w:tc>
          <w:tcPr>
            <w:tcW w:w="31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(d)</w:t>
            </w:r>
          </w:p>
        </w:tc>
        <w:tc>
          <w:tcPr>
            <w:tcW w:w="38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Title of Class of Securities:</w:t>
            </w:r>
          </w:p>
        </w:tc>
        <w:tc>
          <w:tcPr>
            <w:tcW w:w="194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Common</w:t>
            </w:r>
          </w:p>
        </w:tc>
        <w:tc>
          <w:tcPr>
            <w:tcW w:w="194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(e)</w:t>
            </w:r>
          </w:p>
        </w:tc>
        <w:tc>
          <w:tcPr>
            <w:tcW w:w="38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CUSIP Number:</w:t>
            </w:r>
          </w:p>
        </w:tc>
        <w:tc>
          <w:tcPr>
            <w:tcW w:w="194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629305103</w:t>
            </w:r>
          </w:p>
        </w:tc>
        <w:tc>
          <w:tcPr>
            <w:tcW w:w="1940" w:type="dxa"/>
            <w:vAlign w:val="bottom"/>
          </w:tcPr>
          <w:p>
            <w:pPr>
              <w:spacing w:after="0"/>
              <w:rPr>
                <w:sz w:val="24"/>
                <w:szCs w:val="24"/>
                <w:color w:val="auto"/>
              </w:rPr>
            </w:pPr>
          </w:p>
        </w:tc>
      </w:tr>
      <w:tr>
        <w:trPr>
          <w:trHeight w:val="405"/>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Item 3. (g)</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/X/</w:t>
            </w:r>
          </w:p>
        </w:tc>
        <w:tc>
          <w:tcPr>
            <w:tcW w:w="51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Parent holding company, in accordance with</w:t>
            </w:r>
          </w:p>
        </w:tc>
      </w:tr>
      <w:tr>
        <w:trPr>
          <w:trHeight w:val="202"/>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240.13d-1 (b)(ii)(G)</w:t>
            </w:r>
          </w:p>
        </w:tc>
        <w:tc>
          <w:tcPr>
            <w:tcW w:w="1940" w:type="dxa"/>
            <w:vAlign w:val="bottom"/>
          </w:tcPr>
          <w:p>
            <w:pPr>
              <w:spacing w:after="0"/>
              <w:rPr>
                <w:sz w:val="17"/>
                <w:szCs w:val="17"/>
                <w:color w:val="auto"/>
              </w:rPr>
            </w:pPr>
          </w:p>
        </w:tc>
      </w:tr>
      <w:tr>
        <w:trPr>
          <w:trHeight w:val="608"/>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580" w:type="dxa"/>
            <w:vAlign w:val="bottom"/>
          </w:tcPr>
          <w:p>
            <w:pPr>
              <w:spacing w:after="0"/>
              <w:rPr>
                <w:sz w:val="24"/>
                <w:szCs w:val="24"/>
                <w:color w:val="auto"/>
              </w:rPr>
            </w:pPr>
          </w:p>
        </w:tc>
        <w:tc>
          <w:tcPr>
            <w:tcW w:w="38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Ownership:</w:t>
            </w:r>
          </w:p>
        </w:tc>
        <w:tc>
          <w:tcPr>
            <w:tcW w:w="194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8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Amount Beneficially Owned:</w:t>
            </w:r>
          </w:p>
        </w:tc>
        <w:tc>
          <w:tcPr>
            <w:tcW w:w="194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328,077</w:t>
            </w:r>
          </w:p>
        </w:tc>
        <w:tc>
          <w:tcPr>
            <w:tcW w:w="194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38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Percent of Class:</w:t>
            </w:r>
          </w:p>
        </w:tc>
        <w:tc>
          <w:tcPr>
            <w:tcW w:w="194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2.15</w:t>
            </w:r>
          </w:p>
        </w:tc>
        <w:tc>
          <w:tcPr>
            <w:tcW w:w="31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05"/>
        </w:trPr>
        <w:tc>
          <w:tcPr>
            <w:tcW w:w="2060" w:type="dxa"/>
            <w:vAlign w:val="bottom"/>
            <w:gridSpan w:val="3"/>
          </w:tcPr>
          <w:p>
            <w:pPr>
              <w:spacing w:after="0"/>
              <w:rPr>
                <w:sz w:val="20"/>
                <w:szCs w:val="20"/>
                <w:color w:val="auto"/>
              </w:rPr>
            </w:pPr>
            <w:r>
              <w:rPr>
                <w:rFonts w:ascii="Courier New" w:cs="Courier New" w:eastAsia="Courier New" w:hAnsi="Courier New"/>
                <w:sz w:val="18"/>
                <w:szCs w:val="18"/>
                <w:color w:val="auto"/>
                <w:w w:val="99"/>
              </w:rPr>
              <w:t>CUSIP No. 629305103</w:t>
            </w:r>
          </w:p>
        </w:tc>
        <w:tc>
          <w:tcPr>
            <w:tcW w:w="3160" w:type="dxa"/>
            <w:vAlign w:val="bottom"/>
          </w:tcPr>
          <w:p>
            <w:pPr>
              <w:ind w:left="1520"/>
              <w:spacing w:after="0"/>
              <w:rPr>
                <w:sz w:val="20"/>
                <w:szCs w:val="20"/>
                <w:color w:val="auto"/>
              </w:rPr>
            </w:pPr>
            <w:r>
              <w:rPr>
                <w:rFonts w:ascii="Courier New" w:cs="Courier New" w:eastAsia="Courier New" w:hAnsi="Courier New"/>
                <w:sz w:val="18"/>
                <w:szCs w:val="18"/>
                <w:color w:val="auto"/>
              </w:rPr>
              <w:t>13G</w:t>
            </w:r>
          </w:p>
        </w:tc>
        <w:tc>
          <w:tcPr>
            <w:tcW w:w="1940" w:type="dxa"/>
            <w:vAlign w:val="bottom"/>
          </w:tcPr>
          <w:p>
            <w:pPr>
              <w:ind w:left="160"/>
              <w:spacing w:after="0"/>
              <w:rPr>
                <w:sz w:val="20"/>
                <w:szCs w:val="20"/>
                <w:color w:val="auto"/>
              </w:rPr>
            </w:pPr>
            <w:r>
              <w:rPr>
                <w:rFonts w:ascii="Courier New" w:cs="Courier New" w:eastAsia="Courier New" w:hAnsi="Courier New"/>
                <w:sz w:val="18"/>
                <w:szCs w:val="18"/>
                <w:color w:val="auto"/>
                <w:w w:val="95"/>
              </w:rPr>
              <w:t>Page 4 of 5 Pages</w:t>
            </w:r>
          </w:p>
        </w:tc>
      </w:tr>
    </w:tbl>
    <w:p>
      <w:pPr>
        <w:spacing w:after="0" w:line="201" w:lineRule="exact"/>
        <w:rPr>
          <w:sz w:val="20"/>
          <w:szCs w:val="20"/>
          <w:color w:val="auto"/>
        </w:rPr>
      </w:pPr>
    </w:p>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800" w:right="4659" w:hanging="739"/>
        <w:spacing w:after="0" w:line="235" w:lineRule="auto"/>
        <w:tabs>
          <w:tab w:leader="none" w:pos="18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328,077</w:t>
      </w:r>
    </w:p>
    <w:p>
      <w:pPr>
        <w:spacing w:after="0" w:line="208" w:lineRule="exact"/>
        <w:rPr>
          <w:sz w:val="20"/>
          <w:szCs w:val="20"/>
          <w:color w:val="auto"/>
        </w:rPr>
      </w:pPr>
    </w:p>
    <w:p>
      <w:pPr>
        <w:ind w:left="1800" w:right="4439" w:hanging="739"/>
        <w:spacing w:after="0" w:line="235" w:lineRule="auto"/>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8" w:lineRule="exact"/>
        <w:rPr>
          <w:sz w:val="20"/>
          <w:szCs w:val="20"/>
          <w:color w:val="auto"/>
        </w:rPr>
      </w:pPr>
    </w:p>
    <w:p>
      <w:pPr>
        <w:ind w:left="1800" w:right="3079" w:hanging="739"/>
        <w:spacing w:after="0" w:line="235" w:lineRule="auto"/>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ind w:left="1060"/>
              <w:spacing w:after="0"/>
              <w:rPr>
                <w:sz w:val="20"/>
                <w:szCs w:val="20"/>
                <w:color w:val="auto"/>
              </w:rPr>
            </w:pPr>
            <w:r>
              <w:rPr>
                <w:rFonts w:ascii="Courier New" w:cs="Courier New" w:eastAsia="Courier New" w:hAnsi="Courier New"/>
                <w:sz w:val="18"/>
                <w:szCs w:val="18"/>
                <w:color w:val="auto"/>
              </w:rPr>
              <w:t>(IV)</w:t>
            </w:r>
          </w:p>
        </w:tc>
        <w:tc>
          <w:tcPr>
            <w:tcW w:w="4100" w:type="dxa"/>
            <w:vAlign w:val="bottom"/>
          </w:tcPr>
          <w:p>
            <w:pPr>
              <w:ind w:left="260"/>
              <w:spacing w:after="0"/>
              <w:rPr>
                <w:sz w:val="20"/>
                <w:szCs w:val="20"/>
                <w:color w:val="auto"/>
              </w:rPr>
            </w:pPr>
            <w:r>
              <w:rPr>
                <w:rFonts w:ascii="Courier New" w:cs="Courier New" w:eastAsia="Courier New" w:hAnsi="Courier New"/>
                <w:sz w:val="18"/>
                <w:szCs w:val="18"/>
                <w:color w:val="auto"/>
                <w:w w:val="98"/>
              </w:rPr>
              <w:t>Shared Power to dispose or to direct</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disposition</w:t>
            </w:r>
          </w:p>
        </w:tc>
      </w:tr>
      <w:tr>
        <w:trPr>
          <w:trHeight w:val="203"/>
        </w:trPr>
        <w:tc>
          <w:tcPr>
            <w:tcW w:w="1540" w:type="dxa"/>
            <w:vAlign w:val="bottom"/>
          </w:tcPr>
          <w:p>
            <w:pPr>
              <w:spacing w:after="0"/>
              <w:rPr>
                <w:sz w:val="17"/>
                <w:szCs w:val="17"/>
                <w:color w:val="auto"/>
              </w:rPr>
            </w:pPr>
          </w:p>
        </w:tc>
        <w:tc>
          <w:tcPr>
            <w:tcW w:w="4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328,077</w:t>
            </w: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608"/>
        </w:trPr>
        <w:tc>
          <w:tcPr>
            <w:tcW w:w="154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100" w:type="dxa"/>
            <w:vAlign w:val="bottom"/>
          </w:tcPr>
          <w:p>
            <w:pPr>
              <w:ind w:left="40"/>
              <w:spacing w:after="0"/>
              <w:rPr>
                <w:sz w:val="20"/>
                <w:szCs w:val="20"/>
                <w:color w:val="auto"/>
              </w:rPr>
            </w:pPr>
            <w:r>
              <w:rPr>
                <w:rFonts w:ascii="Courier New" w:cs="Courier New" w:eastAsia="Courier New" w:hAnsi="Courier New"/>
                <w:sz w:val="18"/>
                <w:szCs w:val="18"/>
                <w:color w:val="auto"/>
                <w:w w:val="98"/>
              </w:rPr>
              <w:t>Ownership of Five Percent or Less of a</w:t>
            </w:r>
          </w:p>
        </w:tc>
        <w:tc>
          <w:tcPr>
            <w:tcW w:w="2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w:t>
            </w:r>
          </w:p>
        </w:tc>
      </w:tr>
      <w:tr>
        <w:trPr>
          <w:trHeight w:val="202"/>
        </w:trPr>
        <w:tc>
          <w:tcPr>
            <w:tcW w:w="1540" w:type="dxa"/>
            <w:vAlign w:val="bottom"/>
          </w:tcPr>
          <w:p>
            <w:pPr>
              <w:spacing w:after="0"/>
              <w:rPr>
                <w:sz w:val="17"/>
                <w:szCs w:val="17"/>
                <w:color w:val="auto"/>
              </w:rPr>
            </w:pPr>
          </w:p>
        </w:tc>
        <w:tc>
          <w:tcPr>
            <w:tcW w:w="6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7"/>
              </w:rPr>
              <w:t>This statement is being filed to report the fact, that as of</w:t>
            </w:r>
          </w:p>
        </w:tc>
      </w:tr>
      <w:tr>
        <w:trPr>
          <w:trHeight w:val="203"/>
        </w:trPr>
        <w:tc>
          <w:tcPr>
            <w:tcW w:w="1540" w:type="dxa"/>
            <w:vAlign w:val="bottom"/>
          </w:tcPr>
          <w:p>
            <w:pPr>
              <w:spacing w:after="0"/>
              <w:rPr>
                <w:sz w:val="17"/>
                <w:szCs w:val="17"/>
                <w:color w:val="auto"/>
              </w:rPr>
            </w:pPr>
          </w:p>
        </w:tc>
        <w:tc>
          <w:tcPr>
            <w:tcW w:w="4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the date hereof, Neuberger Berman, LLC</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ceased to be the</w:t>
            </w:r>
          </w:p>
        </w:tc>
      </w:tr>
      <w:tr>
        <w:trPr>
          <w:trHeight w:val="203"/>
        </w:trPr>
        <w:tc>
          <w:tcPr>
            <w:tcW w:w="1540" w:type="dxa"/>
            <w:vAlign w:val="bottom"/>
          </w:tcPr>
          <w:p>
            <w:pPr>
              <w:spacing w:after="0"/>
              <w:rPr>
                <w:sz w:val="17"/>
                <w:szCs w:val="17"/>
                <w:color w:val="auto"/>
              </w:rPr>
            </w:pPr>
          </w:p>
        </w:tc>
        <w:tc>
          <w:tcPr>
            <w:tcW w:w="4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beneficial owner of more than five percent</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class of</w:t>
            </w:r>
          </w:p>
        </w:tc>
      </w:tr>
      <w:tr>
        <w:trPr>
          <w:trHeight w:val="203"/>
        </w:trPr>
        <w:tc>
          <w:tcPr>
            <w:tcW w:w="1540" w:type="dxa"/>
            <w:vAlign w:val="bottom"/>
          </w:tcPr>
          <w:p>
            <w:pPr>
              <w:spacing w:after="0"/>
              <w:rPr>
                <w:sz w:val="17"/>
                <w:szCs w:val="17"/>
                <w:color w:val="auto"/>
              </w:rPr>
            </w:pPr>
          </w:p>
        </w:tc>
        <w:tc>
          <w:tcPr>
            <w:tcW w:w="4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securities.</w:t>
            </w: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Ownership of More than Five Percent on</w:t>
            </w:r>
          </w:p>
        </w:tc>
        <w:tc>
          <w:tcPr>
            <w:tcW w:w="2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Behalf of Another:</w:t>
            </w:r>
          </w:p>
        </w:tc>
      </w:tr>
    </w:tbl>
    <w:p>
      <w:pPr>
        <w:sectPr>
          <w:pgSz w:w="11900" w:h="16838" w:orient="portrait"/>
          <w:cols w:equalWidth="0" w:num="1">
            <w:col w:w="10139"/>
          </w:cols>
          <w:pgMar w:left="320" w:top="142" w:right="1440" w:bottom="0" w:gutter="0" w:footer="0" w:header="0"/>
        </w:sectPr>
      </w:pPr>
    </w:p>
    <w:bookmarkStart w:id="2" w:name="page3"/>
    <w:bookmarkEnd w:id="2"/>
    <w:p>
      <w:pPr>
        <w:ind w:right="2239"/>
        <w:spacing w:after="0" w:line="237" w:lineRule="auto"/>
        <w:rPr>
          <w:sz w:val="20"/>
          <w:szCs w:val="20"/>
          <w:color w:val="auto"/>
        </w:rPr>
      </w:pPr>
      <w:r>
        <w:rPr>
          <w:rFonts w:ascii="Courier New" w:cs="Courier New" w:eastAsia="Courier New" w:hAnsi="Courier New"/>
          <w:sz w:val="18"/>
          <w:szCs w:val="18"/>
          <w:color w:val="auto"/>
        </w:rPr>
        <w:t>Neuberger Berman, LLC is deemed to be a beneficial owner for purpose of Rule 13(d) since it has shared power to make decisions whether to retain or dispose of, and in some cases the sole power to vote, the securities of many unrelated clients. Neuberger Berman, LLC does not, however, have any economic interest in the securities of those clients. The clients are the actual owners of the securities and have the sole right to receive and the power to direct the receipt of dividends from or proceeds from the sale of such securities.</w:t>
      </w:r>
    </w:p>
    <w:p>
      <w:pPr>
        <w:spacing w:after="0" w:line="212" w:lineRule="exact"/>
        <w:rPr>
          <w:sz w:val="20"/>
          <w:szCs w:val="20"/>
          <w:color w:val="auto"/>
        </w:rPr>
      </w:pPr>
    </w:p>
    <w:p>
      <w:pPr>
        <w:ind w:right="2239"/>
        <w:spacing w:after="0" w:line="272" w:lineRule="auto"/>
        <w:rPr>
          <w:sz w:val="20"/>
          <w:szCs w:val="20"/>
          <w:color w:val="auto"/>
        </w:rPr>
      </w:pPr>
      <w:r>
        <w:rPr>
          <w:rFonts w:ascii="Courier New" w:cs="Courier New" w:eastAsia="Courier New" w:hAnsi="Courier New"/>
          <w:sz w:val="16"/>
          <w:szCs w:val="16"/>
          <w:color w:val="auto"/>
        </w:rPr>
        <w:t>Employee(s) of Neuberger Berman, LLC and Neuberger Berman Management, Inc. ("Employees")own 2,500 shares. Employee(s) own these shares in their own personal securities accounts. Neuberger Berman LLC disclaims beneficial ownership of these shares since; these shares were purchased with each employee(s)' personal funds and each employee has exclusive dispositive and voting power over the shares held in their respective accounts.</w:t>
      </w:r>
    </w:p>
    <w:p>
      <w:pPr>
        <w:spacing w:after="0" w:line="200" w:lineRule="exact"/>
        <w:rPr>
          <w:sz w:val="20"/>
          <w:szCs w:val="20"/>
          <w:color w:val="auto"/>
        </w:rPr>
      </w:pPr>
    </w:p>
    <w:p>
      <w:pPr>
        <w:spacing w:after="0" w:line="390"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No other Neuberger Berman, LLC advisory client has an interest of more than 5% of the issuer.</w:t>
      </w:r>
    </w:p>
    <w:p>
      <w:pPr>
        <w:spacing w:after="0" w:line="208" w:lineRule="exact"/>
        <w:rPr>
          <w:sz w:val="20"/>
          <w:szCs w:val="20"/>
          <w:color w:val="auto"/>
        </w:rPr>
      </w:pPr>
    </w:p>
    <w:p>
      <w:pPr>
        <w:ind w:right="2339"/>
        <w:spacing w:after="0" w:line="237" w:lineRule="auto"/>
        <w:rPr>
          <w:sz w:val="20"/>
          <w:szCs w:val="20"/>
          <w:color w:val="auto"/>
        </w:rPr>
      </w:pPr>
      <w:r>
        <w:rPr>
          <w:rFonts w:ascii="Courier New" w:cs="Courier New" w:eastAsia="Courier New" w:hAnsi="Courier New"/>
          <w:sz w:val="18"/>
          <w:szCs w:val="18"/>
          <w:color w:val="auto"/>
        </w:rPr>
        <w:t>It should be further noted that the share calculation under item 4.(c)(IV) is derived from a total combination of the shares set forth under Item 4.(c)(I and II). The remaining balance of shares, if any, are for individual client accounts over which Neuberger Berman, LLC has shared power to dispose but not vote shares.</w:t>
      </w:r>
    </w:p>
    <w:p>
      <w:pPr>
        <w:spacing w:after="0"/>
        <w:tabs>
          <w:tab w:leader="none" w:pos="3560" w:val="left"/>
          <w:tab w:leader="none" w:pos="536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ectPr>
          <w:pgSz w:w="11900" w:h="16838" w:orient="portrait"/>
          <w:cols w:equalWidth="0" w:num="1">
            <w:col w:w="10139"/>
          </w:cols>
          <w:pgMar w:left="320" w:top="547" w:right="1440" w:bottom="949"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1080" w:space="720"/>
            <w:col w:w="8339"/>
          </w:cols>
          <w:pgMar w:left="320" w:top="547" w:right="1440" w:bottom="949" w:gutter="0" w:footer="0" w:header="0"/>
          <w:type w:val="continuous"/>
        </w:sectPr>
      </w:pPr>
    </w:p>
    <w:p>
      <w:pPr>
        <w:spacing w:after="0" w:line="8"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Neuberger Berman, Inc. makes this filing pursuant to Rule</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13d-1(b)(ii)(G) since it owns 100% of both Neuberger</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Berman, LLC and Neuberger Berman Management, Inc. and does</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own over 1% of the issuer.</w:t>
      </w:r>
    </w:p>
    <w:p>
      <w:pPr>
        <w:ind w:left="1700"/>
        <w:spacing w:after="0" w:line="238" w:lineRule="auto"/>
        <w:rPr>
          <w:sz w:val="20"/>
          <w:szCs w:val="20"/>
          <w:color w:val="auto"/>
        </w:rPr>
      </w:pPr>
      <w:r>
        <w:rPr>
          <w:rFonts w:ascii="Courier New" w:cs="Courier New" w:eastAsia="Courier New" w:hAnsi="Courier New"/>
          <w:sz w:val="18"/>
          <w:szCs w:val="18"/>
          <w:color w:val="auto"/>
        </w:rPr>
        <w:t>Neuberger Berman, LLC, as investment advisor and</w:t>
      </w:r>
    </w:p>
    <w:p>
      <w:pPr>
        <w:ind w:left="1700"/>
        <w:spacing w:after="0" w:line="238" w:lineRule="auto"/>
        <w:rPr>
          <w:sz w:val="20"/>
          <w:szCs w:val="20"/>
          <w:color w:val="auto"/>
        </w:rPr>
      </w:pPr>
      <w:r>
        <w:rPr>
          <w:rFonts w:ascii="Courier New" w:cs="Courier New" w:eastAsia="Courier New" w:hAnsi="Courier New"/>
          <w:sz w:val="18"/>
          <w:szCs w:val="18"/>
          <w:color w:val="auto"/>
        </w:rPr>
        <w:t>broker/dealer with discretion.</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Neuberger Berman Management, Inc. as investment advisor to</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 Series of Public Mutual Funds.</w:t>
      </w:r>
    </w:p>
    <w:p>
      <w:pPr>
        <w:sectPr>
          <w:pgSz w:w="11900" w:h="16838" w:orient="portrait"/>
          <w:cols w:equalWidth="0" w:num="1">
            <w:col w:w="10139"/>
          </w:cols>
          <w:pgMar w:left="320" w:top="547" w:right="1440" w:bottom="949"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080" w:space="720"/>
            <w:col w:w="8339"/>
          </w:cols>
          <w:pgMar w:left="320" w:top="547" w:right="1440" w:bottom="949" w:gutter="0" w:footer="0" w:header="0"/>
          <w:type w:val="continuous"/>
        </w:sectPr>
      </w:pPr>
    </w:p>
    <w:p>
      <w:pPr>
        <w:spacing w:after="0" w:line="2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139"/>
          </w:cols>
          <w:pgMar w:left="320" w:top="547" w:right="1440" w:bottom="949"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080" w:space="720"/>
            <w:col w:w="8339"/>
          </w:cols>
          <w:pgMar w:left="320" w:top="547" w:right="1440" w:bottom="949" w:gutter="0" w:footer="0" w:header="0"/>
          <w:type w:val="continuous"/>
        </w:sectPr>
      </w:pPr>
    </w:p>
    <w:p>
      <w:pPr>
        <w:spacing w:after="0" w:line="2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139"/>
          </w:cols>
          <w:pgMar w:left="320" w:top="547" w:right="1440" w:bottom="949"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1080" w:space="720"/>
            <w:col w:w="8339"/>
          </w:cols>
          <w:pgMar w:left="320" w:top="547" w:right="1440" w:bottom="949" w:gutter="0" w:footer="0" w:header="0"/>
          <w:type w:val="continuous"/>
        </w:sectPr>
      </w:pPr>
    </w:p>
    <w:p>
      <w:pPr>
        <w:spacing w:after="0" w:line="24" w:lineRule="exact"/>
        <w:rPr>
          <w:sz w:val="20"/>
          <w:szCs w:val="20"/>
          <w:color w:val="auto"/>
        </w:rPr>
      </w:pPr>
    </w:p>
    <w:p>
      <w:pPr>
        <w:ind w:right="223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28, 2000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540"/>
        <w:spacing w:after="0" w:line="238" w:lineRule="auto"/>
        <w:rPr>
          <w:sz w:val="20"/>
          <w:szCs w:val="20"/>
          <w:color w:val="auto"/>
        </w:rPr>
      </w:pPr>
      <w:r>
        <w:rPr>
          <w:rFonts w:ascii="Courier New" w:cs="Courier New" w:eastAsia="Courier New" w:hAnsi="Courier New"/>
          <w:sz w:val="18"/>
          <w:szCs w:val="18"/>
          <w:color w:val="auto"/>
        </w:rPr>
        <w:t>C. Carl Randolph</w:t>
      </w:r>
    </w:p>
    <w:p>
      <w:pPr>
        <w:ind w:left="540"/>
        <w:spacing w:after="0" w:line="238" w:lineRule="auto"/>
        <w:rPr>
          <w:sz w:val="20"/>
          <w:szCs w:val="20"/>
          <w:color w:val="auto"/>
        </w:rPr>
      </w:pPr>
      <w:r>
        <w:rPr>
          <w:rFonts w:ascii="Courier New" w:cs="Courier New" w:eastAsia="Courier New" w:hAnsi="Courier New"/>
          <w:sz w:val="18"/>
          <w:szCs w:val="18"/>
          <w:color w:val="auto"/>
        </w:rPr>
        <w:t>Senior Vice President/General Counsel and Secretary</w:t>
      </w:r>
    </w:p>
    <w:p>
      <w:pPr>
        <w:ind w:left="540"/>
        <w:spacing w:after="0"/>
        <w:rPr>
          <w:sz w:val="20"/>
          <w:szCs w:val="20"/>
          <w:color w:val="auto"/>
        </w:rPr>
      </w:pPr>
      <w:r>
        <w:rPr>
          <w:rFonts w:ascii="Courier New" w:cs="Courier New" w:eastAsia="Courier New" w:hAnsi="Courier New"/>
          <w:sz w:val="18"/>
          <w:szCs w:val="18"/>
          <w:color w:val="auto"/>
        </w:rPr>
        <w:t>Neuberger Berman, Inc.</w:t>
      </w:r>
    </w:p>
    <w:p>
      <w:pPr>
        <w:ind w:left="540"/>
        <w:spacing w:after="0" w:line="237" w:lineRule="auto"/>
        <w:rPr>
          <w:sz w:val="20"/>
          <w:szCs w:val="20"/>
          <w:color w:val="auto"/>
        </w:rPr>
      </w:pPr>
      <w:r>
        <w:rPr>
          <w:rFonts w:ascii="Courier New" w:cs="Courier New" w:eastAsia="Courier New" w:hAnsi="Courier New"/>
          <w:sz w:val="18"/>
          <w:szCs w:val="18"/>
          <w:color w:val="auto"/>
        </w:rPr>
        <w:t>Neuberger Berman, LLC.</w:t>
      </w:r>
    </w:p>
    <w:sectPr>
      <w:pgSz w:w="11900" w:h="16838" w:orient="portrait"/>
      <w:cols w:equalWidth="0" w:num="1">
        <w:col w:w="10139"/>
      </w:cols>
      <w:pgMar w:left="320" w:top="547" w:right="1440" w:bottom="94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40"/>
    </w:lvl>
  </w:abstractNum>
  <w:abstractNum w:abstractNumId="1">
    <w:nsid w:val="46E87CCD"/>
    <w:multiLevelType w:val="hybridMultilevel"/>
    <w:lvl w:ilvl="0">
      <w:lvlJc w:val="left"/>
      <w:lvlText w:val="[%1]"/>
      <w:numFmt w:val="upperLetter"/>
      <w:start w:val="24"/>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lowerLetter"/>
      <w:start w:val="3"/>
    </w:lvl>
    <w:lvl w:ilvl="1">
      <w:lvlJc w:val="left"/>
      <w:lvlText w:val="(%2)"/>
      <w:numFmt w:val="upperLetter"/>
      <w:start w:val="9"/>
    </w:lvl>
  </w:abstractNum>
  <w:abstractNum w:abstractNumId="6">
    <w:nsid w:val="79E2A9E3"/>
    <w:multiLevelType w:val="hybridMultilevel"/>
    <w:lvl w:ilvl="0">
      <w:lvlJc w:val="left"/>
      <w:lvlText w:val="(%1)"/>
      <w:numFmt w:val="upperLetter"/>
      <w:start w:val="35"/>
    </w:lvl>
  </w:abstractNum>
  <w:abstractNum w:abstractNumId="7">
    <w:nsid w:val="7545E146"/>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2020-10-07T15:52:22Z</dcterms:created>
  <dcterms:modified xsi:type="dcterms:W3CDTF">2020-10-07T15:52:22Z</dcterms:modified>
</cp:coreProperties>
</file>