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155575</wp:posOffset>
            </wp:positionH>
            <wp:positionV relativeFrom="page">
              <wp:posOffset>421005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0" w:lineRule="exact"/>
        <w:rPr>
          <w:sz w:val="24"/>
          <w:szCs w:val="24"/>
          <w:color w:val="auto"/>
        </w:rPr>
      </w:pPr>
    </w:p>
    <w:p>
      <w:pPr>
        <w:jc w:val="center"/>
        <w:ind w:right="-199"/>
        <w:spacing w:after="0"/>
        <w:rPr>
          <w:sz w:val="20"/>
          <w:szCs w:val="20"/>
          <w:color w:val="auto"/>
        </w:rPr>
      </w:pPr>
      <w:r>
        <w:rPr>
          <w:rFonts w:ascii="Arial" w:cs="Arial" w:eastAsia="Arial" w:hAnsi="Arial"/>
          <w:sz w:val="19"/>
          <w:szCs w:val="19"/>
          <w:b w:val="1"/>
          <w:bCs w:val="1"/>
          <w:color w:val="auto"/>
        </w:rPr>
        <w:t>SECURITIES AND EXCHANGE COMMISSION</w:t>
      </w:r>
    </w:p>
    <w:p>
      <w:pPr>
        <w:spacing w:after="0" w:line="1"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8-K</w:t>
      </w:r>
    </w:p>
    <w:p>
      <w:pPr>
        <w:spacing w:after="0" w:line="267"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CURRENT REPORT</w:t>
      </w:r>
    </w:p>
    <w:p>
      <w:pPr>
        <w:spacing w:after="0" w:line="262"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48"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Date of Report (Date of earliest event reported): September 12,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165735</wp:posOffset>
            </wp:positionV>
            <wp:extent cx="565785" cy="5575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 cy="557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37" w:lineRule="exact"/>
        <w:rPr>
          <w:sz w:val="24"/>
          <w:szCs w:val="24"/>
          <w:color w:val="auto"/>
        </w:rPr>
      </w:pPr>
    </w:p>
    <w:p>
      <w:pPr>
        <w:jc w:val="center"/>
        <w:ind w:right="-199"/>
        <w:spacing w:after="0"/>
        <w:rPr>
          <w:sz w:val="20"/>
          <w:szCs w:val="20"/>
          <w:color w:val="auto"/>
        </w:rPr>
      </w:pPr>
      <w:r>
        <w:rPr>
          <w:rFonts w:ascii="Arial" w:cs="Arial" w:eastAsia="Arial" w:hAnsi="Arial"/>
          <w:sz w:val="22"/>
          <w:szCs w:val="22"/>
          <w:color w:val="auto"/>
        </w:rPr>
        <w:t>(Exact name of registrant as specified in its charter)</w:t>
      </w:r>
    </w:p>
    <w:p>
      <w:pPr>
        <w:spacing w:after="0" w:line="200" w:lineRule="exact"/>
        <w:rPr>
          <w:sz w:val="24"/>
          <w:szCs w:val="24"/>
          <w:color w:val="auto"/>
        </w:rPr>
      </w:pPr>
    </w:p>
    <w:p>
      <w:pPr>
        <w:spacing w:after="0" w:line="279" w:lineRule="exact"/>
        <w:rPr>
          <w:sz w:val="24"/>
          <w:szCs w:val="24"/>
          <w:color w:val="auto"/>
        </w:rPr>
      </w:pPr>
    </w:p>
    <w:tbl>
      <w:tblPr>
        <w:tblLayout w:type="fixed"/>
        <w:tblInd w:w="320" w:type="dxa"/>
        <w:tblCellMar>
          <w:top w:w="0" w:type="dxa"/>
          <w:left w:w="0" w:type="dxa"/>
          <w:bottom w:w="0" w:type="dxa"/>
          <w:right w:w="0" w:type="dxa"/>
        </w:tblCellMar>
      </w:tblPr>
      <w:tr>
        <w:trPr>
          <w:trHeight w:val="220"/>
        </w:trPr>
        <w:tc>
          <w:tcPr>
            <w:tcW w:w="3800" w:type="dxa"/>
            <w:vAlign w:val="bottom"/>
          </w:tcPr>
          <w:p>
            <w:pPr>
              <w:jc w:val="center"/>
              <w:ind w:right="490"/>
              <w:spacing w:after="0"/>
              <w:rPr>
                <w:sz w:val="20"/>
                <w:szCs w:val="20"/>
                <w:color w:val="auto"/>
              </w:rPr>
            </w:pPr>
            <w:r>
              <w:rPr>
                <w:rFonts w:ascii="Arial" w:cs="Arial" w:eastAsia="Arial" w:hAnsi="Arial"/>
                <w:sz w:val="18"/>
                <w:szCs w:val="18"/>
                <w:b w:val="1"/>
                <w:bCs w:val="1"/>
                <w:color w:val="auto"/>
                <w:w w:val="93"/>
              </w:rPr>
              <w:t>Delaware</w:t>
            </w:r>
          </w:p>
        </w:tc>
        <w:tc>
          <w:tcPr>
            <w:tcW w:w="3400" w:type="dxa"/>
            <w:vAlign w:val="bottom"/>
          </w:tcPr>
          <w:p>
            <w:pPr>
              <w:jc w:val="right"/>
              <w:ind w:right="1410"/>
              <w:spacing w:after="0"/>
              <w:rPr>
                <w:sz w:val="20"/>
                <w:szCs w:val="20"/>
                <w:color w:val="auto"/>
              </w:rPr>
            </w:pPr>
            <w:r>
              <w:rPr>
                <w:rFonts w:ascii="Arial" w:cs="Arial" w:eastAsia="Arial" w:hAnsi="Arial"/>
                <w:sz w:val="18"/>
                <w:szCs w:val="18"/>
                <w:b w:val="1"/>
                <w:bCs w:val="1"/>
                <w:color w:val="auto"/>
              </w:rPr>
              <w:t>0-23486</w:t>
            </w:r>
          </w:p>
        </w:tc>
        <w:tc>
          <w:tcPr>
            <w:tcW w:w="3260" w:type="dxa"/>
            <w:vAlign w:val="bottom"/>
          </w:tcPr>
          <w:p>
            <w:pPr>
              <w:jc w:val="right"/>
              <w:ind w:right="710"/>
              <w:spacing w:after="0"/>
              <w:rPr>
                <w:sz w:val="20"/>
                <w:szCs w:val="20"/>
                <w:color w:val="auto"/>
              </w:rPr>
            </w:pPr>
            <w:r>
              <w:rPr>
                <w:rFonts w:ascii="Arial" w:cs="Arial" w:eastAsia="Arial" w:hAnsi="Arial"/>
                <w:sz w:val="18"/>
                <w:szCs w:val="18"/>
                <w:b w:val="1"/>
                <w:bCs w:val="1"/>
                <w:color w:val="auto"/>
              </w:rPr>
              <w:t>62-1096725</w:t>
            </w:r>
          </w:p>
        </w:tc>
        <w:tc>
          <w:tcPr>
            <w:tcW w:w="0" w:type="dxa"/>
            <w:vAlign w:val="bottom"/>
          </w:tcPr>
          <w:p>
            <w:pPr>
              <w:spacing w:after="0"/>
              <w:rPr>
                <w:sz w:val="1"/>
                <w:szCs w:val="1"/>
                <w:color w:val="auto"/>
              </w:rPr>
            </w:pPr>
          </w:p>
        </w:tc>
      </w:tr>
      <w:tr>
        <w:trPr>
          <w:trHeight w:val="230"/>
        </w:trPr>
        <w:tc>
          <w:tcPr>
            <w:tcW w:w="3800" w:type="dxa"/>
            <w:vAlign w:val="bottom"/>
          </w:tcPr>
          <w:p>
            <w:pPr>
              <w:jc w:val="center"/>
              <w:ind w:right="550"/>
              <w:spacing w:after="0"/>
              <w:rPr>
                <w:sz w:val="20"/>
                <w:szCs w:val="20"/>
                <w:color w:val="auto"/>
              </w:rPr>
            </w:pPr>
            <w:r>
              <w:rPr>
                <w:rFonts w:ascii="Arial" w:cs="Arial" w:eastAsia="Arial" w:hAnsi="Arial"/>
                <w:sz w:val="18"/>
                <w:szCs w:val="18"/>
                <w:color w:val="auto"/>
                <w:w w:val="92"/>
              </w:rPr>
              <w:t>(State or other jurisdiction of incorporation)</w:t>
            </w:r>
          </w:p>
        </w:tc>
        <w:tc>
          <w:tcPr>
            <w:tcW w:w="3400" w:type="dxa"/>
            <w:vAlign w:val="bottom"/>
          </w:tcPr>
          <w:p>
            <w:pPr>
              <w:jc w:val="center"/>
              <w:ind w:right="90"/>
              <w:spacing w:after="0"/>
              <w:rPr>
                <w:sz w:val="20"/>
                <w:szCs w:val="20"/>
                <w:color w:val="auto"/>
              </w:rPr>
            </w:pPr>
            <w:r>
              <w:rPr>
                <w:rFonts w:ascii="Arial" w:cs="Arial" w:eastAsia="Arial" w:hAnsi="Arial"/>
                <w:sz w:val="18"/>
                <w:szCs w:val="18"/>
                <w:color w:val="auto"/>
                <w:w w:val="92"/>
              </w:rPr>
              <w:t>(Commission File Number)</w:t>
            </w:r>
          </w:p>
        </w:tc>
        <w:tc>
          <w:tcPr>
            <w:tcW w:w="3260" w:type="dxa"/>
            <w:vAlign w:val="bottom"/>
          </w:tcPr>
          <w:p>
            <w:pPr>
              <w:jc w:val="center"/>
              <w:ind w:left="690"/>
              <w:spacing w:after="0"/>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418"/>
        </w:trPr>
        <w:tc>
          <w:tcPr>
            <w:tcW w:w="3800" w:type="dxa"/>
            <w:vAlign w:val="bottom"/>
          </w:tcPr>
          <w:p>
            <w:pPr>
              <w:jc w:val="center"/>
              <w:ind w:right="490"/>
              <w:spacing w:after="0"/>
              <w:rPr>
                <w:sz w:val="20"/>
                <w:szCs w:val="20"/>
                <w:color w:val="auto"/>
              </w:rPr>
            </w:pPr>
            <w:r>
              <w:rPr>
                <w:rFonts w:ascii="Arial" w:cs="Arial" w:eastAsia="Arial" w:hAnsi="Arial"/>
                <w:sz w:val="18"/>
                <w:szCs w:val="18"/>
                <w:b w:val="1"/>
                <w:bCs w:val="1"/>
                <w:color w:val="auto"/>
                <w:w w:val="91"/>
              </w:rPr>
              <w:t>2000 Waters Edge Drive</w:t>
            </w:r>
          </w:p>
        </w:tc>
        <w:tc>
          <w:tcPr>
            <w:tcW w:w="3400" w:type="dxa"/>
            <w:vAlign w:val="bottom"/>
          </w:tcPr>
          <w:p>
            <w:pPr>
              <w:spacing w:after="0"/>
              <w:rPr>
                <w:sz w:val="24"/>
                <w:szCs w:val="24"/>
                <w:color w:val="auto"/>
              </w:rPr>
            </w:pPr>
          </w:p>
        </w:tc>
        <w:tc>
          <w:tcPr>
            <w:tcW w:w="3260" w:type="dxa"/>
            <w:vAlign w:val="bottom"/>
            <w:vMerge w:val="restart"/>
          </w:tcPr>
          <w:p>
            <w:pPr>
              <w:jc w:val="right"/>
              <w:ind w:right="930"/>
              <w:spacing w:after="0"/>
              <w:rPr>
                <w:sz w:val="20"/>
                <w:szCs w:val="20"/>
                <w:color w:val="auto"/>
              </w:rPr>
            </w:pPr>
            <w:r>
              <w:rPr>
                <w:rFonts w:ascii="Arial" w:cs="Arial" w:eastAsia="Arial" w:hAnsi="Arial"/>
                <w:sz w:val="18"/>
                <w:szCs w:val="18"/>
                <w:b w:val="1"/>
                <w:bCs w:val="1"/>
                <w:color w:val="auto"/>
              </w:rPr>
              <w:t>37604</w:t>
            </w:r>
          </w:p>
        </w:tc>
        <w:tc>
          <w:tcPr>
            <w:tcW w:w="0" w:type="dxa"/>
            <w:vAlign w:val="bottom"/>
          </w:tcPr>
          <w:p>
            <w:pPr>
              <w:spacing w:after="0"/>
              <w:rPr>
                <w:sz w:val="1"/>
                <w:szCs w:val="1"/>
                <w:color w:val="auto"/>
              </w:rPr>
            </w:pPr>
          </w:p>
        </w:tc>
      </w:tr>
      <w:tr>
        <w:trPr>
          <w:trHeight w:val="216"/>
        </w:trPr>
        <w:tc>
          <w:tcPr>
            <w:tcW w:w="3800" w:type="dxa"/>
            <w:vAlign w:val="bottom"/>
          </w:tcPr>
          <w:p>
            <w:pPr>
              <w:jc w:val="center"/>
              <w:ind w:right="530"/>
              <w:spacing w:after="0"/>
              <w:rPr>
                <w:sz w:val="20"/>
                <w:szCs w:val="20"/>
                <w:color w:val="auto"/>
              </w:rPr>
            </w:pPr>
            <w:r>
              <w:rPr>
                <w:rFonts w:ascii="Arial" w:cs="Arial" w:eastAsia="Arial" w:hAnsi="Arial"/>
                <w:sz w:val="18"/>
                <w:szCs w:val="18"/>
                <w:b w:val="1"/>
                <w:bCs w:val="1"/>
                <w:color w:val="auto"/>
                <w:w w:val="83"/>
              </w:rPr>
              <w:t>Johnson City, Tennessee</w:t>
            </w:r>
          </w:p>
        </w:tc>
        <w:tc>
          <w:tcPr>
            <w:tcW w:w="3400" w:type="dxa"/>
            <w:vAlign w:val="bottom"/>
          </w:tcPr>
          <w:p>
            <w:pPr>
              <w:spacing w:after="0"/>
              <w:rPr>
                <w:sz w:val="18"/>
                <w:szCs w:val="18"/>
                <w:color w:val="auto"/>
              </w:rPr>
            </w:pPr>
          </w:p>
        </w:tc>
        <w:tc>
          <w:tcPr>
            <w:tcW w:w="3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0" w:type="dxa"/>
            <w:vAlign w:val="bottom"/>
          </w:tcPr>
          <w:p>
            <w:pPr>
              <w:jc w:val="center"/>
              <w:ind w:right="490"/>
              <w:spacing w:after="0"/>
              <w:rPr>
                <w:sz w:val="20"/>
                <w:szCs w:val="20"/>
                <w:color w:val="auto"/>
              </w:rPr>
            </w:pPr>
            <w:r>
              <w:rPr>
                <w:rFonts w:ascii="Arial" w:cs="Arial" w:eastAsia="Arial" w:hAnsi="Arial"/>
                <w:sz w:val="18"/>
                <w:szCs w:val="18"/>
                <w:color w:val="auto"/>
                <w:w w:val="92"/>
              </w:rPr>
              <w:t>(Address of principal executive offices)</w:t>
            </w:r>
          </w:p>
        </w:tc>
        <w:tc>
          <w:tcPr>
            <w:tcW w:w="3400" w:type="dxa"/>
            <w:vAlign w:val="bottom"/>
          </w:tcPr>
          <w:p>
            <w:pPr>
              <w:spacing w:after="0"/>
              <w:rPr>
                <w:sz w:val="20"/>
                <w:szCs w:val="20"/>
                <w:color w:val="auto"/>
              </w:rPr>
            </w:pPr>
          </w:p>
        </w:tc>
        <w:tc>
          <w:tcPr>
            <w:tcW w:w="3260" w:type="dxa"/>
            <w:vAlign w:val="bottom"/>
          </w:tcPr>
          <w:p>
            <w:pPr>
              <w:jc w:val="center"/>
              <w:ind w:left="690"/>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bl>
    <w:p>
      <w:pPr>
        <w:spacing w:after="0" w:line="216"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Registrant's telephone number, including area code: (423)743-9151</w:t>
      </w:r>
    </w:p>
    <w:p>
      <w:pPr>
        <w:spacing w:after="0" w:line="239" w:lineRule="exact"/>
        <w:rPr>
          <w:sz w:val="24"/>
          <w:szCs w:val="24"/>
          <w:color w:val="auto"/>
        </w:rPr>
      </w:pPr>
    </w:p>
    <w:p>
      <w:pPr>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obligation of the registrant under any of the following provisions:</w:t>
      </w:r>
    </w:p>
    <w:p>
      <w:pPr>
        <w:spacing w:after="0" w:line="200" w:lineRule="exact"/>
        <w:rPr>
          <w:sz w:val="24"/>
          <w:szCs w:val="24"/>
          <w:color w:val="auto"/>
        </w:rPr>
      </w:pPr>
    </w:p>
    <w:p>
      <w:pPr>
        <w:ind w:left="220" w:hanging="212"/>
        <w:spacing w:after="0"/>
        <w:tabs>
          <w:tab w:leader="none" w:pos="22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(17CFT 230.425)</w:t>
      </w:r>
    </w:p>
    <w:p>
      <w:pPr>
        <w:spacing w:after="0" w:line="233" w:lineRule="exact"/>
        <w:rPr>
          <w:rFonts w:ascii="Arial" w:cs="Arial" w:eastAsia="Arial" w:hAnsi="Arial"/>
          <w:sz w:val="22"/>
          <w:szCs w:val="22"/>
          <w:color w:val="auto"/>
        </w:rPr>
      </w:pPr>
    </w:p>
    <w:p>
      <w:pPr>
        <w:ind w:left="220" w:hanging="212"/>
        <w:spacing w:after="0"/>
        <w:tabs>
          <w:tab w:leader="none" w:pos="22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(17CFT 240.14a-12)</w:t>
      </w:r>
    </w:p>
    <w:p>
      <w:pPr>
        <w:spacing w:after="0" w:line="233" w:lineRule="exact"/>
        <w:rPr>
          <w:rFonts w:ascii="Arial" w:cs="Arial" w:eastAsia="Arial" w:hAnsi="Arial"/>
          <w:sz w:val="22"/>
          <w:szCs w:val="22"/>
          <w:color w:val="auto"/>
        </w:rPr>
      </w:pPr>
    </w:p>
    <w:p>
      <w:pPr>
        <w:ind w:left="220" w:hanging="212"/>
        <w:spacing w:after="0"/>
        <w:tabs>
          <w:tab w:leader="none" w:pos="22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Pre-commencement communications pursuant to Rule 14d-2(b) under the Exchange Act (17CFT 240.14d-2(b))</w:t>
      </w:r>
    </w:p>
    <w:p>
      <w:pPr>
        <w:spacing w:after="0" w:line="233" w:lineRule="exact"/>
        <w:rPr>
          <w:rFonts w:ascii="Arial" w:cs="Arial" w:eastAsia="Arial" w:hAnsi="Arial"/>
          <w:sz w:val="22"/>
          <w:szCs w:val="22"/>
          <w:color w:val="auto"/>
        </w:rPr>
      </w:pPr>
    </w:p>
    <w:p>
      <w:pPr>
        <w:ind w:left="220" w:hanging="212"/>
        <w:spacing w:after="0"/>
        <w:tabs>
          <w:tab w:leader="none" w:pos="22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Pre-commencement communications pursuant to Rule 13c-4(c) under the Exchange Act (17CFT 240.13c-4(c))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236855</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716915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786" w:right="41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8.01 OTHER EVENTS</w:t>
      </w:r>
    </w:p>
    <w:p>
      <w:pPr>
        <w:spacing w:after="0" w:line="246"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NN, Inc. (Nasdaq: NNBR) today announced that its Board of Directors has authorized a new share repurchase program. The current $25 million share repurchase program was initiated on September 13, 2007 and will expire on September 13, 2008. The Company has purchased approximately $7.6 million worth of its common shares in open market transactions under the existing $25 million program.</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680" w:type="dxa"/>
            <w:vAlign w:val="bottom"/>
            <w:gridSpan w:val="2"/>
          </w:tcPr>
          <w:p>
            <w:pPr>
              <w:spacing w:after="0"/>
              <w:rPr>
                <w:sz w:val="20"/>
                <w:szCs w:val="20"/>
                <w:color w:val="auto"/>
              </w:rPr>
            </w:pPr>
            <w:r>
              <w:rPr>
                <w:rFonts w:ascii="Arial" w:cs="Arial" w:eastAsia="Arial" w:hAnsi="Arial"/>
                <w:sz w:val="22"/>
                <w:szCs w:val="22"/>
                <w:color w:val="auto"/>
              </w:rPr>
              <w:t>Exhibit:</w:t>
            </w:r>
          </w:p>
        </w:tc>
        <w:tc>
          <w:tcPr>
            <w:tcW w:w="1920" w:type="dxa"/>
            <w:vAlign w:val="bottom"/>
          </w:tcPr>
          <w:p>
            <w:pPr>
              <w:spacing w:after="0"/>
              <w:rPr>
                <w:sz w:val="23"/>
                <w:szCs w:val="23"/>
                <w:color w:val="auto"/>
              </w:rPr>
            </w:pPr>
          </w:p>
        </w:tc>
        <w:tc>
          <w:tcPr>
            <w:tcW w:w="7820" w:type="dxa"/>
            <w:vAlign w:val="bottom"/>
          </w:tcPr>
          <w:p>
            <w:pPr>
              <w:spacing w:after="0"/>
              <w:rPr>
                <w:sz w:val="23"/>
                <w:szCs w:val="23"/>
                <w:color w:val="auto"/>
              </w:rPr>
            </w:pPr>
          </w:p>
        </w:tc>
      </w:tr>
      <w:tr>
        <w:trPr>
          <w:trHeight w:val="436"/>
        </w:trPr>
        <w:tc>
          <w:tcPr>
            <w:tcW w:w="1680" w:type="dxa"/>
            <w:vAlign w:val="bottom"/>
            <w:gridSpan w:val="2"/>
          </w:tcPr>
          <w:p>
            <w:pPr>
              <w:spacing w:after="0"/>
              <w:rPr>
                <w:sz w:val="20"/>
                <w:szCs w:val="20"/>
                <w:color w:val="auto"/>
              </w:rPr>
            </w:pPr>
            <w:r>
              <w:rPr>
                <w:rFonts w:ascii="Arial" w:cs="Arial" w:eastAsia="Arial" w:hAnsi="Arial"/>
                <w:sz w:val="22"/>
                <w:szCs w:val="22"/>
                <w:color w:val="auto"/>
              </w:rPr>
              <w:t>Exhibit Number</w:t>
            </w:r>
          </w:p>
        </w:tc>
        <w:tc>
          <w:tcPr>
            <w:tcW w:w="9740" w:type="dxa"/>
            <w:vAlign w:val="bottom"/>
            <w:gridSpan w:val="2"/>
          </w:tcPr>
          <w:p>
            <w:pPr>
              <w:spacing w:after="0"/>
              <w:rPr>
                <w:sz w:val="20"/>
                <w:szCs w:val="20"/>
                <w:color w:val="auto"/>
              </w:rPr>
            </w:pPr>
            <w:r>
              <w:rPr>
                <w:rFonts w:ascii="Arial" w:cs="Arial" w:eastAsia="Arial" w:hAnsi="Arial"/>
                <w:sz w:val="22"/>
                <w:szCs w:val="22"/>
                <w:color w:val="auto"/>
              </w:rPr>
              <w:t>Description of Exhibit</w:t>
            </w:r>
          </w:p>
        </w:tc>
      </w:tr>
      <w:tr>
        <w:trPr>
          <w:trHeight w:val="20"/>
        </w:trPr>
        <w:tc>
          <w:tcPr>
            <w:tcW w:w="1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r>
      <w:tr>
        <w:trPr>
          <w:trHeight w:val="274"/>
        </w:trPr>
        <w:tc>
          <w:tcPr>
            <w:tcW w:w="1400" w:type="dxa"/>
            <w:vAlign w:val="bottom"/>
          </w:tcPr>
          <w:p>
            <w:pPr>
              <w:spacing w:after="0"/>
              <w:rPr>
                <w:sz w:val="20"/>
                <w:szCs w:val="20"/>
                <w:color w:val="auto"/>
              </w:rPr>
            </w:pPr>
            <w:r>
              <w:rPr>
                <w:rFonts w:ascii="Arial" w:cs="Arial" w:eastAsia="Arial" w:hAnsi="Arial"/>
                <w:sz w:val="22"/>
                <w:szCs w:val="22"/>
                <w:color w:val="auto"/>
              </w:rPr>
              <w:t>99.1</w:t>
            </w:r>
          </w:p>
        </w:tc>
        <w:tc>
          <w:tcPr>
            <w:tcW w:w="280" w:type="dxa"/>
            <w:vAlign w:val="bottom"/>
          </w:tcPr>
          <w:p>
            <w:pPr>
              <w:spacing w:after="0"/>
              <w:rPr>
                <w:sz w:val="23"/>
                <w:szCs w:val="23"/>
                <w:color w:val="auto"/>
              </w:rPr>
            </w:pPr>
          </w:p>
        </w:tc>
        <w:tc>
          <w:tcPr>
            <w:tcW w:w="9740" w:type="dxa"/>
            <w:vAlign w:val="bottom"/>
            <w:gridSpan w:val="2"/>
          </w:tcPr>
          <w:p>
            <w:pPr>
              <w:ind w:left="60"/>
              <w:spacing w:after="0"/>
              <w:rPr>
                <w:sz w:val="20"/>
                <w:szCs w:val="20"/>
                <w:color w:val="auto"/>
              </w:rPr>
            </w:pPr>
            <w:r>
              <w:rPr>
                <w:rFonts w:ascii="Arial" w:cs="Arial" w:eastAsia="Arial" w:hAnsi="Arial"/>
                <w:sz w:val="22"/>
                <w:szCs w:val="22"/>
                <w:color w:val="auto"/>
              </w:rPr>
              <w:t>Press Release of NN, Inc. dated September 12, 2008.</w:t>
            </w:r>
          </w:p>
        </w:tc>
      </w:tr>
      <w:tr>
        <w:trPr>
          <w:trHeight w:val="1567"/>
        </w:trPr>
        <w:tc>
          <w:tcPr>
            <w:tcW w:w="14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920" w:type="dxa"/>
            <w:vAlign w:val="bottom"/>
            <w:tcBorders>
              <w:bottom w:val="single" w:sz="8" w:color="808080"/>
            </w:tcBorders>
          </w:tcPr>
          <w:p>
            <w:pPr>
              <w:spacing w:after="0"/>
              <w:rPr>
                <w:sz w:val="24"/>
                <w:szCs w:val="24"/>
                <w:color w:val="auto"/>
              </w:rPr>
            </w:pPr>
          </w:p>
        </w:tc>
        <w:tc>
          <w:tcPr>
            <w:tcW w:w="78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22"/>
          <w:szCs w:val="22"/>
          <w:color w:val="auto"/>
        </w:rPr>
        <w:t>SIGNATURES</w:t>
      </w:r>
    </w:p>
    <w:p>
      <w:pPr>
        <w:spacing w:after="0" w:line="233"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September 12, 2008</w:t>
      </w:r>
      <w:r>
        <w:rPr>
          <w:sz w:val="20"/>
          <w:szCs w:val="20"/>
          <w:color w:val="auto"/>
        </w:rPr>
        <w:tab/>
      </w:r>
      <w:r>
        <w:rPr>
          <w:rFonts w:ascii="Arial" w:cs="Arial" w:eastAsia="Arial" w:hAnsi="Arial"/>
          <w:sz w:val="17"/>
          <w:szCs w:val="17"/>
          <w:color w:val="auto"/>
        </w:rPr>
        <w:t>By: /s/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 William C. Kelly, Jr.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 Vice President and Chief Administrative</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160"/>
          </w:cols>
          <w:pgMar w:left="240" w:top="361" w:right="499" w:bottom="1440" w:gutter="0" w:footer="0" w:header="0"/>
        </w:sectPr>
      </w:pPr>
    </w:p>
    <w:bookmarkStart w:id="3" w:name="page4"/>
    <w:bookmarkEnd w:id="3"/>
    <w:p>
      <w:pPr>
        <w:ind w:left="400" w:hanging="284"/>
        <w:spacing w:after="0"/>
        <w:tabs>
          <w:tab w:leader="none" w:pos="40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5208905</wp:posOffset>
            </wp:positionH>
            <wp:positionV relativeFrom="page">
              <wp:posOffset>243205</wp:posOffset>
            </wp:positionV>
            <wp:extent cx="2195195" cy="6089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2195195" cy="608965"/>
                    </a:xfrm>
                    <a:prstGeom prst="rect">
                      <a:avLst/>
                    </a:prstGeom>
                    <a:noFill/>
                  </pic:spPr>
                </pic:pic>
              </a:graphicData>
            </a:graphic>
          </wp:anchor>
        </w:drawing>
        <w:t>F I N A N C I A L</w:t>
      </w:r>
    </w:p>
    <w:p>
      <w:pPr>
        <w:spacing w:after="0" w:line="14" w:lineRule="exact"/>
        <w:rPr>
          <w:rFonts w:ascii="Arial" w:cs="Arial" w:eastAsia="Arial" w:hAnsi="Arial"/>
          <w:sz w:val="22"/>
          <w:szCs w:val="22"/>
          <w:b w:val="1"/>
          <w:bCs w:val="1"/>
          <w:color w:val="auto"/>
        </w:rPr>
      </w:pPr>
    </w:p>
    <w:p>
      <w:pPr>
        <w:ind w:left="360" w:hanging="244"/>
        <w:spacing w:after="0" w:line="235" w:lineRule="auto"/>
        <w:tabs>
          <w:tab w:leader="none" w:pos="36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RELATIONS BOARD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Value Added Communications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gridSpan w:val="2"/>
          </w:tcPr>
          <w:p>
            <w:pPr>
              <w:spacing w:after="0"/>
              <w:rPr>
                <w:sz w:val="20"/>
                <w:szCs w:val="20"/>
                <w:color w:val="auto"/>
              </w:rPr>
            </w:pPr>
            <w:r>
              <w:rPr>
                <w:rFonts w:ascii="Arial" w:cs="Arial" w:eastAsia="Arial" w:hAnsi="Arial"/>
                <w:sz w:val="18"/>
                <w:szCs w:val="18"/>
                <w:color w:val="auto"/>
              </w:rPr>
              <w:t>FOR FURTHER INFORMATION:</w:t>
            </w:r>
          </w:p>
        </w:tc>
        <w:tc>
          <w:tcPr>
            <w:tcW w:w="1140" w:type="dxa"/>
            <w:vAlign w:val="bottom"/>
          </w:tcPr>
          <w:p>
            <w:pPr>
              <w:spacing w:after="0"/>
              <w:rPr>
                <w:sz w:val="20"/>
                <w:szCs w:val="20"/>
                <w:color w:val="auto"/>
              </w:rPr>
            </w:pPr>
          </w:p>
        </w:tc>
        <w:tc>
          <w:tcPr>
            <w:tcW w:w="3160" w:type="dxa"/>
            <w:vAlign w:val="bottom"/>
          </w:tcPr>
          <w:p>
            <w:pPr>
              <w:spacing w:after="0"/>
              <w:rPr>
                <w:sz w:val="20"/>
                <w:szCs w:val="20"/>
                <w:color w:val="auto"/>
              </w:rPr>
            </w:pPr>
          </w:p>
        </w:tc>
      </w:tr>
      <w:tr>
        <w:trPr>
          <w:trHeight w:val="419"/>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AT THE COMPANY:</w:t>
            </w:r>
          </w:p>
        </w:tc>
        <w:tc>
          <w:tcPr>
            <w:tcW w:w="4300" w:type="dxa"/>
            <w:vAlign w:val="bottom"/>
            <w:gridSpan w:val="2"/>
          </w:tcPr>
          <w:p>
            <w:pPr>
              <w:ind w:left="1140"/>
              <w:spacing w:after="0"/>
              <w:rPr>
                <w:sz w:val="20"/>
                <w:szCs w:val="20"/>
                <w:color w:val="auto"/>
              </w:rPr>
            </w:pPr>
            <w:r>
              <w:rPr>
                <w:rFonts w:ascii="Arial" w:cs="Arial" w:eastAsia="Arial" w:hAnsi="Arial"/>
                <w:sz w:val="18"/>
                <w:szCs w:val="18"/>
                <w:b w:val="1"/>
                <w:bCs w:val="1"/>
                <w:color w:val="auto"/>
              </w:rPr>
              <w:t>AT FINANCIAL RELATIONS BOARD:</w:t>
            </w:r>
          </w:p>
        </w:tc>
      </w:tr>
      <w:tr>
        <w:trPr>
          <w:trHeight w:val="222"/>
        </w:trPr>
        <w:tc>
          <w:tcPr>
            <w:tcW w:w="1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Will Kelly</w:t>
            </w:r>
          </w:p>
        </w:tc>
        <w:tc>
          <w:tcPr>
            <w:tcW w:w="2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Marilynn Meek</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Vice President and Chief Administrative Officer</w:t>
            </w:r>
          </w:p>
        </w:tc>
        <w:tc>
          <w:tcPr>
            <w:tcW w:w="114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(General info)</w:t>
            </w:r>
          </w:p>
        </w:tc>
      </w:tr>
      <w:tr>
        <w:trPr>
          <w:trHeight w:val="230"/>
        </w:trPr>
        <w:tc>
          <w:tcPr>
            <w:tcW w:w="1680" w:type="dxa"/>
            <w:vAlign w:val="bottom"/>
          </w:tcPr>
          <w:p>
            <w:pPr>
              <w:ind w:left="60"/>
              <w:spacing w:after="0"/>
              <w:rPr>
                <w:sz w:val="20"/>
                <w:szCs w:val="20"/>
                <w:color w:val="auto"/>
              </w:rPr>
            </w:pPr>
            <w:r>
              <w:rPr>
                <w:rFonts w:ascii="Arial" w:cs="Arial" w:eastAsia="Arial" w:hAnsi="Arial"/>
                <w:sz w:val="18"/>
                <w:szCs w:val="18"/>
                <w:color w:val="auto"/>
              </w:rPr>
              <w:t>(423) 743-9151</w:t>
            </w:r>
          </w:p>
        </w:tc>
        <w:tc>
          <w:tcPr>
            <w:tcW w:w="2940" w:type="dxa"/>
            <w:vAlign w:val="bottom"/>
          </w:tcPr>
          <w:p>
            <w:pPr>
              <w:spacing w:after="0"/>
              <w:rPr>
                <w:sz w:val="20"/>
                <w:szCs w:val="20"/>
                <w:color w:val="auto"/>
              </w:rPr>
            </w:pPr>
          </w:p>
        </w:tc>
        <w:tc>
          <w:tcPr>
            <w:tcW w:w="4300" w:type="dxa"/>
            <w:vAlign w:val="bottom"/>
            <w:gridSpan w:val="2"/>
          </w:tcPr>
          <w:p>
            <w:pPr>
              <w:ind w:left="1140"/>
              <w:spacing w:after="0"/>
              <w:rPr>
                <w:sz w:val="20"/>
                <w:szCs w:val="20"/>
                <w:color w:val="auto"/>
              </w:rPr>
            </w:pPr>
            <w:r>
              <w:rPr>
                <w:rFonts w:ascii="Arial" w:cs="Arial" w:eastAsia="Arial" w:hAnsi="Arial"/>
                <w:sz w:val="18"/>
                <w:szCs w:val="18"/>
                <w:color w:val="auto"/>
              </w:rPr>
              <w:t>212-827-3773</w:t>
            </w:r>
          </w:p>
        </w:tc>
      </w:tr>
      <w:tr>
        <w:trPr>
          <w:trHeight w:val="688"/>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FOR IMMEDIATE RELEASE</w:t>
            </w:r>
          </w:p>
        </w:tc>
        <w:tc>
          <w:tcPr>
            <w:tcW w:w="114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30"/>
        </w:trPr>
        <w:tc>
          <w:tcPr>
            <w:tcW w:w="4620" w:type="dxa"/>
            <w:vAlign w:val="bottom"/>
            <w:gridSpan w:val="2"/>
          </w:tcPr>
          <w:p>
            <w:pPr>
              <w:spacing w:after="0"/>
              <w:rPr>
                <w:sz w:val="20"/>
                <w:szCs w:val="20"/>
                <w:color w:val="auto"/>
              </w:rPr>
            </w:pPr>
            <w:r>
              <w:rPr>
                <w:rFonts w:ascii="Arial" w:cs="Arial" w:eastAsia="Arial" w:hAnsi="Arial"/>
                <w:sz w:val="18"/>
                <w:szCs w:val="18"/>
                <w:color w:val="auto"/>
              </w:rPr>
              <w:t>September 12, 2008</w:t>
            </w:r>
          </w:p>
        </w:tc>
        <w:tc>
          <w:tcPr>
            <w:tcW w:w="1140" w:type="dxa"/>
            <w:vAlign w:val="bottom"/>
          </w:tcPr>
          <w:p>
            <w:pPr>
              <w:spacing w:after="0"/>
              <w:rPr>
                <w:sz w:val="20"/>
                <w:szCs w:val="20"/>
                <w:color w:val="auto"/>
              </w:rPr>
            </w:pPr>
          </w:p>
        </w:tc>
        <w:tc>
          <w:tcPr>
            <w:tcW w:w="31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NN, INC. ANNOUNCES NEW $20 MILLION SHARE REPURCHASE PROGRAM</w:t>
      </w:r>
    </w:p>
    <w:p>
      <w:pPr>
        <w:spacing w:after="0" w:line="252" w:lineRule="exact"/>
        <w:rPr>
          <w:sz w:val="20"/>
          <w:szCs w:val="20"/>
          <w:color w:val="auto"/>
        </w:rPr>
      </w:pPr>
    </w:p>
    <w:p>
      <w:pPr>
        <w:ind w:right="80"/>
        <w:spacing w:after="0" w:line="314" w:lineRule="auto"/>
        <w:rPr>
          <w:sz w:val="20"/>
          <w:szCs w:val="20"/>
          <w:color w:val="auto"/>
        </w:rPr>
      </w:pPr>
      <w:r>
        <w:rPr>
          <w:rFonts w:ascii="Arial" w:cs="Arial" w:eastAsia="Arial" w:hAnsi="Arial"/>
          <w:sz w:val="16"/>
          <w:szCs w:val="16"/>
          <w:b w:val="1"/>
          <w:bCs w:val="1"/>
          <w:color w:val="auto"/>
        </w:rPr>
        <w:t xml:space="preserve">Johnson City, Tenn, September 12, 2008 </w:t>
      </w:r>
      <w:r>
        <w:rPr>
          <w:rFonts w:ascii="Arial" w:cs="Arial" w:eastAsia="Arial" w:hAnsi="Arial"/>
          <w:sz w:val="16"/>
          <w:szCs w:val="16"/>
          <w:color w:val="auto"/>
        </w:rPr>
        <w:t>– NN, Inc. (Nasdaq: NNBR) today announced that its Board of Directors has authorized a new share repurchase</w:t>
      </w:r>
      <w:r>
        <w:rPr>
          <w:rFonts w:ascii="Arial" w:cs="Arial" w:eastAsia="Arial" w:hAnsi="Arial"/>
          <w:sz w:val="16"/>
          <w:szCs w:val="16"/>
          <w:b w:val="1"/>
          <w:bCs w:val="1"/>
          <w:color w:val="auto"/>
        </w:rPr>
        <w:t xml:space="preserve"> </w:t>
      </w:r>
      <w:r>
        <w:rPr>
          <w:rFonts w:ascii="Arial" w:cs="Arial" w:eastAsia="Arial" w:hAnsi="Arial"/>
          <w:sz w:val="16"/>
          <w:szCs w:val="16"/>
          <w:color w:val="auto"/>
        </w:rPr>
        <w:t>program. The current $25 million share repurchase program was initiated on September 13, 2007 and will expire on September 13, 2008. The Company has purchased approximately $7.6 million worth of its common shares in open market transactions under the existing $25 million program.</w:t>
      </w:r>
    </w:p>
    <w:p>
      <w:pPr>
        <w:spacing w:after="0" w:line="17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new share repurchase program will be in effect for a period of one year beginning on September 15, 2008, and the amount approved for purchase, from this date until the expiration of the program, will be $20 million worth of shares to be purchased in the open market from time to time in accordance with market regulations.</w:t>
      </w:r>
    </w:p>
    <w:p>
      <w:pPr>
        <w:spacing w:after="0" w:line="208"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NN, Inc. manufacturers and supplies high precision metal bearing components, industrial plastic and rubber products and precision metal components to a variety of markets on a global basis. Headquartered in Johnson City, Tennessee, NN has 14 manufacturing plants in the United States, Western Europe, Eastern Europe and China. NN, Inc. had sales of US $421 million in 2007.</w:t>
      </w:r>
    </w:p>
    <w:p>
      <w:pPr>
        <w:spacing w:after="0" w:line="200" w:lineRule="exact"/>
        <w:rPr>
          <w:sz w:val="20"/>
          <w:szCs w:val="20"/>
          <w:color w:val="auto"/>
        </w:rPr>
      </w:pPr>
    </w:p>
    <w:p>
      <w:pPr>
        <w:spacing w:after="0" w:line="251"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the successful implementation of the global growth plan including development of new products and consummation of potential acquisitions and other risk factors and cautionary statements listed from time to time in the Company’s periodic reports filed with the Securities and Exchange Commission, including, but not limited to, the Company’s Annual Report on 10-K for the fiscal year ended December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1007745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4" w:right="25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2019-12-14T03:16:07Z</dcterms:created>
  <dcterms:modified xsi:type="dcterms:W3CDTF">2019-12-14T03:16:07Z</dcterms:modified>
</cp:coreProperties>
</file>