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6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1720"/>
        <w:spacing w:after="0"/>
        <w:rPr>
          <w:sz w:val="20"/>
          <w:szCs w:val="20"/>
          <w:color w:val="auto"/>
        </w:rPr>
      </w:pPr>
      <w:r>
        <w:rPr>
          <w:rFonts w:ascii="Arial" w:cs="Arial" w:eastAsia="Arial" w:hAnsi="Arial"/>
          <w:sz w:val="22"/>
          <w:szCs w:val="22"/>
          <w:b w:val="1"/>
          <w:bCs w:val="1"/>
          <w:color w:val="auto"/>
        </w:rPr>
        <w:t>Date of Report (Date of earliest event reported): November 3, 2016 (November 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422910</wp:posOffset>
            </wp:positionV>
            <wp:extent cx="892175" cy="883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92175" cy="8832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61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20" w:type="dxa"/>
            <w:vAlign w:val="bottom"/>
          </w:tcPr>
          <w:p>
            <w:pPr>
              <w:jc w:val="center"/>
              <w:ind w:right="235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000-23486</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120" w:type="dxa"/>
            <w:vAlign w:val="bottom"/>
          </w:tcPr>
          <w:p>
            <w:pPr>
              <w:jc w:val="center"/>
              <w:ind w:right="23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3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20" w:type="dxa"/>
            <w:vAlign w:val="bottom"/>
          </w:tcPr>
          <w:p>
            <w:pPr>
              <w:jc w:val="center"/>
              <w:ind w:left="1279"/>
              <w:spacing w:after="0"/>
              <w:rPr>
                <w:sz w:val="20"/>
                <w:szCs w:val="20"/>
                <w:color w:val="auto"/>
              </w:rPr>
            </w:pPr>
            <w:r>
              <w:rPr>
                <w:rFonts w:ascii="Arial" w:cs="Arial" w:eastAsia="Arial" w:hAnsi="Arial"/>
                <w:sz w:val="18"/>
                <w:szCs w:val="18"/>
                <w:b w:val="1"/>
                <w:bCs w:val="1"/>
                <w:color w:val="auto"/>
                <w:w w:val="93"/>
              </w:rPr>
              <w:t>207 Mockingbird Lane</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20" w:type="dxa"/>
            <w:vAlign w:val="bottom"/>
          </w:tcPr>
          <w:p>
            <w:pPr>
              <w:jc w:val="center"/>
              <w:ind w:left="1259"/>
              <w:spacing w:after="0"/>
              <w:rPr>
                <w:sz w:val="20"/>
                <w:szCs w:val="20"/>
                <w:color w:val="auto"/>
              </w:rPr>
            </w:pPr>
            <w:r>
              <w:rPr>
                <w:rFonts w:ascii="Arial" w:cs="Arial" w:eastAsia="Arial" w:hAnsi="Arial"/>
                <w:sz w:val="18"/>
                <w:szCs w:val="18"/>
                <w:b w:val="1"/>
                <w:bCs w:val="1"/>
                <w:color w:val="auto"/>
                <w:w w:val="85"/>
              </w:rPr>
              <w:t>Johnson City, Tennessee</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37604</w:t>
            </w:r>
          </w:p>
        </w:tc>
      </w:tr>
      <w:tr>
        <w:trPr>
          <w:trHeight w:val="186"/>
        </w:trPr>
        <w:tc>
          <w:tcPr>
            <w:tcW w:w="4120" w:type="dxa"/>
            <w:vAlign w:val="bottom"/>
          </w:tcPr>
          <w:p>
            <w:pPr>
              <w:jc w:val="center"/>
              <w:ind w:left="12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(423) 434-8310</w:t>
      </w:r>
    </w:p>
    <w:p>
      <w:pPr>
        <w:spacing w:after="0" w:line="21"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21" w:lineRule="exact"/>
        <w:rPr>
          <w:sz w:val="20"/>
          <w:szCs w:val="20"/>
          <w:color w:val="auto"/>
        </w:rPr>
      </w:pPr>
    </w:p>
    <w:p>
      <w:pPr>
        <w:ind w:right="900" w:firstLine="456"/>
        <w:spacing w:after="0" w:line="308" w:lineRule="auto"/>
        <w:rPr>
          <w:sz w:val="20"/>
          <w:szCs w:val="20"/>
          <w:color w:val="auto"/>
        </w:rPr>
      </w:pPr>
      <w:r>
        <w:rPr>
          <w:rFonts w:ascii="Arial" w:cs="Arial" w:eastAsia="Arial" w:hAnsi="Arial"/>
          <w:sz w:val="17"/>
          <w:szCs w:val="17"/>
          <w:color w:val="auto"/>
        </w:rPr>
        <w:t>On November 2, 2016, NN, Inc. (the “Company”) issued a press release announcing the Company’s financial results for the quarter ended September 30, 2016. The full text of the press release is furnished as Exhibit 99.1 and is incorporated herein by reference.</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Pursuant to the rules and regulations of the U.S. Securities and Exchange Commission (the “SEC”), the information furnished pursuant to Item 2.02 of this Current Report on Form 8-K (including Exhibit 99.1)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450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4500" w:type="dxa"/>
            <w:vAlign w:val="bottom"/>
            <w:gridSpan w:val="3"/>
          </w:tcPr>
          <w:p>
            <w:pPr>
              <w:ind w:left="780"/>
              <w:spacing w:after="0"/>
              <w:rPr>
                <w:sz w:val="20"/>
                <w:szCs w:val="20"/>
                <w:color w:val="auto"/>
              </w:rPr>
            </w:pPr>
            <w:r>
              <w:rPr>
                <w:rFonts w:ascii="Arial" w:cs="Arial" w:eastAsia="Arial" w:hAnsi="Arial"/>
                <w:sz w:val="18"/>
                <w:szCs w:val="18"/>
                <w:color w:val="auto"/>
                <w:w w:val="89"/>
              </w:rPr>
              <w:t>Press Release of NN, Inc. dated November 2, 2016.</w:t>
            </w:r>
          </w:p>
        </w:tc>
      </w:tr>
    </w:tbl>
    <w:p>
      <w:pPr>
        <w:sectPr>
          <w:pgSz w:w="11900" w:h="16838" w:orient="portrait"/>
          <w:cols w:equalWidth="0" w:num="1">
            <w:col w:w="11320"/>
          </w:cols>
          <w:pgMar w:left="240" w:top="27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 Heiter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Matthew S. Heiter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20" w:type="dxa"/>
            <w:vAlign w:val="bottom"/>
          </w:tcPr>
          <w:p>
            <w:pPr>
              <w:ind w:left="28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70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5700" w:type="dxa"/>
            <w:vAlign w:val="bottom"/>
            <w:gridSpan w:val="3"/>
          </w:tcPr>
          <w:p>
            <w:pPr>
              <w:ind w:left="780"/>
              <w:spacing w:after="0"/>
              <w:rPr>
                <w:sz w:val="20"/>
                <w:szCs w:val="20"/>
                <w:color w:val="auto"/>
              </w:rPr>
            </w:pPr>
            <w:r>
              <w:rPr>
                <w:rFonts w:ascii="Arial" w:cs="Arial" w:eastAsia="Arial" w:hAnsi="Arial"/>
                <w:sz w:val="18"/>
                <w:szCs w:val="18"/>
                <w:color w:val="auto"/>
              </w:rPr>
              <w:t>Press Release of NN, Inc. dated November 2, 2016.</w:t>
            </w:r>
          </w:p>
        </w:tc>
      </w:tr>
    </w:tbl>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172085</wp:posOffset>
            </wp:positionV>
            <wp:extent cx="1775460" cy="540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75460" cy="5403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711835</wp:posOffset>
            </wp:positionV>
            <wp:extent cx="892175" cy="883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9217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207 Mockingbird Lane</w:t>
      </w:r>
    </w:p>
    <w:p>
      <w:pPr>
        <w:spacing w:after="0" w:line="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Johnson City, TN 37604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Robbie Atkinson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VP, Corporate Treasurer &amp;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(423) 434-8305</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AT ABERNATHY MACGREGOR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Caitlin Petrakis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200" w:lineRule="exact"/>
        <w:rPr>
          <w:sz w:val="20"/>
          <w:szCs w:val="20"/>
          <w:color w:val="auto"/>
        </w:rPr>
      </w:pPr>
    </w:p>
    <w:p>
      <w:pPr>
        <w:sectPr>
          <w:pgSz w:w="11900" w:h="16838" w:orient="portrait"/>
          <w:cols w:equalWidth="0" w:num="2">
            <w:col w:w="4200" w:space="720"/>
            <w:col w:w="6500"/>
          </w:cols>
          <w:pgMar w:left="240" w:top="121"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November 2, 2016</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NN, INC. REPORTS THIRD QUARTER 2016 RESULTS</w:t>
      </w:r>
    </w:p>
    <w:p>
      <w:pPr>
        <w:sectPr>
          <w:pgSz w:w="11900" w:h="16838" w:orient="portrait"/>
          <w:cols w:equalWidth="0" w:num="1">
            <w:col w:w="11420"/>
          </w:cols>
          <w:pgMar w:left="240" w:top="121" w:right="239" w:bottom="1440" w:gutter="0" w:footer="0" w:header="0"/>
          <w:type w:val="continuous"/>
        </w:sectPr>
      </w:pPr>
    </w:p>
    <w:p>
      <w:pPr>
        <w:spacing w:after="0" w:line="23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Johnson City, Tenn, November 2, 2016 –</w:t>
      </w:r>
      <w:r>
        <w:rPr>
          <w:rFonts w:ascii="Arial" w:cs="Arial" w:eastAsia="Arial" w:hAnsi="Arial"/>
          <w:sz w:val="18"/>
          <w:szCs w:val="18"/>
          <w:color w:val="auto"/>
        </w:rPr>
        <w:t>NN, Inc., (NASDAQ: NNBR), a diversified industrial company, today reported its financial results for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September 30,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Results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sales for the third quarter of 2016 increased $50.2 million, or 32.4% to $205.0 million, compared to $154.8 million for the third quarter of 2015. Acquisitions, net of divestitures added $55.2 million in revenue. Sales in the legacy business were negatively impacted by $5.0 million due to weakness in the industrial end market.</w:t>
      </w:r>
    </w:p>
    <w:p>
      <w:pPr>
        <w:spacing w:after="0" w:line="1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On a GAAP basis, income from operations for the third quarter of 2016 was $18.7 million, compared to $10.1 million for the same period in 2015. Net income on a GAAP basis for third quarter of 2016 was $4.1 million, or $0.15 per diluted share. This compares to net income of $4.6 million, or $0.17 per diluted share in the third quarter of 2015.</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a GAAP basis, income from operations for third quarter 2016 in the Autocam Precision Components Group was $8.5 million compared to $10.9 million for the same period in 2015.</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a GAAP basis, income from operations for third quarter 2016 in the Precision Bearing Components Group was $5.8 million compared to $6.6 million for the same period in 2015.</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a GAAP basis, income from operations for third quarter 2016 in the Precision Engineered Products Group was $9.9 million compared to $0.6 million for the same period in 2015.</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Third Quarter 2016 Results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Adjusted income from operations for the third quarter of 2016 was $25.7 million, an increase of 58%, compared to $16.3 million for the same period in 2015.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Adjusted net income was $10.3 million, or $0.38 per diluted share, compared to $9.5 million, or $0.35 per diluted share for the same period in 2015.</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Richard Holder, President and Chief Executive Officer, commented, “We continue to drive solid operating performance and margin expansion aided by the</w:t>
      </w:r>
    </w:p>
    <w:p>
      <w:pPr>
        <w:spacing w:after="0" w:line="46" w:lineRule="exact"/>
        <w:rPr>
          <w:sz w:val="20"/>
          <w:szCs w:val="20"/>
          <w:color w:val="auto"/>
        </w:rPr>
      </w:pPr>
    </w:p>
    <w:p>
      <w:pPr>
        <w:jc w:val="both"/>
        <w:ind w:right="180" w:firstLine="8"/>
        <w:spacing w:after="0" w:line="255" w:lineRule="auto"/>
        <w:tabs>
          <w:tab w:leader="none" w:pos="305"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System despite ongoing weakness in the industrial market. Our focus throughout 2016 has been to optimize our business operations to lay a solid foundation for future long term growth, and our continuing margin improvement is evidence of the power of our diversified portfolio and the benefits derived from strong operating discipline.”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Group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Autocam Precision Components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for the third quarter of 2016 were $80.5 million, compared to $83.2 million in the third quarter of 2015, a decrease of $2.7 million. Weakness in the industrial end market primarily accounted for the decline. Adjusted income from operations for the quarter declined $2.2 million to $9.6 million, compared to $11.8 million in the third quarter of 2015.</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Holder commented, “While the challenging industrial market continued to affect the APC Group in the third quarter, our focus on maximizing operations produced positive flex productivity and the group performed admirably despite market weakness.”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Precision Bearing Components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sales for the third quarter of 2016 were $58.2 million, compared to $60.5 million in the third quarter of 2015, a decrease of $2.3 million. Soft industrial market demand accounted for the decline. Adjusted income from operations for the third quarter was $5.9 million, compared to $6.7 million in the third quarter of 2015.</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Mr. Holder commented, “The PBC team continues to achieve operating improvements driven by the NN Operating System, with margins flexing in line with expectations despite the ongoing industrial market challenges.”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Precision Engineered Products</w:t>
      </w:r>
    </w:p>
    <w:p>
      <w:pPr>
        <w:spacing w:after="0" w:line="121"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Net sales for the third quarter of 2016 were $66.2 million, compared to $11.0 million in the third quarter of 2015, an increase of $55.2 million. The acquisition of PEP, net of divestitures accounted for $55.2 million of the increase. Adjusted income from operations for the quarter was $15.2 million, compared to $0.7 million in 2015.</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Mr. Holder commented, “We are pleased with the performance of our PEP group. Our integration efforts are on track, and we continue to see the benefits of the execution of the NN Operating System.”</w:t>
      </w:r>
    </w:p>
    <w:p>
      <w:pPr>
        <w:sectPr>
          <w:pgSz w:w="11900" w:h="16838" w:orient="portrait"/>
          <w:cols w:equalWidth="0" w:num="1">
            <w:col w:w="11360"/>
          </w:cols>
          <w:pgMar w:left="240" w:top="270" w:right="299" w:bottom="1440" w:gutter="0" w:footer="0" w:header="0"/>
        </w:sectPr>
      </w:pPr>
    </w:p>
    <w:bookmarkStart w:id="6" w:name="page7"/>
    <w:bookmarkEnd w:id="6"/>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Holder concluded, “Our results this quarter continue to support our strategic priorities of strong free cash flow generation and paying down debt. We believe our focus on driving continuous operating improvements and flex productivity across our balanced portfolio will produce solid performance into the future and offset continued industrial weakness.”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The full set of financial guidance for the fourth quarter and full year 2016, as well as full year 2017 can be found in our supplemental presentation posted in the Investor Relations section of our website at </w:t>
      </w:r>
      <w:r>
        <w:rPr>
          <w:rFonts w:ascii="Arial" w:cs="Arial" w:eastAsia="Arial" w:hAnsi="Arial"/>
          <w:sz w:val="18"/>
          <w:szCs w:val="18"/>
          <w:u w:val="single" w:color="auto"/>
          <w:color w:val="auto"/>
        </w:rPr>
        <w:t>www.nninc.com</w:t>
      </w:r>
      <w:r>
        <w:rPr>
          <w:rFonts w:ascii="Arial" w:cs="Arial" w:eastAsia="Arial" w:hAnsi="Arial"/>
          <w:sz w:val="18"/>
          <w:szCs w:val="18"/>
          <w:color w:val="auto"/>
        </w:rPr>
        <w:t>.</w:t>
      </w:r>
    </w:p>
    <w:p>
      <w:pPr>
        <w:spacing w:after="0" w:line="170" w:lineRule="exact"/>
        <w:rPr>
          <w:sz w:val="20"/>
          <w:szCs w:val="20"/>
          <w:color w:val="auto"/>
        </w:rPr>
      </w:pPr>
    </w:p>
    <w:p>
      <w:pPr>
        <w:ind w:right="300" w:firstLine="8"/>
        <w:spacing w:after="0" w:line="312" w:lineRule="auto"/>
        <w:tabs>
          <w:tab w:leader="none" w:pos="30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will discuss its results during its quarterly investor conference call tomorrow morning starting at 9:00 a.m. ET. The call and supplemental presentation may be accessed via NN’s website, </w:t>
      </w:r>
      <w:r>
        <w:rPr>
          <w:rFonts w:ascii="Arial" w:cs="Arial" w:eastAsia="Arial" w:hAnsi="Arial"/>
          <w:sz w:val="16"/>
          <w:szCs w:val="16"/>
          <w:u w:val="single" w:color="auto"/>
          <w:color w:val="auto"/>
        </w:rPr>
        <w:t>www.nninc.com</w:t>
      </w:r>
      <w:r>
        <w:rPr>
          <w:rFonts w:ascii="Arial" w:cs="Arial" w:eastAsia="Arial" w:hAnsi="Arial"/>
          <w:sz w:val="16"/>
          <w:szCs w:val="16"/>
          <w:color w:val="auto"/>
        </w:rPr>
        <w:t>. The conference call can also be accessed by dialing 888-297-0353 or 719-325-2159 Conference ID: 7773200. For those who are unavailable to listen to the live broadcast, a replay will be available shortly after the call for 90 days.</w:t>
      </w:r>
    </w:p>
    <w:p>
      <w:pPr>
        <w:spacing w:after="0" w:line="147" w:lineRule="exact"/>
        <w:rPr>
          <w:sz w:val="20"/>
          <w:szCs w:val="20"/>
          <w:color w:val="auto"/>
        </w:rPr>
      </w:pPr>
    </w:p>
    <w:p>
      <w:pPr>
        <w:ind w:right="200" w:firstLine="8"/>
        <w:spacing w:after="0" w:line="264" w:lineRule="auto"/>
        <w:tabs>
          <w:tab w:leader="none" w:pos="30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discloses in this press release the non-GAAP financial measures of adjusted income from operations, adjusted net income and adjusted diluted earnings per share. Each of adjusted income from operations and adjusted net income provide supplementary information about the impacts of acquisition related expenses, foreign-exchange and other non-operating impacts on our business.</w:t>
      </w:r>
    </w:p>
    <w:p>
      <w:pPr>
        <w:spacing w:after="0" w:line="18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financial tables found later in this press release include a reconciliation of adjusted income from operations, adjusted net income and adjusted diluted earnings per share to the U.S. GAAP financial measures of income from operations, net income and diluted earnings per share.</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Johnson City, Tennessee, NN has 41 manufacturing plants in North America, Western Europe, Eastern Europe, South America and China.</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completed acquisitions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8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2015. Except as required by law, we undertake no obligation to update or revise any forward-looking statements we make in our press releases, whether as a result of new information, future events or otherwise.</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 Follow</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Net Income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7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744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700" w:type="dxa"/>
            <w:vAlign w:val="bottom"/>
            <w:gridSpan w:val="6"/>
          </w:tcPr>
          <w:p>
            <w:pPr>
              <w:ind w:lef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8"/>
        </w:trPr>
        <w:tc>
          <w:tcPr>
            <w:tcW w:w="74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2"/>
              <w:spacing w:after="0" w:line="158"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1"/>
              <w:spacing w:after="0" w:line="158"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2"/>
              <w:spacing w:after="0" w:line="158"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1"/>
              <w:spacing w:after="0" w:line="158"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Net sales</w:t>
            </w:r>
          </w:p>
        </w:tc>
        <w:tc>
          <w:tcPr>
            <w:tcW w:w="5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204,961</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154,824</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631,459</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483,425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152,538</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120,195</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469,086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378,220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11,949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60,651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14,693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8,610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47,177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Restructuring and impairment charges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7,241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18,727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10,122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47,304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16,337</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4,584</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48,924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 of unamortized debt issuance costs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Derivative payments (receipts) on interest rate swap</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(gains) losses on change in interest rate swap fair value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3,130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Income (loss) before provision (benefit) for income taxes and share of net income from joint venture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4,945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Provision (benefit) expense for income taxes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(6,423)</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(6,469)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4,630</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26,839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20,122</w:t>
            </w: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spacing w:after="0"/>
              <w:rPr>
                <w:sz w:val="20"/>
                <w:szCs w:val="20"/>
                <w:color w:val="auto"/>
              </w:rPr>
            </w:pPr>
            <w:r>
              <w:rPr>
                <w:rFonts w:ascii="Arial" w:cs="Arial" w:eastAsia="Arial" w:hAnsi="Arial"/>
                <w:sz w:val="18"/>
                <w:szCs w:val="18"/>
                <w:color w:val="auto"/>
              </w:rPr>
              <w:t>Diluted income per share:</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27,322</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27,167</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0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26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120" w:type="dxa"/>
            <w:vAlign w:val="bottom"/>
            <w:tcBorders>
              <w:top w:val="single" w:sz="8" w:color="auto"/>
              <w:bottom w:val="single" w:sz="8" w:color="CCEEFF"/>
            </w:tcBorders>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6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280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14,788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15,087</w:t>
            </w: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147,427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123,005</w:t>
            </w: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118,834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119,836</w:t>
            </w: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Income tax receivable</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3,989</w:t>
            </w: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deferred tax assets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Other current assets</w:t>
            </w:r>
          </w:p>
        </w:tc>
        <w:tc>
          <w:tcPr>
            <w:tcW w:w="2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11,568</w:t>
            </w:r>
          </w:p>
        </w:tc>
        <w:tc>
          <w:tcPr>
            <w:tcW w:w="100" w:type="dxa"/>
            <w:vAlign w:val="bottom"/>
          </w:tcPr>
          <w:p>
            <w:pPr>
              <w:spacing w:after="0"/>
              <w:rPr>
                <w:sz w:val="19"/>
                <w:szCs w:val="19"/>
                <w:color w:val="auto"/>
              </w:rPr>
            </w:pPr>
          </w:p>
        </w:tc>
      </w:tr>
      <w:tr>
        <w:trPr>
          <w:trHeight w:val="216"/>
        </w:trPr>
        <w:tc>
          <w:tcPr>
            <w:tcW w:w="65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295,489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280,181</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325,969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318,968</w:t>
            </w: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net</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449,004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449,898</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261,953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282,169</w:t>
            </w: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38,925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38,462</w:t>
            </w: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10,147</w:t>
            </w:r>
          </w:p>
        </w:tc>
      </w:tr>
      <w:tr>
        <w:trPr>
          <w:trHeight w:val="223"/>
        </w:trPr>
        <w:tc>
          <w:tcPr>
            <w:tcW w:w="6500" w:type="dxa"/>
            <w:vAlign w:val="bottom"/>
            <w:gridSpan w:val="2"/>
          </w:tcPr>
          <w:p>
            <w:pPr>
              <w:ind w:left="720"/>
              <w:spacing w:after="0"/>
              <w:rPr>
                <w:sz w:val="20"/>
                <w:szCs w:val="20"/>
                <w:color w:val="auto"/>
              </w:rPr>
            </w:pPr>
            <w:r>
              <w:rPr>
                <w:rFonts w:ascii="Arial" w:cs="Arial" w:eastAsia="Arial" w:hAnsi="Arial"/>
                <w:sz w:val="18"/>
                <w:szCs w:val="18"/>
                <w:color w:val="auto"/>
              </w:rPr>
              <w:t>Total assets</w:t>
            </w:r>
          </w:p>
        </w:tc>
        <w:tc>
          <w:tcPr>
            <w:tcW w:w="2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1,382,398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1,380,567</w:t>
            </w:r>
          </w:p>
        </w:tc>
        <w:tc>
          <w:tcPr>
            <w:tcW w:w="100" w:type="dxa"/>
            <w:vAlign w:val="bottom"/>
          </w:tcPr>
          <w:p>
            <w:pPr>
              <w:spacing w:after="0"/>
              <w:rPr>
                <w:sz w:val="19"/>
                <w:szCs w:val="19"/>
                <w:color w:val="auto"/>
              </w:rPr>
            </w:pPr>
          </w:p>
        </w:tc>
      </w:tr>
      <w:tr>
        <w:trPr>
          <w:trHeight w:val="20"/>
        </w:trPr>
        <w:tc>
          <w:tcPr>
            <w:tcW w:w="21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80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69,730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69,101</w:t>
            </w: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Accrued salaries, wages and benefits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26,181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21,125</w:t>
            </w: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Current maturities of long-term debt</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8,621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11,714</w:t>
            </w: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portion of obligation under capital lease</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Other current liabilities</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27,910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21,275</w:t>
            </w:r>
          </w:p>
        </w:tc>
      </w:tr>
      <w:tr>
        <w:trPr>
          <w:trHeight w:val="216"/>
        </w:trPr>
        <w:tc>
          <w:tcPr>
            <w:tcW w:w="65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133,351</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Non-current deferred tax liabilities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104,555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117,459</w:t>
            </w: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795,692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795,400</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Accrued post-employment benefits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6,091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6,157</w:t>
            </w: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 under capital lease, net of current portion</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w:t>
            </w:r>
          </w:p>
        </w:tc>
        <w:tc>
          <w:tcPr>
            <w:tcW w:w="100" w:type="dxa"/>
            <w:vAlign w:val="bottom"/>
          </w:tcPr>
          <w:p>
            <w:pPr>
              <w:spacing w:after="0"/>
              <w:rPr>
                <w:sz w:val="19"/>
                <w:szCs w:val="19"/>
                <w:color w:val="auto"/>
              </w:rPr>
            </w:pPr>
          </w:p>
        </w:tc>
      </w:tr>
      <w:tr>
        <w:trPr>
          <w:trHeight w:val="216"/>
        </w:trPr>
        <w:tc>
          <w:tcPr>
            <w:tcW w:w="65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1,056,055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1,066,686</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326,343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313,881</w:t>
            </w:r>
          </w:p>
        </w:tc>
        <w:tc>
          <w:tcPr>
            <w:tcW w:w="100" w:type="dxa"/>
            <w:vAlign w:val="bottom"/>
          </w:tcPr>
          <w:p>
            <w:pPr>
              <w:spacing w:after="0"/>
              <w:rPr>
                <w:sz w:val="19"/>
                <w:szCs w:val="19"/>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80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1,382,398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1,380,567</w:t>
            </w:r>
          </w:p>
        </w:tc>
        <w:tc>
          <w:tcPr>
            <w:tcW w:w="100" w:type="dxa"/>
            <w:vAlign w:val="bottom"/>
            <w:shd w:val="clear" w:color="auto" w:fill="CCEEFF"/>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ind w:right="7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GAAP net income to Non-GAAP adjusted net income &amp; GAAP Diluted Income Per Share to Non-GAAP Adjusted Diluted Earnings Per Share: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gridSpan w:val="5"/>
          </w:tcPr>
          <w:p>
            <w:pPr>
              <w:spacing w:after="0"/>
              <w:rPr>
                <w:sz w:val="20"/>
                <w:szCs w:val="20"/>
                <w:color w:val="auto"/>
              </w:rPr>
            </w:pPr>
            <w:r>
              <w:rPr>
                <w:rFonts w:ascii="Arial" w:cs="Arial" w:eastAsia="Arial" w:hAnsi="Arial"/>
                <w:sz w:val="14"/>
                <w:szCs w:val="14"/>
                <w:b w:val="1"/>
                <w:bCs w:val="1"/>
                <w:color w:val="auto"/>
              </w:rPr>
              <w:t>NN, Inc - Total Company</w:t>
            </w:r>
          </w:p>
        </w:tc>
        <w:tc>
          <w:tcPr>
            <w:tcW w:w="300" w:type="dxa"/>
            <w:vAlign w:val="bottom"/>
          </w:tcPr>
          <w:p>
            <w:pPr>
              <w:spacing w:after="0"/>
              <w:rPr>
                <w:sz w:val="14"/>
                <w:szCs w:val="14"/>
                <w:color w:val="auto"/>
              </w:rPr>
            </w:pPr>
          </w:p>
        </w:tc>
        <w:tc>
          <w:tcPr>
            <w:tcW w:w="1780" w:type="dxa"/>
            <w:vAlign w:val="bottom"/>
            <w:gridSpan w:val="6"/>
          </w:tcPr>
          <w:p>
            <w:pPr>
              <w:jc w:val="center"/>
              <w:ind w:left="341"/>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6"/>
          </w:tcPr>
          <w:p>
            <w:pPr>
              <w:jc w:val="center"/>
              <w:ind w:left="341"/>
              <w:spacing w:after="0" w:line="153" w:lineRule="exact"/>
              <w:rPr>
                <w:sz w:val="20"/>
                <w:szCs w:val="20"/>
                <w:color w:val="auto"/>
              </w:rPr>
            </w:pPr>
            <w:r>
              <w:rPr>
                <w:rFonts w:ascii="Arial" w:cs="Arial" w:eastAsia="Arial" w:hAnsi="Arial"/>
                <w:sz w:val="14"/>
                <w:szCs w:val="14"/>
                <w:b w:val="1"/>
                <w:bCs w:val="1"/>
                <w:color w:val="auto"/>
                <w:w w:val="91"/>
              </w:rPr>
              <w:t>September 30, 2016</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8"/>
          </w:tcPr>
          <w:p>
            <w:pPr>
              <w:jc w:val="right"/>
              <w:ind w:right="580"/>
              <w:spacing w:after="0" w:line="153" w:lineRule="exact"/>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49"/>
        </w:trPr>
        <w:tc>
          <w:tcPr>
            <w:tcW w:w="6120" w:type="dxa"/>
            <w:vAlign w:val="bottom"/>
            <w:gridSpan w:val="5"/>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300" w:type="dxa"/>
            <w:vAlign w:val="bottom"/>
          </w:tcPr>
          <w:p>
            <w:pPr>
              <w:spacing w:after="0"/>
              <w:rPr>
                <w:sz w:val="12"/>
                <w:szCs w:val="12"/>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56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Diluted Earnings</w:t>
            </w:r>
          </w:p>
        </w:tc>
        <w:tc>
          <w:tcPr>
            <w:tcW w:w="40" w:type="dxa"/>
            <w:vAlign w:val="bottom"/>
          </w:tcPr>
          <w:p>
            <w:pPr>
              <w:spacing w:after="0"/>
              <w:rPr>
                <w:sz w:val="12"/>
                <w:szCs w:val="12"/>
                <w:color w:val="auto"/>
              </w:rPr>
            </w:pPr>
          </w:p>
        </w:tc>
        <w:tc>
          <w:tcPr>
            <w:tcW w:w="1100" w:type="dxa"/>
            <w:vAlign w:val="bottom"/>
            <w:gridSpan w:val="4"/>
            <w:vMerge w:val="restart"/>
          </w:tcPr>
          <w:p>
            <w:pPr>
              <w:jc w:val="right"/>
              <w:ind w:right="510"/>
              <w:spacing w:after="0"/>
              <w:rPr>
                <w:sz w:val="20"/>
                <w:szCs w:val="20"/>
                <w:color w:val="auto"/>
              </w:rPr>
            </w:pPr>
            <w:r>
              <w:rPr>
                <w:rFonts w:ascii="Arial" w:cs="Arial" w:eastAsia="Arial" w:hAnsi="Arial"/>
                <w:sz w:val="14"/>
                <w:szCs w:val="14"/>
                <w:b w:val="1"/>
                <w:bCs w:val="1"/>
                <w:color w:val="auto"/>
                <w:w w:val="94"/>
              </w:rPr>
              <w:t>Amount</w:t>
            </w:r>
          </w:p>
        </w:tc>
        <w:tc>
          <w:tcPr>
            <w:tcW w:w="11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78"/>
        </w:trPr>
        <w:tc>
          <w:tcPr>
            <w:tcW w:w="6120" w:type="dxa"/>
            <w:vAlign w:val="bottom"/>
            <w:gridSpan w:val="5"/>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5"/>
          </w:tcPr>
          <w:p>
            <w:pPr>
              <w:jc w:val="right"/>
              <w:ind w:right="740"/>
              <w:spacing w:after="0" w:line="158" w:lineRule="exact"/>
              <w:rPr>
                <w:sz w:val="20"/>
                <w:szCs w:val="20"/>
                <w:color w:val="auto"/>
              </w:rPr>
            </w:pPr>
            <w:r>
              <w:rPr>
                <w:rFonts w:ascii="Arial" w:cs="Arial" w:eastAsia="Arial" w:hAnsi="Arial"/>
                <w:sz w:val="14"/>
                <w:szCs w:val="14"/>
                <w:b w:val="1"/>
                <w:bCs w:val="1"/>
                <w:color w:val="auto"/>
              </w:rPr>
              <w:t>Per Share</w:t>
            </w:r>
          </w:p>
        </w:tc>
        <w:tc>
          <w:tcPr>
            <w:tcW w:w="4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ind w:left="100"/>
              <w:spacing w:after="0" w:line="158"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GAAP Net income</w:t>
            </w:r>
          </w:p>
        </w:tc>
        <w:tc>
          <w:tcPr>
            <w:tcW w:w="4000" w:type="dxa"/>
            <w:vAlign w:val="bottom"/>
            <w:tcBorders>
              <w:top w:val="single" w:sz="8" w:color="CCEEFF"/>
            </w:tcBorders>
            <w:gridSpan w:val="2"/>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6"/>
              </w:rPr>
              <w:t>$ 4,147</w:t>
            </w:r>
          </w:p>
        </w:tc>
        <w:tc>
          <w:tcPr>
            <w:tcW w:w="5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0.15</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$ 4,630</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0.17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Arial" w:cs="Arial" w:eastAsia="Arial" w:hAnsi="Arial"/>
                <w:sz w:val="18"/>
                <w:szCs w:val="18"/>
                <w:color w:val="auto"/>
              </w:rPr>
              <w:t>Pre-tax acquisition and integration costs</w:t>
            </w:r>
          </w:p>
        </w:tc>
        <w:tc>
          <w:tcPr>
            <w:tcW w:w="1400" w:type="dxa"/>
            <w:vAlign w:val="bottom"/>
            <w:gridSpan w:val="3"/>
          </w:tcPr>
          <w:p>
            <w:pPr>
              <w:jc w:val="right"/>
              <w:ind w:right="500"/>
              <w:spacing w:after="0"/>
              <w:rPr>
                <w:sz w:val="20"/>
                <w:szCs w:val="20"/>
                <w:color w:val="auto"/>
              </w:rPr>
            </w:pPr>
            <w:r>
              <w:rPr>
                <w:rFonts w:ascii="Arial" w:cs="Arial" w:eastAsia="Arial" w:hAnsi="Arial"/>
                <w:sz w:val="18"/>
                <w:szCs w:val="18"/>
                <w:color w:val="auto"/>
              </w:rPr>
              <w:t>757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8"/>
                <w:szCs w:val="18"/>
                <w:color w:val="auto"/>
              </w:rPr>
            </w:pPr>
          </w:p>
        </w:tc>
        <w:tc>
          <w:tcPr>
            <w:tcW w:w="880" w:type="dxa"/>
            <w:vAlign w:val="bottom"/>
            <w:gridSpan w:val="4"/>
          </w:tcPr>
          <w:p>
            <w:pPr>
              <w:jc w:val="right"/>
              <w:ind w:right="280"/>
              <w:spacing w:after="0"/>
              <w:rPr>
                <w:sz w:val="20"/>
                <w:szCs w:val="20"/>
                <w:color w:val="auto"/>
              </w:rPr>
            </w:pPr>
            <w:r>
              <w:rPr>
                <w:rFonts w:ascii="Arial" w:cs="Arial" w:eastAsia="Arial" w:hAnsi="Arial"/>
                <w:sz w:val="18"/>
                <w:szCs w:val="18"/>
                <w:color w:val="auto"/>
              </w:rPr>
              <w:t>3,948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Pre-tax foreign exchange loss on inter-company loans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434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Arial" w:cs="Arial" w:eastAsia="Arial" w:hAnsi="Arial"/>
                <w:sz w:val="18"/>
                <w:szCs w:val="18"/>
                <w:color w:val="auto"/>
              </w:rPr>
              <w:t>Pre-tax reorganization and impairment charges</w:t>
            </w:r>
          </w:p>
        </w:tc>
        <w:tc>
          <w:tcPr>
            <w:tcW w:w="1400" w:type="dxa"/>
            <w:vAlign w:val="bottom"/>
            <w:gridSpan w:val="3"/>
          </w:tcPr>
          <w:p>
            <w:pPr>
              <w:jc w:val="right"/>
              <w:ind w:right="500"/>
              <w:spacing w:after="0"/>
              <w:rPr>
                <w:sz w:val="20"/>
                <w:szCs w:val="20"/>
                <w:color w:val="auto"/>
              </w:rPr>
            </w:pPr>
            <w:r>
              <w:rPr>
                <w:rFonts w:ascii="Arial" w:cs="Arial" w:eastAsia="Arial" w:hAnsi="Arial"/>
                <w:sz w:val="18"/>
                <w:szCs w:val="18"/>
                <w:color w:val="auto"/>
              </w:rPr>
              <w:t>336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880" w:type="dxa"/>
            <w:vAlign w:val="bottom"/>
            <w:gridSpan w:val="4"/>
          </w:tcPr>
          <w:p>
            <w:pPr>
              <w:jc w:val="right"/>
              <w:ind w:right="280"/>
              <w:spacing w:after="0"/>
              <w:rPr>
                <w:sz w:val="20"/>
                <w:szCs w:val="20"/>
                <w:color w:val="auto"/>
              </w:rPr>
            </w:pPr>
            <w:r>
              <w:rPr>
                <w:rFonts w:ascii="Arial" w:cs="Arial" w:eastAsia="Arial" w:hAnsi="Arial"/>
                <w:sz w:val="18"/>
                <w:szCs w:val="18"/>
                <w:color w:val="auto"/>
              </w:rPr>
              <w:t>1,190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Pre-tax write-off of unamortized debt issuance costs</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2,589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Arial" w:cs="Arial" w:eastAsia="Arial" w:hAnsi="Arial"/>
                <w:sz w:val="18"/>
                <w:szCs w:val="18"/>
                <w:color w:val="auto"/>
              </w:rPr>
              <w:t>Pre-tax write-off of interest rate swap</w:t>
            </w:r>
          </w:p>
        </w:tc>
        <w:tc>
          <w:tcPr>
            <w:tcW w:w="1400" w:type="dxa"/>
            <w:vAlign w:val="bottom"/>
            <w:gridSpan w:val="3"/>
          </w:tcPr>
          <w:p>
            <w:pPr>
              <w:jc w:val="right"/>
              <w:ind w:right="500"/>
              <w:spacing w:after="0"/>
              <w:rPr>
                <w:sz w:val="20"/>
                <w:szCs w:val="20"/>
                <w:color w:val="auto"/>
              </w:rPr>
            </w:pPr>
            <w:r>
              <w:rPr>
                <w:rFonts w:ascii="Arial" w:cs="Arial" w:eastAsia="Arial" w:hAnsi="Arial"/>
                <w:sz w:val="18"/>
                <w:szCs w:val="18"/>
                <w:color w:val="auto"/>
              </w:rPr>
              <w:t>3,900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Pre-tax Amortization of intangibles &amp; deferred financing costs</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7,062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0.26</w:t>
            </w: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1,627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gridSpan w:val="4"/>
          </w:tcPr>
          <w:p>
            <w:pPr>
              <w:spacing w:after="0"/>
              <w:rPr>
                <w:sz w:val="20"/>
                <w:szCs w:val="20"/>
                <w:color w:val="auto"/>
              </w:rPr>
            </w:pPr>
            <w:r>
              <w:rPr>
                <w:rFonts w:ascii="Arial" w:cs="Arial" w:eastAsia="Arial" w:hAnsi="Arial"/>
                <w:sz w:val="18"/>
                <w:szCs w:val="18"/>
                <w:color w:val="auto"/>
              </w:rPr>
              <w:t>Tax effect of all adjustment reflected above (c)</w:t>
            </w:r>
          </w:p>
        </w:tc>
        <w:tc>
          <w:tcPr>
            <w:tcW w:w="1400" w:type="dxa"/>
            <w:vAlign w:val="bottom"/>
            <w:gridSpan w:val="3"/>
          </w:tcPr>
          <w:p>
            <w:pPr>
              <w:jc w:val="right"/>
              <w:ind w:right="440"/>
              <w:spacing w:after="0"/>
              <w:rPr>
                <w:sz w:val="20"/>
                <w:szCs w:val="20"/>
                <w:color w:val="auto"/>
              </w:rPr>
            </w:pPr>
            <w:r>
              <w:rPr>
                <w:rFonts w:ascii="Arial" w:cs="Arial" w:eastAsia="Arial" w:hAnsi="Arial"/>
                <w:sz w:val="18"/>
                <w:szCs w:val="18"/>
                <w:color w:val="auto"/>
              </w:rPr>
              <w:t>(8,582)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(0.31)</w:t>
            </w:r>
          </w:p>
        </w:tc>
        <w:tc>
          <w:tcPr>
            <w:tcW w:w="180" w:type="dxa"/>
            <w:vAlign w:val="bottom"/>
          </w:tcPr>
          <w:p>
            <w:pPr>
              <w:spacing w:after="0"/>
              <w:rPr>
                <w:sz w:val="19"/>
                <w:szCs w:val="19"/>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8"/>
                <w:szCs w:val="18"/>
                <w:color w:val="auto"/>
              </w:rPr>
              <w:t>(2,328)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0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Non- GAAP Adjusted net income &amp; Non-GAAP Adjusted Diluted Earnings</w:t>
            </w:r>
          </w:p>
        </w:tc>
        <w:tc>
          <w:tcPr>
            <w:tcW w:w="30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00" w:type="dxa"/>
            <w:vAlign w:val="bottom"/>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Per Share (b)</w:t>
            </w: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10,303</w:t>
            </w:r>
          </w:p>
        </w:tc>
        <w:tc>
          <w:tcPr>
            <w:tcW w:w="500" w:type="dxa"/>
            <w:vAlign w:val="bottom"/>
            <w:shd w:val="clear" w:color="auto" w:fill="CCEEFF"/>
          </w:tcPr>
          <w:p>
            <w:pPr>
              <w:spacing w:after="0"/>
              <w:rPr>
                <w:sz w:val="20"/>
                <w:szCs w:val="20"/>
                <w:color w:val="auto"/>
              </w:rPr>
            </w:pPr>
          </w:p>
        </w:tc>
        <w:tc>
          <w:tcPr>
            <w:tcW w:w="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0.38</w:t>
            </w:r>
          </w:p>
        </w:tc>
        <w:tc>
          <w:tcPr>
            <w:tcW w:w="180" w:type="dxa"/>
            <w:vAlign w:val="bottom"/>
            <w:shd w:val="clear" w:color="auto" w:fill="CCEEFF"/>
          </w:tcPr>
          <w:p>
            <w:pPr>
              <w:spacing w:after="0"/>
              <w:rPr>
                <w:sz w:val="20"/>
                <w:szCs w:val="20"/>
                <w:color w:val="auto"/>
              </w:rPr>
            </w:pPr>
          </w:p>
        </w:tc>
        <w:tc>
          <w:tcPr>
            <w:tcW w:w="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6"/>
              </w:rPr>
              <w:t>$ 9,501</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0.35</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20" w:type="dxa"/>
            <w:vAlign w:val="bottom"/>
            <w:gridSpan w:val="8"/>
          </w:tcPr>
          <w:p>
            <w:pPr>
              <w:spacing w:after="0"/>
              <w:rPr>
                <w:sz w:val="20"/>
                <w:szCs w:val="20"/>
                <w:color w:val="auto"/>
              </w:rPr>
            </w:pPr>
            <w:r>
              <w:rPr>
                <w:rFonts w:ascii="Arial" w:cs="Arial" w:eastAsia="Arial" w:hAnsi="Arial"/>
                <w:sz w:val="18"/>
                <w:szCs w:val="18"/>
                <w:b w:val="1"/>
                <w:bCs w:val="1"/>
                <w:color w:val="auto"/>
                <w:w w:val="90"/>
              </w:rPr>
              <w:t>Reconciliation of GAAP income from operations to Non-GAAP adjusted income from operations: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100" w:type="dxa"/>
            <w:vAlign w:val="bottom"/>
            <w:gridSpan w:val="4"/>
          </w:tcPr>
          <w:p>
            <w:pPr>
              <w:ind w:left="440"/>
              <w:spacing w:after="0"/>
              <w:rPr>
                <w:sz w:val="20"/>
                <w:szCs w:val="20"/>
                <w:color w:val="auto"/>
              </w:rPr>
            </w:pPr>
            <w:r>
              <w:rPr>
                <w:rFonts w:ascii="Arial" w:cs="Arial" w:eastAsia="Arial" w:hAnsi="Arial"/>
                <w:sz w:val="14"/>
                <w:szCs w:val="14"/>
                <w:b w:val="1"/>
                <w:bCs w:val="1"/>
                <w:color w:val="auto"/>
              </w:rPr>
              <w:t>NN, Inc - Total Company</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gridSpan w:val="11"/>
          </w:tcPr>
          <w:p>
            <w:pPr>
              <w:jc w:val="right"/>
              <w:ind w:right="19"/>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 w:type="dxa"/>
            <w:vAlign w:val="bottom"/>
            <w:vMerge w:val="restart"/>
          </w:tcPr>
          <w:p>
            <w:pPr>
              <w:spacing w:after="0"/>
              <w:rPr>
                <w:sz w:val="10"/>
                <w:szCs w:val="10"/>
                <w:color w:val="auto"/>
              </w:rPr>
            </w:pPr>
          </w:p>
        </w:tc>
        <w:tc>
          <w:tcPr>
            <w:tcW w:w="2120" w:type="dxa"/>
            <w:vAlign w:val="bottom"/>
            <w:gridSpan w:val="2"/>
            <w:vMerge w:val="restart"/>
          </w:tcPr>
          <w:p>
            <w:pPr>
              <w:spacing w:after="0"/>
              <w:rPr>
                <w:sz w:val="20"/>
                <w:szCs w:val="20"/>
                <w:color w:val="auto"/>
              </w:rPr>
            </w:pPr>
            <w:r>
              <w:rPr>
                <w:rFonts w:ascii="Arial" w:cs="Arial" w:eastAsia="Arial" w:hAnsi="Arial"/>
                <w:sz w:val="14"/>
                <w:szCs w:val="14"/>
                <w:color w:val="auto"/>
                <w:w w:val="90"/>
              </w:rPr>
              <w:t>(in thousands, except per share data)</w:t>
            </w:r>
          </w:p>
        </w:tc>
        <w:tc>
          <w:tcPr>
            <w:tcW w:w="354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4"/>
              </w:rPr>
              <w:t>% of</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Borders>
              <w:top w:val="single" w:sz="8" w:color="auto"/>
            </w:tcBorders>
            <w:gridSpan w:val="3"/>
            <w:vMerge w:val="restart"/>
          </w:tcPr>
          <w:p>
            <w:pPr>
              <w:jc w:val="right"/>
              <w:ind w:right="23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2120" w:type="dxa"/>
            <w:vAlign w:val="bottom"/>
            <w:tcBorders>
              <w:bottom w:val="single" w:sz="8" w:color="auto"/>
            </w:tcBorders>
            <w:gridSpan w:val="2"/>
            <w:vMerge w:val="continue"/>
          </w:tcPr>
          <w:p>
            <w:pPr>
              <w:spacing w:after="0"/>
              <w:rPr>
                <w:sz w:val="13"/>
                <w:szCs w:val="13"/>
                <w:color w:val="auto"/>
              </w:rPr>
            </w:pPr>
          </w:p>
        </w:tc>
        <w:tc>
          <w:tcPr>
            <w:tcW w:w="35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w w:val="70"/>
              </w:rPr>
              <w:t>Sales</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GAAP Income from operations</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$18,727</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1140" w:type="dxa"/>
            <w:vAlign w:val="bottom"/>
            <w:gridSpan w:val="5"/>
            <w:shd w:val="clear" w:color="auto" w:fill="CCEEFF"/>
          </w:tcPr>
          <w:p>
            <w:pPr>
              <w:jc w:val="right"/>
              <w:ind w:right="190"/>
              <w:spacing w:after="0"/>
              <w:rPr>
                <w:sz w:val="20"/>
                <w:szCs w:val="20"/>
                <w:color w:val="auto"/>
              </w:rPr>
            </w:pPr>
            <w:r>
              <w:rPr>
                <w:rFonts w:ascii="Arial" w:cs="Arial" w:eastAsia="Arial" w:hAnsi="Arial"/>
                <w:sz w:val="18"/>
                <w:szCs w:val="18"/>
                <w:color w:val="auto"/>
              </w:rPr>
              <w:t>$10,122</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Restructuring &amp; impairment charges</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336</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c>
          <w:tcPr>
            <w:tcW w:w="1140" w:type="dxa"/>
            <w:vAlign w:val="bottom"/>
            <w:gridSpan w:val="5"/>
          </w:tcPr>
          <w:p>
            <w:pPr>
              <w:jc w:val="right"/>
              <w:ind w:right="190"/>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 &amp; integration expenses</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1140" w:type="dxa"/>
            <w:vAlign w:val="bottom"/>
            <w:gridSpan w:val="5"/>
            <w:shd w:val="clear" w:color="auto" w:fill="CCEEFF"/>
          </w:tcPr>
          <w:p>
            <w:pPr>
              <w:jc w:val="right"/>
              <w:ind w:right="190"/>
              <w:spacing w:after="0"/>
              <w:rPr>
                <w:sz w:val="20"/>
                <w:szCs w:val="20"/>
                <w:color w:val="auto"/>
              </w:rPr>
            </w:pPr>
            <w:r>
              <w:rPr>
                <w:rFonts w:ascii="Arial" w:cs="Arial" w:eastAsia="Arial" w:hAnsi="Arial"/>
                <w:sz w:val="18"/>
                <w:szCs w:val="18"/>
                <w:color w:val="auto"/>
              </w:rPr>
              <w:t>3,948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5,922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1140" w:type="dxa"/>
            <w:vAlign w:val="bottom"/>
            <w:gridSpan w:val="5"/>
          </w:tcPr>
          <w:p>
            <w:pPr>
              <w:jc w:val="right"/>
              <w:ind w:right="190"/>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Non-GAAP Adjusted income from operations (a)</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25,742</w:t>
            </w:r>
          </w:p>
        </w:tc>
        <w:tc>
          <w:tcPr>
            <w:tcW w:w="2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12.6%</w:t>
            </w:r>
          </w:p>
        </w:tc>
        <w:tc>
          <w:tcPr>
            <w:tcW w:w="1140" w:type="dxa"/>
            <w:vAlign w:val="bottom"/>
            <w:gridSpan w:val="5"/>
            <w:shd w:val="clear" w:color="auto" w:fill="CCEEFF"/>
          </w:tcPr>
          <w:p>
            <w:pPr>
              <w:jc w:val="right"/>
              <w:ind w:right="19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16,259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gridSpan w:val="4"/>
            <w:vMerge w:val="restart"/>
          </w:tcPr>
          <w:p>
            <w:pPr>
              <w:ind w:left="440"/>
              <w:spacing w:after="0"/>
              <w:rPr>
                <w:sz w:val="20"/>
                <w:szCs w:val="20"/>
                <w:color w:val="auto"/>
              </w:rPr>
            </w:pPr>
            <w:r>
              <w:rPr>
                <w:rFonts w:ascii="Arial" w:cs="Arial" w:eastAsia="Arial" w:hAnsi="Arial"/>
                <w:sz w:val="18"/>
                <w:szCs w:val="18"/>
                <w:b w:val="1"/>
                <w:bCs w:val="1"/>
                <w:color w:val="auto"/>
              </w:rPr>
              <w:t>GAAP Total Sales</w:t>
            </w: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gridSpan w:val="4"/>
            <w:vMerge w:val="continue"/>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w w:val="71"/>
              </w:rPr>
              <w:t>204,961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w w:val="71"/>
              </w:rPr>
              <w:t>154,824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GAAP income from operations to Non-GAAP adjusted income from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gridSpan w:val="3"/>
          </w:tcPr>
          <w:p>
            <w:pPr>
              <w:ind w:left="460"/>
              <w:spacing w:after="0"/>
              <w:rPr>
                <w:sz w:val="20"/>
                <w:szCs w:val="20"/>
                <w:color w:val="auto"/>
              </w:rPr>
            </w:pPr>
            <w:r>
              <w:rPr>
                <w:rFonts w:ascii="Arial" w:cs="Arial" w:eastAsia="Arial" w:hAnsi="Arial"/>
                <w:sz w:val="14"/>
                <w:szCs w:val="14"/>
                <w:b w:val="1"/>
                <w:bCs w:val="1"/>
                <w:color w:val="auto"/>
              </w:rPr>
              <w:t>NN, Inc - Autocam Precision Components Group</w:t>
            </w:r>
          </w:p>
        </w:tc>
        <w:tc>
          <w:tcPr>
            <w:tcW w:w="180" w:type="dxa"/>
            <w:vAlign w:val="bottom"/>
          </w:tcPr>
          <w:p>
            <w:pPr>
              <w:spacing w:after="0"/>
              <w:rPr>
                <w:sz w:val="14"/>
                <w:szCs w:val="14"/>
                <w:color w:val="auto"/>
              </w:rPr>
            </w:pPr>
          </w:p>
        </w:tc>
        <w:tc>
          <w:tcPr>
            <w:tcW w:w="2640" w:type="dxa"/>
            <w:vAlign w:val="bottom"/>
            <w:gridSpan w:val="11"/>
          </w:tcPr>
          <w:p>
            <w:pPr>
              <w:ind w:left="280"/>
              <w:spacing w:after="0"/>
              <w:rPr>
                <w:sz w:val="20"/>
                <w:szCs w:val="20"/>
                <w:color w:val="auto"/>
              </w:rPr>
            </w:pPr>
            <w:r>
              <w:rPr>
                <w:rFonts w:ascii="Arial" w:cs="Arial" w:eastAsia="Arial" w:hAnsi="Arial"/>
                <w:sz w:val="14"/>
                <w:szCs w:val="14"/>
                <w:b w:val="1"/>
                <w:bCs w:val="1"/>
                <w:color w:val="auto"/>
                <w:w w:val="97"/>
              </w:rPr>
              <w:t>Three Months Ended September 30,</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9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vMerge w:val="restart"/>
          </w:tcPr>
          <w:p>
            <w:pPr>
              <w:spacing w:after="0"/>
              <w:rPr>
                <w:sz w:val="10"/>
                <w:szCs w:val="10"/>
                <w:color w:val="auto"/>
              </w:rPr>
            </w:pPr>
          </w:p>
        </w:tc>
        <w:tc>
          <w:tcPr>
            <w:tcW w:w="2120" w:type="dxa"/>
            <w:vAlign w:val="bottom"/>
            <w:vMerge w:val="restart"/>
          </w:tcPr>
          <w:p>
            <w:pPr>
              <w:spacing w:after="0"/>
              <w:rPr>
                <w:sz w:val="20"/>
                <w:szCs w:val="20"/>
                <w:color w:val="auto"/>
              </w:rPr>
            </w:pPr>
            <w:r>
              <w:rPr>
                <w:rFonts w:ascii="Arial" w:cs="Arial" w:eastAsia="Arial" w:hAnsi="Arial"/>
                <w:sz w:val="14"/>
                <w:szCs w:val="14"/>
                <w:color w:val="auto"/>
                <w:w w:val="90"/>
              </w:rPr>
              <w:t>(in thousands, except per share data)</w:t>
            </w:r>
          </w:p>
        </w:tc>
        <w:tc>
          <w:tcPr>
            <w:tcW w:w="5000" w:type="dxa"/>
            <w:vAlign w:val="bottom"/>
            <w:vMerge w:val="restart"/>
          </w:tcPr>
          <w:p>
            <w:pPr>
              <w:spacing w:after="0"/>
              <w:rPr>
                <w:sz w:val="10"/>
                <w:szCs w:val="10"/>
                <w:color w:val="auto"/>
              </w:rPr>
            </w:pPr>
          </w:p>
        </w:tc>
        <w:tc>
          <w:tcPr>
            <w:tcW w:w="96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w w:val="98"/>
              </w:rPr>
              <w:t>Amount</w:t>
            </w:r>
          </w:p>
        </w:tc>
        <w:tc>
          <w:tcPr>
            <w:tcW w:w="3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line="119" w:lineRule="exact"/>
              <w:rPr>
                <w:sz w:val="20"/>
                <w:szCs w:val="20"/>
                <w:color w:val="auto"/>
              </w:rPr>
            </w:pPr>
            <w:r>
              <w:rPr>
                <w:rFonts w:ascii="Arial" w:cs="Arial" w:eastAsia="Arial" w:hAnsi="Arial"/>
                <w:sz w:val="13"/>
                <w:szCs w:val="13"/>
                <w:b w:val="1"/>
                <w:bCs w:val="1"/>
                <w:color w:val="auto"/>
              </w:rPr>
              <w:t>% of</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460" w:type="dxa"/>
            <w:vAlign w:val="bottom"/>
            <w:vMerge w:val="continue"/>
          </w:tcPr>
          <w:p>
            <w:pPr>
              <w:spacing w:after="0"/>
              <w:rPr>
                <w:sz w:val="13"/>
                <w:szCs w:val="13"/>
                <w:color w:val="auto"/>
              </w:rPr>
            </w:pPr>
          </w:p>
        </w:tc>
        <w:tc>
          <w:tcPr>
            <w:tcW w:w="2120" w:type="dxa"/>
            <w:vAlign w:val="bottom"/>
            <w:tcBorders>
              <w:bottom w:val="single" w:sz="8" w:color="auto"/>
            </w:tcBorders>
            <w:vMerge w:val="continue"/>
          </w:tcPr>
          <w:p>
            <w:pPr>
              <w:spacing w:after="0"/>
              <w:rPr>
                <w:sz w:val="13"/>
                <w:szCs w:val="13"/>
                <w:color w:val="auto"/>
              </w:rPr>
            </w:pPr>
          </w:p>
        </w:tc>
        <w:tc>
          <w:tcPr>
            <w:tcW w:w="5000" w:type="dxa"/>
            <w:vAlign w:val="bottom"/>
            <w:vMerge w:val="continue"/>
          </w:tcPr>
          <w:p>
            <w:pPr>
              <w:spacing w:after="0"/>
              <w:rPr>
                <w:sz w:val="13"/>
                <w:szCs w:val="13"/>
                <w:color w:val="auto"/>
              </w:rPr>
            </w:pPr>
          </w:p>
        </w:tc>
        <w:tc>
          <w:tcPr>
            <w:tcW w:w="960" w:type="dxa"/>
            <w:vAlign w:val="bottom"/>
            <w:gridSpan w:val="4"/>
            <w:vMerge w:val="continue"/>
          </w:tcPr>
          <w:p>
            <w:pPr>
              <w:spacing w:after="0"/>
              <w:rPr>
                <w:sz w:val="13"/>
                <w:szCs w:val="13"/>
                <w:color w:val="auto"/>
              </w:rPr>
            </w:pPr>
          </w:p>
        </w:tc>
        <w:tc>
          <w:tcPr>
            <w:tcW w:w="86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Sales</w:t>
            </w:r>
          </w:p>
        </w:tc>
        <w:tc>
          <w:tcPr>
            <w:tcW w:w="1000" w:type="dxa"/>
            <w:vAlign w:val="bottom"/>
            <w:gridSpan w:val="4"/>
            <w:vMerge w:val="continue"/>
          </w:tcPr>
          <w:p>
            <w:pPr>
              <w:spacing w:after="0"/>
              <w:rPr>
                <w:sz w:val="13"/>
                <w:szCs w:val="13"/>
                <w:color w:val="auto"/>
              </w:rPr>
            </w:pPr>
          </w:p>
        </w:tc>
        <w:tc>
          <w:tcPr>
            <w:tcW w:w="5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GAAP Income from operations</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$ 8,464</w:t>
            </w:r>
          </w:p>
        </w:tc>
        <w:tc>
          <w:tcPr>
            <w:tcW w:w="2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w w:val="93"/>
              </w:rPr>
              <w:t>10.5%</w:t>
            </w:r>
          </w:p>
        </w:tc>
        <w:tc>
          <w:tcPr>
            <w:tcW w:w="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$10,894</w:t>
            </w:r>
          </w:p>
        </w:tc>
        <w:tc>
          <w:tcPr>
            <w:tcW w:w="3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13.1%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Restructuring &amp; impairment Charges</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286</w:t>
            </w:r>
          </w:p>
        </w:tc>
        <w:tc>
          <w:tcPr>
            <w:tcW w:w="260" w:type="dxa"/>
            <w:vAlign w:val="bottom"/>
          </w:tcPr>
          <w:p>
            <w:pPr>
              <w:spacing w:after="0"/>
              <w:rPr>
                <w:sz w:val="18"/>
                <w:szCs w:val="18"/>
                <w:color w:val="auto"/>
              </w:rPr>
            </w:pPr>
          </w:p>
        </w:tc>
        <w:tc>
          <w:tcPr>
            <w:tcW w:w="860" w:type="dxa"/>
            <w:vAlign w:val="bottom"/>
            <w:gridSpan w:val="4"/>
          </w:tcPr>
          <w:p>
            <w:pPr>
              <w:jc w:val="right"/>
              <w:ind w:right="3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9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&amp; integration expenses</w:t>
            </w: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Amortization of intangibles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4"/>
          </w:tcPr>
          <w:p>
            <w:pPr>
              <w:jc w:val="right"/>
              <w:ind w:right="360"/>
              <w:spacing w:after="0"/>
              <w:rPr>
                <w:sz w:val="20"/>
                <w:szCs w:val="20"/>
                <w:color w:val="auto"/>
              </w:rPr>
            </w:pPr>
            <w:r>
              <w:rPr>
                <w:rFonts w:ascii="Arial" w:cs="Arial" w:eastAsia="Arial" w:hAnsi="Arial"/>
                <w:sz w:val="18"/>
                <w:szCs w:val="18"/>
                <w:color w:val="auto"/>
              </w:rPr>
              <w:t>1.1%</w:t>
            </w:r>
          </w:p>
        </w:tc>
        <w:tc>
          <w:tcPr>
            <w:tcW w:w="620" w:type="dxa"/>
            <w:vAlign w:val="bottom"/>
            <w:gridSpan w:val="3"/>
          </w:tcPr>
          <w:p>
            <w:pPr>
              <w:ind w:left="320"/>
              <w:spacing w:after="0"/>
              <w:rPr>
                <w:sz w:val="20"/>
                <w:szCs w:val="20"/>
                <w:color w:val="auto"/>
              </w:rPr>
            </w:pPr>
            <w:r>
              <w:rPr>
                <w:rFonts w:ascii="Arial" w:cs="Arial" w:eastAsia="Arial" w:hAnsi="Arial"/>
                <w:sz w:val="18"/>
                <w:szCs w:val="18"/>
                <w:color w:val="auto"/>
                <w:w w:val="93"/>
              </w:rPr>
              <w:t>885</w:t>
            </w:r>
          </w:p>
        </w:tc>
        <w:tc>
          <w:tcPr>
            <w:tcW w:w="38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21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Non-GAAP Adjusted income from operations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$ 9,635</w:t>
            </w:r>
          </w:p>
        </w:tc>
        <w:tc>
          <w:tcPr>
            <w:tcW w:w="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w w:val="93"/>
              </w:rPr>
              <w:t>12.0%</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11,779</w:t>
            </w: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14.2%</w:t>
            </w:r>
          </w:p>
        </w:tc>
        <w:tc>
          <w:tcPr>
            <w:tcW w:w="0" w:type="dxa"/>
            <w:vAlign w:val="bottom"/>
          </w:tcPr>
          <w:p>
            <w:pPr>
              <w:spacing w:after="0"/>
              <w:rPr>
                <w:sz w:val="1"/>
                <w:szCs w:val="1"/>
                <w:color w:val="auto"/>
              </w:rPr>
            </w:pPr>
          </w:p>
        </w:tc>
      </w:tr>
      <w:tr>
        <w:trPr>
          <w:trHeight w:val="20"/>
        </w:trPr>
        <w:tc>
          <w:tcPr>
            <w:tcW w:w="7580" w:type="dxa"/>
            <w:vAlign w:val="bottom"/>
            <w:gridSpan w:val="3"/>
            <w:vMerge w:val="restart"/>
          </w:tcPr>
          <w:p>
            <w:pPr>
              <w:ind w:left="460"/>
              <w:spacing w:after="0"/>
              <w:rPr>
                <w:sz w:val="20"/>
                <w:szCs w:val="20"/>
                <w:color w:val="auto"/>
              </w:rPr>
            </w:pPr>
            <w:r>
              <w:rPr>
                <w:rFonts w:ascii="Arial" w:cs="Arial" w:eastAsia="Arial" w:hAnsi="Arial"/>
                <w:sz w:val="18"/>
                <w:szCs w:val="18"/>
                <w:color w:val="auto"/>
              </w:rPr>
              <w:t>China JV Contribution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3"/>
            <w:vMerge w:val="continue"/>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color w:val="auto"/>
                <w:w w:val="79"/>
              </w:rPr>
              <w:t>621</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Non-GAAP Adjusted income from operations</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6"/>
              </w:rPr>
              <w:t>$11,062</w:t>
            </w:r>
          </w:p>
        </w:tc>
        <w:tc>
          <w:tcPr>
            <w:tcW w:w="2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13.7%</w:t>
            </w:r>
          </w:p>
        </w:tc>
        <w:tc>
          <w:tcPr>
            <w:tcW w:w="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2"/>
              </w:rPr>
              <w:t>$12,400</w:t>
            </w:r>
          </w:p>
        </w:tc>
        <w:tc>
          <w:tcPr>
            <w:tcW w:w="3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14.9%</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GAAP Total Sales</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$80,492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5"/>
          </w:tcPr>
          <w:p>
            <w:pPr>
              <w:jc w:val="right"/>
              <w:ind w:right="256"/>
              <w:spacing w:after="0"/>
              <w:rPr>
                <w:sz w:val="20"/>
                <w:szCs w:val="20"/>
                <w:color w:val="auto"/>
              </w:rPr>
            </w:pPr>
            <w:r>
              <w:rPr>
                <w:rFonts w:ascii="Arial" w:cs="Arial" w:eastAsia="Arial" w:hAnsi="Arial"/>
                <w:sz w:val="18"/>
                <w:szCs w:val="18"/>
                <w:color w:val="auto"/>
              </w:rPr>
              <w:t>$83,243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580" w:type="dxa"/>
            <w:vAlign w:val="bottom"/>
            <w:gridSpan w:val="3"/>
          </w:tcPr>
          <w:p>
            <w:pPr>
              <w:spacing w:after="0"/>
              <w:rPr>
                <w:sz w:val="20"/>
                <w:szCs w:val="20"/>
                <w:color w:val="auto"/>
              </w:rPr>
            </w:pPr>
            <w:r>
              <w:rPr>
                <w:rFonts w:ascii="Arial" w:cs="Arial" w:eastAsia="Arial" w:hAnsi="Arial"/>
                <w:sz w:val="18"/>
                <w:szCs w:val="18"/>
                <w:b w:val="1"/>
                <w:bCs w:val="1"/>
                <w:color w:val="auto"/>
                <w:w w:val="91"/>
              </w:rPr>
              <w:t>Reconciliation of GAAP income from operations to Non-GAAP adjusted income from operations:</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580" w:type="dxa"/>
            <w:vAlign w:val="bottom"/>
            <w:gridSpan w:val="3"/>
          </w:tcPr>
          <w:p>
            <w:pPr>
              <w:ind w:left="460"/>
              <w:spacing w:after="0"/>
              <w:rPr>
                <w:sz w:val="20"/>
                <w:szCs w:val="20"/>
                <w:color w:val="auto"/>
              </w:rPr>
            </w:pPr>
            <w:r>
              <w:rPr>
                <w:rFonts w:ascii="Arial" w:cs="Arial" w:eastAsia="Arial" w:hAnsi="Arial"/>
                <w:sz w:val="14"/>
                <w:szCs w:val="14"/>
                <w:b w:val="1"/>
                <w:bCs w:val="1"/>
                <w:color w:val="auto"/>
              </w:rPr>
              <w:t>NN, Inc - Precision Bearing Components Group</w:t>
            </w:r>
          </w:p>
        </w:tc>
        <w:tc>
          <w:tcPr>
            <w:tcW w:w="180" w:type="dxa"/>
            <w:vAlign w:val="bottom"/>
          </w:tcPr>
          <w:p>
            <w:pPr>
              <w:spacing w:after="0"/>
              <w:rPr>
                <w:sz w:val="24"/>
                <w:szCs w:val="24"/>
                <w:color w:val="auto"/>
              </w:rPr>
            </w:pPr>
          </w:p>
        </w:tc>
        <w:tc>
          <w:tcPr>
            <w:tcW w:w="2640" w:type="dxa"/>
            <w:vAlign w:val="bottom"/>
            <w:gridSpan w:val="11"/>
          </w:tcPr>
          <w:p>
            <w:pPr>
              <w:ind w:left="380"/>
              <w:spacing w:after="0"/>
              <w:rPr>
                <w:sz w:val="20"/>
                <w:szCs w:val="20"/>
                <w:color w:val="auto"/>
              </w:rPr>
            </w:pPr>
            <w:r>
              <w:rPr>
                <w:rFonts w:ascii="Arial" w:cs="Arial" w:eastAsia="Arial" w:hAnsi="Arial"/>
                <w:sz w:val="14"/>
                <w:szCs w:val="14"/>
                <w:b w:val="1"/>
                <w:bCs w:val="1"/>
                <w:color w:val="auto"/>
                <w:w w:val="93"/>
              </w:rPr>
              <w:t>Three Months Ended September 30,</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vMerge w:val="restart"/>
          </w:tcPr>
          <w:p>
            <w:pPr>
              <w:spacing w:after="0"/>
              <w:rPr>
                <w:sz w:val="10"/>
                <w:szCs w:val="10"/>
                <w:color w:val="auto"/>
              </w:rPr>
            </w:pPr>
          </w:p>
        </w:tc>
        <w:tc>
          <w:tcPr>
            <w:tcW w:w="2120" w:type="dxa"/>
            <w:vAlign w:val="bottom"/>
            <w:vMerge w:val="restart"/>
          </w:tcPr>
          <w:p>
            <w:pPr>
              <w:spacing w:after="0"/>
              <w:rPr>
                <w:sz w:val="20"/>
                <w:szCs w:val="20"/>
                <w:color w:val="auto"/>
              </w:rPr>
            </w:pPr>
            <w:r>
              <w:rPr>
                <w:rFonts w:ascii="Arial" w:cs="Arial" w:eastAsia="Arial" w:hAnsi="Arial"/>
                <w:sz w:val="14"/>
                <w:szCs w:val="14"/>
                <w:color w:val="auto"/>
                <w:w w:val="90"/>
              </w:rPr>
              <w:t>(in thousands, except per share data)</w:t>
            </w:r>
          </w:p>
        </w:tc>
        <w:tc>
          <w:tcPr>
            <w:tcW w:w="50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rPr>
              <w:t>% of</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460" w:type="dxa"/>
            <w:vAlign w:val="bottom"/>
            <w:vMerge w:val="continue"/>
          </w:tcPr>
          <w:p>
            <w:pPr>
              <w:spacing w:after="0"/>
              <w:rPr>
                <w:sz w:val="13"/>
                <w:szCs w:val="13"/>
                <w:color w:val="auto"/>
              </w:rPr>
            </w:pPr>
          </w:p>
        </w:tc>
        <w:tc>
          <w:tcPr>
            <w:tcW w:w="2120" w:type="dxa"/>
            <w:vAlign w:val="bottom"/>
            <w:tcBorders>
              <w:bottom w:val="single" w:sz="8" w:color="auto"/>
            </w:tcBorders>
            <w:vMerge w:val="continue"/>
          </w:tcPr>
          <w:p>
            <w:pPr>
              <w:spacing w:after="0"/>
              <w:rPr>
                <w:sz w:val="13"/>
                <w:szCs w:val="13"/>
                <w:color w:val="auto"/>
              </w:rPr>
            </w:pPr>
          </w:p>
        </w:tc>
        <w:tc>
          <w:tcPr>
            <w:tcW w:w="50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5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GAAP Income from operations</w:t>
            </w:r>
          </w:p>
        </w:tc>
        <w:tc>
          <w:tcPr>
            <w:tcW w:w="96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$5,840</w:t>
            </w:r>
          </w:p>
        </w:tc>
        <w:tc>
          <w:tcPr>
            <w:tcW w:w="8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3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11.0%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Restructuring &amp; impairment Charges</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860" w:type="dxa"/>
            <w:vAlign w:val="bottom"/>
            <w:gridSpan w:val="4"/>
          </w:tcPr>
          <w:p>
            <w:pPr>
              <w:jc w:val="right"/>
              <w:ind w:right="2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9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580" w:type="dxa"/>
            <w:vAlign w:val="bottom"/>
            <w:gridSpan w:val="3"/>
            <w:vMerge w:val="restart"/>
          </w:tcPr>
          <w:p>
            <w:pPr>
              <w:ind w:left="460"/>
              <w:spacing w:after="0"/>
              <w:rPr>
                <w:sz w:val="20"/>
                <w:szCs w:val="20"/>
                <w:color w:val="auto"/>
              </w:rPr>
            </w:pPr>
            <w:r>
              <w:rPr>
                <w:rFonts w:ascii="Arial" w:cs="Arial" w:eastAsia="Arial" w:hAnsi="Arial"/>
                <w:sz w:val="18"/>
                <w:szCs w:val="18"/>
                <w:b w:val="1"/>
                <w:bCs w:val="1"/>
                <w:color w:val="auto"/>
              </w:rPr>
              <w:t>Non-GAAP Adjusted income from operations (a)</w:t>
            </w:r>
          </w:p>
        </w:tc>
        <w:tc>
          <w:tcPr>
            <w:tcW w:w="180" w:type="dxa"/>
            <w:vAlign w:val="bottom"/>
            <w:vMerge w:val="restart"/>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3"/>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5,947</w:t>
            </w:r>
          </w:p>
        </w:tc>
        <w:tc>
          <w:tcPr>
            <w:tcW w:w="2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10.2%</w:t>
            </w:r>
          </w:p>
        </w:tc>
        <w:tc>
          <w:tcPr>
            <w:tcW w:w="10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6,690</w:t>
            </w:r>
          </w:p>
        </w:tc>
        <w:tc>
          <w:tcPr>
            <w:tcW w:w="380" w:type="dxa"/>
            <w:vAlign w:val="bottom"/>
            <w:vMerge w:val="continue"/>
          </w:tcPr>
          <w:p>
            <w:pPr>
              <w:spacing w:after="0"/>
              <w:rPr>
                <w:sz w:val="19"/>
                <w:szCs w:val="19"/>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11.0%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GAAP Total Sales</w:t>
            </w:r>
          </w:p>
        </w:tc>
        <w:tc>
          <w:tcPr>
            <w:tcW w:w="1320" w:type="dxa"/>
            <w:vAlign w:val="bottom"/>
            <w:gridSpan w:val="6"/>
            <w:shd w:val="clear" w:color="auto" w:fill="CCEEFF"/>
          </w:tcPr>
          <w:p>
            <w:pPr>
              <w:ind w:left="560"/>
              <w:spacing w:after="0"/>
              <w:rPr>
                <w:sz w:val="20"/>
                <w:szCs w:val="20"/>
                <w:color w:val="auto"/>
              </w:rPr>
            </w:pPr>
            <w:r>
              <w:rPr>
                <w:rFonts w:ascii="Arial" w:cs="Arial" w:eastAsia="Arial" w:hAnsi="Arial"/>
                <w:sz w:val="18"/>
                <w:szCs w:val="18"/>
                <w:color w:val="auto"/>
              </w:rPr>
              <w:t>$58,246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176"/>
              <w:spacing w:after="0"/>
              <w:rPr>
                <w:sz w:val="20"/>
                <w:szCs w:val="20"/>
                <w:color w:val="auto"/>
              </w:rPr>
            </w:pPr>
            <w:r>
              <w:rPr>
                <w:rFonts w:ascii="Arial" w:cs="Arial" w:eastAsia="Arial" w:hAnsi="Arial"/>
                <w:sz w:val="18"/>
                <w:szCs w:val="18"/>
                <w:color w:val="auto"/>
              </w:rPr>
              <w:t>$60,545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70" w:right="6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GAAP income from operations to Non-GAAP adjusted income from operations: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NN, Inc - Precision Engineered Components Group</w:t>
            </w:r>
          </w:p>
        </w:tc>
        <w:tc>
          <w:tcPr>
            <w:tcW w:w="1640" w:type="dxa"/>
            <w:vAlign w:val="bottom"/>
          </w:tcPr>
          <w:p>
            <w:pPr>
              <w:spacing w:after="0"/>
              <w:rPr>
                <w:sz w:val="14"/>
                <w:szCs w:val="14"/>
                <w:color w:val="auto"/>
              </w:rPr>
            </w:pPr>
          </w:p>
        </w:tc>
        <w:tc>
          <w:tcPr>
            <w:tcW w:w="294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1640" w:type="dxa"/>
            <w:vAlign w:val="bottom"/>
          </w:tcPr>
          <w:p>
            <w:pPr>
              <w:spacing w:after="0"/>
              <w:rPr>
                <w:sz w:val="10"/>
                <w:szCs w:val="10"/>
                <w:color w:val="auto"/>
              </w:rPr>
            </w:pPr>
          </w:p>
        </w:tc>
        <w:tc>
          <w:tcPr>
            <w:tcW w:w="1040" w:type="dxa"/>
            <w:vAlign w:val="bottom"/>
            <w:tcBorders>
              <w:top w:val="single" w:sz="8" w:color="auto"/>
            </w:tcBorders>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 of</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400" w:type="dxa"/>
            <w:vAlign w:val="bottom"/>
            <w:gridSpan w:val="3"/>
            <w:vMerge w:val="continue"/>
          </w:tcPr>
          <w:p>
            <w:pPr>
              <w:spacing w:after="0"/>
              <w:rPr>
                <w:sz w:val="13"/>
                <w:szCs w:val="13"/>
                <w:color w:val="auto"/>
              </w:rPr>
            </w:pPr>
          </w:p>
        </w:tc>
        <w:tc>
          <w:tcPr>
            <w:tcW w:w="16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74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Sales</w:t>
            </w:r>
          </w:p>
        </w:tc>
        <w:tc>
          <w:tcPr>
            <w:tcW w:w="20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5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GAAP Income from operations</w:t>
            </w:r>
          </w:p>
        </w:tc>
        <w:tc>
          <w:tcPr>
            <w:tcW w:w="2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$ 9,913</w:t>
            </w:r>
          </w:p>
        </w:tc>
        <w:tc>
          <w:tcPr>
            <w:tcW w:w="74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595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Acquisition &amp; integration expenses</w:t>
            </w:r>
          </w:p>
        </w:tc>
        <w:tc>
          <w:tcPr>
            <w:tcW w:w="2680" w:type="dxa"/>
            <w:vAlign w:val="bottom"/>
            <w:gridSpan w:val="3"/>
          </w:tcPr>
          <w:p>
            <w:pPr>
              <w:jc w:val="right"/>
              <w:ind w:right="440"/>
              <w:spacing w:after="0"/>
              <w:rPr>
                <w:sz w:val="20"/>
                <w:szCs w:val="20"/>
                <w:color w:val="auto"/>
              </w:rPr>
            </w:pPr>
            <w:r>
              <w:rPr>
                <w:rFonts w:ascii="Arial" w:cs="Arial" w:eastAsia="Arial" w:hAnsi="Arial"/>
                <w:sz w:val="18"/>
                <w:szCs w:val="18"/>
                <w:color w:val="auto"/>
              </w:rPr>
              <w:t>320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6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440" w:type="dxa"/>
            <w:vAlign w:val="bottom"/>
            <w:shd w:val="clear" w:color="auto" w:fill="CCEEFF"/>
          </w:tcPr>
          <w:p>
            <w:pPr>
              <w:spacing w:after="0"/>
              <w:rPr>
                <w:sz w:val="18"/>
                <w:szCs w:val="18"/>
                <w:color w:val="auto"/>
              </w:rPr>
            </w:pPr>
          </w:p>
        </w:tc>
        <w:tc>
          <w:tcPr>
            <w:tcW w:w="74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Non-GAAP Adjusted income from operations (a)</w:t>
            </w:r>
          </w:p>
        </w:tc>
        <w:tc>
          <w:tcPr>
            <w:tcW w:w="16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gridSpan w:val="3"/>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15,213</w:t>
            </w:r>
          </w:p>
        </w:tc>
        <w:tc>
          <w:tcPr>
            <w:tcW w:w="440" w:type="dxa"/>
            <w:vAlign w:val="bottom"/>
            <w:vMerge w:val="continue"/>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23.0%</w:t>
            </w:r>
          </w:p>
        </w:tc>
        <w:tc>
          <w:tcPr>
            <w:tcW w:w="20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w w:val="79"/>
              </w:rPr>
              <w:t>652</w:t>
            </w:r>
          </w:p>
        </w:tc>
        <w:tc>
          <w:tcPr>
            <w:tcW w:w="460" w:type="dxa"/>
            <w:vAlign w:val="bottom"/>
            <w:vMerge w:val="continue"/>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GAAP Total Sales</w:t>
            </w:r>
          </w:p>
        </w:tc>
        <w:tc>
          <w:tcPr>
            <w:tcW w:w="2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$66,222</w:t>
            </w:r>
          </w:p>
        </w:tc>
        <w:tc>
          <w:tcPr>
            <w:tcW w:w="38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17"/>
              <w:spacing w:after="0"/>
              <w:rPr>
                <w:sz w:val="20"/>
                <w:szCs w:val="20"/>
                <w:color w:val="auto"/>
              </w:rPr>
            </w:pPr>
            <w:r>
              <w:rPr>
                <w:rFonts w:ascii="Arial" w:cs="Arial" w:eastAsia="Arial" w:hAnsi="Arial"/>
                <w:sz w:val="18"/>
                <w:szCs w:val="18"/>
                <w:color w:val="auto"/>
              </w:rPr>
              <w:t>$11,036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The Company discloses in this presentation the non-GAAP financial measures of adjusted income from operations, adjusted net income and adjusted diluted earnings per share. Each of these non-GAAP financial measures provide supplementary information about the impacts of acquisition and integration related expenses, foreign-exchange impacts on inter-company loans reorganizational and impairment charges. Over the past three years, we have completed six acquisitions, two of which were transformative for the Company. The costs we incurred in completing such acquisitions, including the amortization of intangibles and deferred financing costs,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such as, the write-off of our interest rate swap, are excluded as the charges on not indicative of our ongoing operating cost. We believe the presentation of adjusted income from operations, adjusted net income and adjusted diluted earnings per share provide useful information in assessing our underlying business trends and facilitates comparison of our long-term performance over given periods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net income growth derived from income amounts presented in accordance with GAAP. The Company does not consider these non-GAAP financial measures to be a substitute for, or superior to, the information provided by GAAP financial results.</w:t>
      </w:r>
    </w:p>
    <w:p>
      <w:pPr>
        <w:spacing w:after="0" w:line="188" w:lineRule="exact"/>
        <w:rPr>
          <w:sz w:val="20"/>
          <w:szCs w:val="20"/>
          <w:color w:val="auto"/>
        </w:rPr>
      </w:pPr>
    </w:p>
    <w:p>
      <w:pPr>
        <w:ind w:right="160" w:firstLine="8"/>
        <w:spacing w:after="0" w:line="291" w:lineRule="auto"/>
        <w:tabs>
          <w:tab w:leader="none" w:pos="245"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Non-GAAP Adjusted income from operations, represents GAAP income from operations, adjusted to exclude the effects of restructuring and non-cash impairment charges (related to plant closures and other charges incurred to implement our strategic goals, that do not necessarily represent a major strategic shift in operations), one-time charges related to acquisition and integration costs, intangible amortization costs for fair value step-up in values related to acquisitions,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from operations, is not a measure of financial performance under GAAP and should not be considered as a measure of liquidity or as an alternative to GAAP income from operations.</w:t>
      </w:r>
    </w:p>
    <w:p>
      <w:pPr>
        <w:sectPr>
          <w:pgSz w:w="11900" w:h="16838" w:orient="portrait"/>
          <w:cols w:equalWidth="0" w:num="1">
            <w:col w:w="11380"/>
          </w:cols>
          <w:pgMar w:left="240" w:top="270" w:right="279" w:bottom="1440" w:gutter="0" w:footer="0" w:header="0"/>
        </w:sectPr>
      </w:pPr>
    </w:p>
    <w:bookmarkStart w:id="12" w:name="page13"/>
    <w:bookmarkEnd w:id="12"/>
    <w:p>
      <w:pPr>
        <w:ind w:left="-8" w:firstLine="8"/>
        <w:spacing w:after="0" w:line="271" w:lineRule="auto"/>
        <w:tabs>
          <w:tab w:leader="none" w:pos="247"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adjusted net income and adjusted diluted earnings per share, represents GAAP net income, adjusted to exclude the tax-affected effects of restructuring and impairment charges (related to plant closures and other charges incurred to implement our strategic goals, that do not necessarily represent a major strategic shift in operations), one-time charges related to acquisition and integration costs, amortization of intangibles costs for fair value step-up in values related to acquisitions and amortization of deferred financing costs, and foreign exchange gain (loss) on inter-company loans.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net income and Non-GAAP adjusted diluted earnings per share, is not a measure of financial performance under GAAP and should not be considered as a measure of liquidity or as an alternative to GAAP net income.</w:t>
      </w:r>
    </w:p>
    <w:p>
      <w:pPr>
        <w:spacing w:after="0" w:line="178" w:lineRule="exact"/>
        <w:rPr>
          <w:rFonts w:ascii="Arial" w:cs="Arial" w:eastAsia="Arial" w:hAnsi="Arial"/>
          <w:sz w:val="17"/>
          <w:szCs w:val="17"/>
          <w:color w:val="auto"/>
        </w:rPr>
      </w:pPr>
    </w:p>
    <w:p>
      <w:pPr>
        <w:ind w:left="-8" w:right="60" w:firstLine="8"/>
        <w:spacing w:after="0" w:line="259" w:lineRule="auto"/>
        <w:tabs>
          <w:tab w:leader="none" w:pos="23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line item reflects the aggregate tax effect of all nontax adjustments reflected in the table above. In addition, the footnotes above indicate the after-tax amount of each individual adjustment item. NN, Inc. estimates the tax effect of the adjustment items identified in the reconciliation schedule above by applying NN, Inc’s. overall estimated effective tax rate to the pretax amount, unless the nature of the item and/or the tax jurisdiction in which the item has been recorded requires application of a specific tax rate or tax treatment.</w:t>
      </w:r>
    </w:p>
    <w:sectPr>
      <w:pgSz w:w="11900" w:h="16838" w:orient="portrait"/>
      <w:cols w:equalWidth="0" w:num="1">
        <w:col w:w="11372"/>
      </w:cols>
      <w:pgMar w:left="248"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40"/>
    </w:lvl>
  </w:abstractNum>
  <w:abstractNum w:abstractNumId="2">
    <w:nsid w:val="238E1F29"/>
    <w:multiLevelType w:val="hybridMultilevel"/>
    <w:lvl w:ilvl="0">
      <w:lvlJc w:val="left"/>
      <w:lvlText w:val="%1"/>
      <w:numFmt w:val="upperLetter"/>
      <w:start w:val="40"/>
    </w:lvl>
  </w:abstractNum>
  <w:abstractNum w:abstractNumId="3">
    <w:nsid w:val="46E87CCD"/>
    <w:multiLevelType w:val="hybridMultilevel"/>
    <w:lvl w:ilvl="0">
      <w:lvlJc w:val="left"/>
      <w:lvlText w:val="%1"/>
      <w:numFmt w:val="upperLetter"/>
      <w:start w:val="40"/>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2019-12-06T04:35:13Z</dcterms:created>
  <dcterms:modified xsi:type="dcterms:W3CDTF">2019-12-06T04:35:13Z</dcterms:modified>
</cp:coreProperties>
</file>