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3296285</wp:posOffset>
            </wp:positionH>
            <wp:positionV relativeFrom="paragraph">
              <wp:posOffset>73660</wp:posOffset>
            </wp:positionV>
            <wp:extent cx="663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3575"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 PURSUANT TO</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SECTION 13 OR 15(d) OF THE</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EXCHANGE ACT OF 1934</w:t>
      </w: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Date of Report (Date of earliest event reported): March 11,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3329305</wp:posOffset>
            </wp:positionH>
            <wp:positionV relativeFrom="paragraph">
              <wp:posOffset>14605</wp:posOffset>
            </wp:positionV>
            <wp:extent cx="598170" cy="598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170" cy="598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u w:val="single" w:color="auto"/>
          <w:color w:val="auto"/>
        </w:rPr>
        <w:t>NN,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(Exact name of registrant as specified in its charter)</w:t>
      </w:r>
    </w:p>
    <w:p>
      <w:pPr>
        <w:spacing w:after="0" w:line="214" w:lineRule="exact"/>
        <w:rPr>
          <w:sz w:val="24"/>
          <w:szCs w:val="24"/>
          <w:color w:val="auto"/>
        </w:rPr>
      </w:pPr>
    </w:p>
    <w:tbl>
      <w:tblPr>
        <w:tblLayout w:type="fixed"/>
        <w:tblInd w:w="280" w:type="dxa"/>
        <w:tblCellMar>
          <w:top w:w="0" w:type="dxa"/>
          <w:left w:w="0" w:type="dxa"/>
          <w:bottom w:w="0" w:type="dxa"/>
          <w:right w:w="0" w:type="dxa"/>
        </w:tblCellMar>
      </w:tblPr>
      <w:tr>
        <w:trPr>
          <w:trHeight w:val="195"/>
        </w:trPr>
        <w:tc>
          <w:tcPr>
            <w:tcW w:w="1320" w:type="dxa"/>
            <w:vAlign w:val="bottom"/>
          </w:tcPr>
          <w:p>
            <w:pPr>
              <w:spacing w:after="0"/>
              <w:rPr>
                <w:sz w:val="16"/>
                <w:szCs w:val="16"/>
                <w:color w:val="auto"/>
              </w:rPr>
            </w:pPr>
          </w:p>
        </w:tc>
        <w:tc>
          <w:tcPr>
            <w:tcW w:w="2280" w:type="dxa"/>
            <w:vAlign w:val="bottom"/>
            <w:gridSpan w:val="3"/>
          </w:tcPr>
          <w:p>
            <w:pPr>
              <w:jc w:val="center"/>
              <w:ind w:right="1620"/>
              <w:spacing w:after="0"/>
              <w:rPr>
                <w:sz w:val="20"/>
                <w:szCs w:val="20"/>
                <w:color w:val="auto"/>
              </w:rPr>
            </w:pPr>
            <w:r>
              <w:rPr>
                <w:rFonts w:ascii="Arial" w:cs="Arial" w:eastAsia="Arial" w:hAnsi="Arial"/>
                <w:sz w:val="17"/>
                <w:szCs w:val="17"/>
                <w:color w:val="auto"/>
                <w:w w:val="91"/>
              </w:rPr>
              <w:t>Delaware</w:t>
            </w:r>
          </w:p>
        </w:tc>
        <w:tc>
          <w:tcPr>
            <w:tcW w:w="2160" w:type="dxa"/>
            <w:vAlign w:val="bottom"/>
            <w:gridSpan w:val="3"/>
          </w:tcPr>
          <w:p>
            <w:pPr>
              <w:jc w:val="right"/>
              <w:spacing w:after="0"/>
              <w:rPr>
                <w:sz w:val="20"/>
                <w:szCs w:val="20"/>
                <w:color w:val="auto"/>
              </w:rPr>
            </w:pPr>
            <w:r>
              <w:rPr>
                <w:rFonts w:ascii="Arial" w:cs="Arial" w:eastAsia="Arial" w:hAnsi="Arial"/>
                <w:sz w:val="17"/>
                <w:szCs w:val="17"/>
                <w:color w:val="auto"/>
              </w:rPr>
              <w:t>0-23486</w:t>
            </w: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20" w:type="dxa"/>
            <w:vAlign w:val="bottom"/>
            <w:gridSpan w:val="5"/>
          </w:tcPr>
          <w:p>
            <w:pPr>
              <w:jc w:val="right"/>
              <w:ind w:right="840"/>
              <w:spacing w:after="0"/>
              <w:rPr>
                <w:sz w:val="20"/>
                <w:szCs w:val="20"/>
                <w:color w:val="auto"/>
              </w:rPr>
            </w:pPr>
            <w:r>
              <w:rPr>
                <w:rFonts w:ascii="Arial" w:cs="Arial" w:eastAsia="Arial" w:hAnsi="Arial"/>
                <w:sz w:val="17"/>
                <w:szCs w:val="17"/>
                <w:color w:val="auto"/>
              </w:rPr>
              <w:t>62-1096725</w:t>
            </w:r>
          </w:p>
        </w:tc>
      </w:tr>
      <w:tr>
        <w:trPr>
          <w:trHeight w:val="20"/>
        </w:trPr>
        <w:tc>
          <w:tcPr>
            <w:tcW w:w="1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49"/>
        </w:trPr>
        <w:tc>
          <w:tcPr>
            <w:tcW w:w="3600" w:type="dxa"/>
            <w:vAlign w:val="bottom"/>
            <w:gridSpan w:val="4"/>
          </w:tcPr>
          <w:p>
            <w:pPr>
              <w:jc w:val="center"/>
              <w:ind w:right="280"/>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gridSpan w:val="5"/>
          </w:tcPr>
          <w:p>
            <w:pPr>
              <w:jc w:val="center"/>
              <w:ind w:right="340"/>
              <w:spacing w:after="0"/>
              <w:rPr>
                <w:sz w:val="20"/>
                <w:szCs w:val="20"/>
                <w:color w:val="auto"/>
              </w:rPr>
            </w:pPr>
            <w:r>
              <w:rPr>
                <w:rFonts w:ascii="Arial" w:cs="Arial" w:eastAsia="Arial" w:hAnsi="Arial"/>
                <w:sz w:val="17"/>
                <w:szCs w:val="17"/>
                <w:color w:val="auto"/>
                <w:w w:val="93"/>
              </w:rPr>
              <w:t>(Commission File Number)</w:t>
            </w:r>
          </w:p>
        </w:tc>
        <w:tc>
          <w:tcPr>
            <w:tcW w:w="2820" w:type="dxa"/>
            <w:vAlign w:val="bottom"/>
            <w:gridSpan w:val="5"/>
          </w:tcPr>
          <w:p>
            <w:pPr>
              <w:jc w:val="center"/>
              <w:ind w:left="234"/>
              <w:spacing w:after="0"/>
              <w:rPr>
                <w:sz w:val="20"/>
                <w:szCs w:val="20"/>
                <w:color w:val="auto"/>
              </w:rPr>
            </w:pPr>
            <w:r>
              <w:rPr>
                <w:rFonts w:ascii="Arial" w:cs="Arial" w:eastAsia="Arial" w:hAnsi="Arial"/>
                <w:sz w:val="17"/>
                <w:szCs w:val="17"/>
                <w:color w:val="auto"/>
                <w:w w:val="95"/>
              </w:rPr>
              <w:t>(I.R.S. Employer Identification No.)</w:t>
            </w:r>
          </w:p>
        </w:tc>
      </w:tr>
      <w:tr>
        <w:trPr>
          <w:trHeight w:val="376"/>
        </w:trPr>
        <w:tc>
          <w:tcPr>
            <w:tcW w:w="3600" w:type="dxa"/>
            <w:vAlign w:val="bottom"/>
            <w:gridSpan w:val="4"/>
          </w:tcPr>
          <w:p>
            <w:pPr>
              <w:jc w:val="center"/>
              <w:ind w:right="140"/>
              <w:spacing w:after="0"/>
              <w:rPr>
                <w:sz w:val="20"/>
                <w:szCs w:val="20"/>
                <w:color w:val="auto"/>
              </w:rPr>
            </w:pPr>
            <w:r>
              <w:rPr>
                <w:rFonts w:ascii="Arial" w:cs="Arial" w:eastAsia="Arial" w:hAnsi="Arial"/>
                <w:sz w:val="17"/>
                <w:szCs w:val="17"/>
                <w:color w:val="auto"/>
                <w:w w:val="89"/>
              </w:rPr>
              <w:t>2000 Waters Edge Drive, Johnson City, Tennessee</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80" w:type="dxa"/>
            <w:vAlign w:val="bottom"/>
            <w:gridSpan w:val="4"/>
          </w:tcPr>
          <w:p>
            <w:pPr>
              <w:jc w:val="right"/>
              <w:ind w:right="280"/>
              <w:spacing w:after="0"/>
              <w:rPr>
                <w:sz w:val="20"/>
                <w:szCs w:val="20"/>
                <w:color w:val="auto"/>
              </w:rPr>
            </w:pPr>
            <w:r>
              <w:rPr>
                <w:rFonts w:ascii="Arial" w:cs="Arial" w:eastAsia="Arial" w:hAnsi="Arial"/>
                <w:sz w:val="17"/>
                <w:szCs w:val="17"/>
                <w:color w:val="auto"/>
              </w:rPr>
              <w:t>37604</w:t>
            </w:r>
          </w:p>
        </w:tc>
        <w:tc>
          <w:tcPr>
            <w:tcW w:w="840" w:type="dxa"/>
            <w:vAlign w:val="bottom"/>
          </w:tcPr>
          <w:p>
            <w:pPr>
              <w:spacing w:after="0"/>
              <w:rPr>
                <w:sz w:val="24"/>
                <w:szCs w:val="24"/>
                <w:color w:val="auto"/>
              </w:rPr>
            </w:pPr>
          </w:p>
        </w:tc>
      </w:tr>
      <w:tr>
        <w:trPr>
          <w:trHeight w:val="20"/>
        </w:trPr>
        <w:tc>
          <w:tcPr>
            <w:tcW w:w="346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24"/>
        </w:trPr>
        <w:tc>
          <w:tcPr>
            <w:tcW w:w="3460" w:type="dxa"/>
            <w:vAlign w:val="bottom"/>
            <w:gridSpan w:val="3"/>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20" w:type="dxa"/>
            <w:vAlign w:val="bottom"/>
            <w:gridSpan w:val="5"/>
          </w:tcPr>
          <w:p>
            <w:pPr>
              <w:jc w:val="center"/>
              <w:ind w:left="94"/>
              <w:spacing w:after="0"/>
              <w:rPr>
                <w:sz w:val="20"/>
                <w:szCs w:val="20"/>
                <w:color w:val="auto"/>
              </w:rPr>
            </w:pPr>
            <w:r>
              <w:rPr>
                <w:rFonts w:ascii="Arial" w:cs="Arial" w:eastAsia="Arial" w:hAnsi="Arial"/>
                <w:sz w:val="17"/>
                <w:szCs w:val="17"/>
                <w:color w:val="auto"/>
                <w:w w:val="94"/>
              </w:rPr>
              <w:t>(Zip Code)</w:t>
            </w:r>
          </w:p>
        </w:tc>
      </w:tr>
      <w:tr>
        <w:trPr>
          <w:trHeight w:val="376"/>
        </w:trPr>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4"/>
          </w:tcPr>
          <w:p>
            <w:pPr>
              <w:jc w:val="right"/>
              <w:spacing w:after="0"/>
              <w:rPr>
                <w:sz w:val="20"/>
                <w:szCs w:val="20"/>
                <w:color w:val="auto"/>
              </w:rPr>
            </w:pPr>
            <w:r>
              <w:rPr>
                <w:rFonts w:ascii="Arial" w:cs="Arial" w:eastAsia="Arial" w:hAnsi="Arial"/>
                <w:sz w:val="17"/>
                <w:szCs w:val="17"/>
                <w:color w:val="auto"/>
              </w:rPr>
              <w:t>(423) 743-9151</w:t>
            </w: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4"/>
        </w:trPr>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80" w:type="dxa"/>
            <w:vAlign w:val="bottom"/>
            <w:gridSpan w:val="5"/>
          </w:tcPr>
          <w:p>
            <w:pPr>
              <w:jc w:val="center"/>
              <w:ind w:right="200"/>
              <w:spacing w:after="0"/>
              <w:rPr>
                <w:sz w:val="20"/>
                <w:szCs w:val="20"/>
                <w:color w:val="auto"/>
              </w:rPr>
            </w:pPr>
            <w:r>
              <w:rPr>
                <w:rFonts w:ascii="Arial" w:cs="Arial" w:eastAsia="Arial" w:hAnsi="Arial"/>
                <w:sz w:val="17"/>
                <w:szCs w:val="17"/>
                <w:color w:val="auto"/>
                <w:w w:val="91"/>
              </w:rPr>
              <w:t>(Registrant's telephone number, including area code)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196" w:lineRule="exact"/>
        <w:rPr>
          <w:sz w:val="24"/>
          <w:szCs w:val="24"/>
          <w:color w:val="auto"/>
        </w:rPr>
      </w:pPr>
    </w:p>
    <w:p>
      <w:pPr>
        <w:jc w:val="center"/>
        <w:ind w:right="-21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if the Form 8-K filing is intended to simultaneously satisfy the filing obligation of the registrant under any of the following provisions (see</w:t>
      </w:r>
    </w:p>
    <w:p>
      <w:pPr>
        <w:spacing w:after="0" w:line="45" w:lineRule="exact"/>
        <w:rPr>
          <w:sz w:val="24"/>
          <w:szCs w:val="24"/>
          <w:color w:val="auto"/>
        </w:rPr>
      </w:pPr>
    </w:p>
    <w:p>
      <w:pPr>
        <w:spacing w:after="0"/>
        <w:rPr>
          <w:sz w:val="20"/>
          <w:szCs w:val="20"/>
          <w:color w:val="auto"/>
        </w:rPr>
      </w:pPr>
      <w:r>
        <w:rPr>
          <w:rFonts w:ascii="Arial" w:cs="Arial" w:eastAsia="Arial" w:hAnsi="Arial"/>
          <w:sz w:val="17"/>
          <w:szCs w:val="17"/>
          <w:color w:val="auto"/>
        </w:rPr>
        <w:t>General Instruction A.2. below):</w:t>
      </w:r>
    </w:p>
    <w:p>
      <w:pPr>
        <w:spacing w:after="0" w:line="233" w:lineRule="exact"/>
        <w:rPr>
          <w:sz w:val="24"/>
          <w:szCs w:val="24"/>
          <w:color w:val="auto"/>
        </w:rPr>
      </w:pPr>
    </w:p>
    <w:p>
      <w:pPr>
        <w:ind w:left="620" w:hanging="617"/>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640" w:hanging="637"/>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640" w:hanging="637"/>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left="640" w:hanging="637"/>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25741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430530</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2.02RESULTS OF OPERATIONS AND FINANCIAL CONDITION</w:t>
      </w:r>
    </w:p>
    <w:p>
      <w:pPr>
        <w:spacing w:after="0" w:line="24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March 11, 2013, NN, Inc. (the “Company”) issued a press release, announcing the Company’s results of operations and financial condition for the fourth quarter and fiscal year ended December 31, 2012. The full text of the press release is furnished as Exhibit 99.1 and is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9.01FINANCIAL STATEMENTS AND EXHIBITS</w:t>
      </w:r>
    </w:p>
    <w:p>
      <w:pPr>
        <w:spacing w:after="0" w:line="53" w:lineRule="exact"/>
        <w:rPr>
          <w:sz w:val="20"/>
          <w:szCs w:val="20"/>
          <w:color w:val="auto"/>
        </w:rPr>
      </w:pPr>
    </w:p>
    <w:p>
      <w:pPr>
        <w:spacing w:after="0"/>
        <w:tabs>
          <w:tab w:leader="none" w:pos="680" w:val="left"/>
        </w:tabs>
        <w:rPr>
          <w:sz w:val="20"/>
          <w:szCs w:val="20"/>
          <w:color w:val="auto"/>
        </w:rPr>
      </w:pPr>
      <w:r>
        <w:rPr>
          <w:rFonts w:ascii="Arial" w:cs="Arial" w:eastAsia="Arial" w:hAnsi="Arial"/>
          <w:sz w:val="34"/>
          <w:szCs w:val="34"/>
          <w:b w:val="1"/>
          <w:bCs w:val="1"/>
          <w:u w:val="single" w:color="auto"/>
          <w:color w:val="auto"/>
          <w:vertAlign w:val="superscript"/>
        </w:rPr>
        <w:t>Exhibit</w:t>
      </w:r>
      <w:r>
        <w:rPr>
          <w:sz w:val="20"/>
          <w:szCs w:val="20"/>
          <w:color w:val="auto"/>
        </w:rPr>
        <w:tab/>
      </w:r>
      <w:r>
        <w:rPr>
          <w:rFonts w:ascii="Arial" w:cs="Arial" w:eastAsia="Arial" w:hAnsi="Arial"/>
          <w:sz w:val="15"/>
          <w:szCs w:val="15"/>
          <w:b w:val="1"/>
          <w:bCs w:val="1"/>
          <w:u w:val="single" w:color="auto"/>
          <w:color w:val="auto"/>
        </w:rPr>
        <w:t>Description</w:t>
      </w:r>
    </w:p>
    <w:p>
      <w:pPr>
        <w:spacing w:after="0"/>
        <w:rPr>
          <w:sz w:val="20"/>
          <w:szCs w:val="20"/>
          <w:color w:val="auto"/>
        </w:rPr>
      </w:pPr>
      <w:r>
        <w:rPr>
          <w:rFonts w:ascii="Arial" w:cs="Arial" w:eastAsia="Arial" w:hAnsi="Arial"/>
          <w:sz w:val="17"/>
          <w:szCs w:val="17"/>
          <w:b w:val="1"/>
          <w:bCs w:val="1"/>
          <w:u w:val="single" w:color="auto"/>
          <w:color w:val="auto"/>
        </w:rPr>
        <w:t>No.</w:t>
      </w:r>
    </w:p>
    <w:p>
      <w:pPr>
        <w:spacing w:after="0" w:line="20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Press Release of NN, Inc. dated March 11,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1290955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728" w:right="3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Date: March 12, 2013</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NN, Inc.</w:t>
      </w:r>
    </w:p>
    <w:p>
      <w:pPr>
        <w:spacing w:after="0" w:line="243"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u w:val="single" w:color="auto"/>
          <w:color w:val="auto"/>
        </w:rPr>
        <w:t>/s/William C. Kelly, Jr.</w:t>
      </w:r>
    </w:p>
    <w:p>
      <w:pPr>
        <w:spacing w:after="0" w:line="2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Name:</w:t>
        <w:tab/>
        <w:t>William C. Kelly, Jr.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Title: Vice President and Chief Administrative Officer</w:t>
      </w:r>
    </w:p>
    <w:p>
      <w:pPr>
        <w:sectPr>
          <w:pgSz w:w="11900" w:h="16838" w:orient="portrait"/>
          <w:cols w:equalWidth="0" w:num="1">
            <w:col w:w="11360"/>
          </w:cols>
          <w:pgMar w:left="240" w:top="495" w:right="299" w:bottom="1440" w:gutter="0" w:footer="0" w:header="0"/>
        </w:sectPr>
      </w:pPr>
    </w:p>
    <w:bookmarkStart w:id="3" w:name="page4"/>
    <w:bookmarkEnd w:id="3"/>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8"/>
          <w:szCs w:val="28"/>
          <w:color w:val="auto"/>
        </w:rPr>
        <w:t>F I N A N C I A L</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FOR FURTHER INFORMATION: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r>
              <w:rPr>
                <w:rFonts w:ascii="Arial" w:cs="Arial" w:eastAsia="Arial" w:hAnsi="Arial"/>
                <w:sz w:val="21"/>
                <w:szCs w:val="21"/>
                <w:b w:val="1"/>
                <w:bCs w:val="1"/>
                <w:color w:val="auto"/>
                <w:w w:val="98"/>
              </w:rPr>
              <w:t>AT THE COMPANY</w:t>
            </w:r>
          </w:p>
        </w:tc>
        <w:tc>
          <w:tcPr>
            <w:tcW w:w="1960" w:type="dxa"/>
            <w:vAlign w:val="bottom"/>
          </w:tcPr>
          <w:p>
            <w:pPr>
              <w:spacing w:after="0"/>
              <w:rPr>
                <w:sz w:val="21"/>
                <w:szCs w:val="21"/>
                <w:color w:val="auto"/>
              </w:rPr>
            </w:pPr>
          </w:p>
        </w:tc>
        <w:tc>
          <w:tcPr>
            <w:tcW w:w="4060" w:type="dxa"/>
            <w:vAlign w:val="bottom"/>
            <w:gridSpan w:val="2"/>
          </w:tcPr>
          <w:p>
            <w:pPr>
              <w:ind w:left="520"/>
              <w:spacing w:after="0"/>
              <w:rPr>
                <w:sz w:val="20"/>
                <w:szCs w:val="20"/>
                <w:color w:val="auto"/>
              </w:rPr>
            </w:pPr>
            <w:r>
              <w:rPr>
                <w:rFonts w:ascii="Arial" w:cs="Arial" w:eastAsia="Arial" w:hAnsi="Arial"/>
                <w:sz w:val="21"/>
                <w:szCs w:val="21"/>
                <w:b w:val="1"/>
                <w:bCs w:val="1"/>
                <w:color w:val="auto"/>
                <w:w w:val="98"/>
              </w:rPr>
              <w:t>AT FINANCIAL RELATIONS BOARD</w:t>
            </w:r>
          </w:p>
        </w:tc>
      </w:tr>
      <w:tr>
        <w:trPr>
          <w:trHeight w:val="20"/>
        </w:trPr>
        <w:tc>
          <w:tcPr>
            <w:tcW w:w="18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r>
      <w:tr>
        <w:trPr>
          <w:trHeight w:val="213"/>
        </w:trPr>
        <w:tc>
          <w:tcPr>
            <w:tcW w:w="1880" w:type="dxa"/>
            <w:vAlign w:val="bottom"/>
          </w:tcPr>
          <w:p>
            <w:pPr>
              <w:spacing w:after="0"/>
              <w:rPr>
                <w:sz w:val="20"/>
                <w:szCs w:val="20"/>
                <w:color w:val="auto"/>
              </w:rPr>
            </w:pPr>
            <w:r>
              <w:rPr>
                <w:rFonts w:ascii="Arial" w:cs="Arial" w:eastAsia="Arial" w:hAnsi="Arial"/>
                <w:sz w:val="17"/>
                <w:szCs w:val="17"/>
                <w:color w:val="auto"/>
              </w:rPr>
              <w:t>Will Kelly</w:t>
            </w:r>
          </w:p>
        </w:tc>
        <w:tc>
          <w:tcPr>
            <w:tcW w:w="1960" w:type="dxa"/>
            <w:vAlign w:val="bottom"/>
          </w:tcPr>
          <w:p>
            <w:pPr>
              <w:spacing w:after="0"/>
              <w:rPr>
                <w:sz w:val="18"/>
                <w:szCs w:val="18"/>
                <w:color w:val="auto"/>
              </w:rPr>
            </w:pPr>
          </w:p>
        </w:tc>
        <w:tc>
          <w:tcPr>
            <w:tcW w:w="4060" w:type="dxa"/>
            <w:vAlign w:val="bottom"/>
            <w:gridSpan w:val="2"/>
          </w:tcPr>
          <w:p>
            <w:pPr>
              <w:ind w:left="520"/>
              <w:spacing w:after="0"/>
              <w:rPr>
                <w:sz w:val="20"/>
                <w:szCs w:val="20"/>
                <w:color w:val="auto"/>
              </w:rPr>
            </w:pPr>
            <w:r>
              <w:rPr>
                <w:rFonts w:ascii="Arial" w:cs="Arial" w:eastAsia="Arial" w:hAnsi="Arial"/>
                <w:sz w:val="17"/>
                <w:szCs w:val="17"/>
                <w:color w:val="auto"/>
              </w:rPr>
              <w:t>Marilynn Meek</w:t>
            </w:r>
          </w:p>
        </w:tc>
      </w:tr>
      <w:tr>
        <w:trPr>
          <w:trHeight w:val="206"/>
        </w:trPr>
        <w:tc>
          <w:tcPr>
            <w:tcW w:w="3840" w:type="dxa"/>
            <w:vAlign w:val="bottom"/>
            <w:gridSpan w:val="2"/>
          </w:tcPr>
          <w:p>
            <w:pPr>
              <w:spacing w:after="0"/>
              <w:rPr>
                <w:sz w:val="20"/>
                <w:szCs w:val="20"/>
                <w:color w:val="auto"/>
              </w:rPr>
            </w:pPr>
            <w:r>
              <w:rPr>
                <w:rFonts w:ascii="Arial" w:cs="Arial" w:eastAsia="Arial" w:hAnsi="Arial"/>
                <w:sz w:val="17"/>
                <w:szCs w:val="17"/>
                <w:color w:val="auto"/>
              </w:rPr>
              <w:t>Vice President and Chief Administrative Officer</w:t>
            </w:r>
          </w:p>
        </w:tc>
        <w:tc>
          <w:tcPr>
            <w:tcW w:w="4060" w:type="dxa"/>
            <w:vAlign w:val="bottom"/>
            <w:gridSpan w:val="2"/>
          </w:tcPr>
          <w:p>
            <w:pPr>
              <w:ind w:left="520"/>
              <w:spacing w:after="0"/>
              <w:rPr>
                <w:sz w:val="20"/>
                <w:szCs w:val="20"/>
                <w:color w:val="auto"/>
              </w:rPr>
            </w:pPr>
            <w:r>
              <w:rPr>
                <w:rFonts w:ascii="Arial" w:cs="Arial" w:eastAsia="Arial" w:hAnsi="Arial"/>
                <w:sz w:val="17"/>
                <w:szCs w:val="17"/>
                <w:color w:val="auto"/>
              </w:rPr>
              <w:t>(General info)</w:t>
            </w:r>
          </w:p>
        </w:tc>
      </w:tr>
      <w:tr>
        <w:trPr>
          <w:trHeight w:val="217"/>
        </w:trPr>
        <w:tc>
          <w:tcPr>
            <w:tcW w:w="1880" w:type="dxa"/>
            <w:vAlign w:val="bottom"/>
          </w:tcPr>
          <w:p>
            <w:pPr>
              <w:spacing w:after="0"/>
              <w:rPr>
                <w:sz w:val="20"/>
                <w:szCs w:val="20"/>
                <w:color w:val="auto"/>
              </w:rPr>
            </w:pPr>
            <w:r>
              <w:rPr>
                <w:rFonts w:ascii="Arial" w:cs="Arial" w:eastAsia="Arial" w:hAnsi="Arial"/>
                <w:sz w:val="17"/>
                <w:szCs w:val="17"/>
                <w:color w:val="auto"/>
              </w:rPr>
              <w:t>(423) 743-9151</w:t>
            </w:r>
          </w:p>
        </w:tc>
        <w:tc>
          <w:tcPr>
            <w:tcW w:w="1960" w:type="dxa"/>
            <w:vAlign w:val="bottom"/>
          </w:tcPr>
          <w:p>
            <w:pPr>
              <w:spacing w:after="0"/>
              <w:rPr>
                <w:sz w:val="18"/>
                <w:szCs w:val="18"/>
                <w:color w:val="auto"/>
              </w:rPr>
            </w:pPr>
          </w:p>
        </w:tc>
        <w:tc>
          <w:tcPr>
            <w:tcW w:w="4060" w:type="dxa"/>
            <w:vAlign w:val="bottom"/>
            <w:gridSpan w:val="2"/>
          </w:tcPr>
          <w:p>
            <w:pPr>
              <w:ind w:left="520"/>
              <w:spacing w:after="0"/>
              <w:rPr>
                <w:sz w:val="20"/>
                <w:szCs w:val="20"/>
                <w:color w:val="auto"/>
              </w:rPr>
            </w:pPr>
            <w:r>
              <w:rPr>
                <w:rFonts w:ascii="Arial" w:cs="Arial" w:eastAsia="Arial" w:hAnsi="Arial"/>
                <w:sz w:val="17"/>
                <w:szCs w:val="17"/>
                <w:color w:val="auto"/>
              </w:rPr>
              <w:t>(212) 827-3773</w:t>
            </w:r>
          </w:p>
        </w:tc>
      </w:tr>
    </w:tbl>
    <w:p>
      <w:pPr>
        <w:spacing w:after="0" w:line="20" w:lineRule="exact"/>
        <w:rPr>
          <w:sz w:val="20"/>
          <w:szCs w:val="20"/>
          <w:color w:val="auto"/>
        </w:rPr>
      </w:pPr>
      <w:r>
        <w:rPr>
          <w:sz w:val="20"/>
          <w:szCs w:val="20"/>
          <w:color w:val="auto"/>
        </w:rPr>
        <w:br w:type="column"/>
      </w:r>
    </w:p>
    <w:p>
      <w:pPr>
        <w:ind w:left="980"/>
        <w:spacing w:after="0"/>
        <w:rPr>
          <w:sz w:val="20"/>
          <w:szCs w:val="20"/>
          <w:color w:val="auto"/>
        </w:rPr>
      </w:pPr>
      <w:r>
        <w:rPr>
          <w:rFonts w:ascii="Arial" w:cs="Arial" w:eastAsia="Arial" w:hAnsi="Arial"/>
          <w:sz w:val="21"/>
          <w:szCs w:val="21"/>
          <w:b w:val="1"/>
          <w:bCs w:val="1"/>
          <w:color w:val="auto"/>
        </w:rPr>
        <w:t>EXHIBIT 99.1</w:t>
      </w:r>
    </w:p>
    <w:p>
      <w:pPr>
        <w:spacing w:after="0" w:line="210" w:lineRule="exact"/>
        <w:rPr>
          <w:sz w:val="20"/>
          <w:szCs w:val="20"/>
          <w:color w:val="auto"/>
        </w:rPr>
      </w:pPr>
    </w:p>
    <w:p>
      <w:pPr>
        <w:spacing w:after="0"/>
        <w:rPr>
          <w:sz w:val="20"/>
          <w:szCs w:val="20"/>
          <w:color w:val="auto"/>
        </w:rPr>
      </w:pPr>
      <w:r>
        <w:rPr>
          <w:rFonts w:ascii="Arial" w:cs="Arial" w:eastAsia="Arial" w:hAnsi="Arial"/>
          <w:sz w:val="69"/>
          <w:szCs w:val="69"/>
          <w:color w:val="auto"/>
        </w:rPr>
        <w:t>n e w s</w:t>
      </w: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 NN, Inc.</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2000 Waters Edge Drive</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Johnson City, TN 37604</w:t>
      </w:r>
    </w:p>
    <w:p>
      <w:pPr>
        <w:spacing w:after="0" w:line="2211" w:lineRule="exact"/>
        <w:rPr>
          <w:sz w:val="20"/>
          <w:szCs w:val="20"/>
          <w:color w:val="auto"/>
        </w:rPr>
      </w:pPr>
    </w:p>
    <w:p>
      <w:pPr>
        <w:sectPr>
          <w:pgSz w:w="11900" w:h="16838" w:orient="portrait"/>
          <w:cols w:equalWidth="0" w:num="2">
            <w:col w:w="8420" w:space="720"/>
            <w:col w:w="2280"/>
          </w:cols>
          <w:pgMar w:left="240" w:top="344" w:right="23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 IMMEDIATE RELEASE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March 11, 2013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20" w:hanging="298"/>
        <w:spacing w:after="0"/>
        <w:tabs>
          <w:tab w:leader="none" w:pos="3220"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REPORTS FOURTH QUARTER AND TWELVE MONTHS RESULTS</w:t>
      </w:r>
    </w:p>
    <w:p>
      <w:pPr>
        <w:spacing w:after="0" w:line="243" w:lineRule="exact"/>
        <w:rPr>
          <w:rFonts w:ascii="Arial" w:cs="Arial" w:eastAsia="Arial" w:hAnsi="Arial"/>
          <w:sz w:val="17"/>
          <w:szCs w:val="17"/>
          <w:b w:val="1"/>
          <w:bCs w:val="1"/>
          <w:color w:val="auto"/>
        </w:rPr>
      </w:pPr>
    </w:p>
    <w:p>
      <w:pPr>
        <w:ind w:left="620" w:hanging="126"/>
        <w:spacing w:after="0"/>
        <w:tabs>
          <w:tab w:leader="none" w:pos="6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Full year earnings from normal operations of $19.1 million represent record earnings for NN.</w:t>
      </w:r>
    </w:p>
    <w:p>
      <w:pPr>
        <w:spacing w:after="0" w:line="27" w:lineRule="exact"/>
        <w:rPr>
          <w:rFonts w:ascii="Arial" w:cs="Arial" w:eastAsia="Arial" w:hAnsi="Arial"/>
          <w:sz w:val="17"/>
          <w:szCs w:val="17"/>
          <w:b w:val="1"/>
          <w:bCs w:val="1"/>
          <w:color w:val="auto"/>
        </w:rPr>
      </w:pPr>
    </w:p>
    <w:p>
      <w:pPr>
        <w:ind w:left="620" w:hanging="126"/>
        <w:spacing w:after="0" w:line="267" w:lineRule="auto"/>
        <w:tabs>
          <w:tab w:leader="none" w:pos="6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Earnings from normal operations of $19.1 million in 2012 higher than $18.6 million from normal operations in 2011, despite a 12.9% drop in sales from the previous year.</w:t>
      </w:r>
    </w:p>
    <w:p>
      <w:pPr>
        <w:spacing w:after="0" w:line="194"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b w:val="1"/>
          <w:bCs w:val="1"/>
          <w:color w:val="auto"/>
        </w:rPr>
        <w:t xml:space="preserve">Johnson City, Tenn, March 11, 2013 – NN, Inc. </w:t>
      </w:r>
      <w:r>
        <w:rPr>
          <w:rFonts w:ascii="Arial" w:cs="Arial" w:eastAsia="Arial" w:hAnsi="Arial"/>
          <w:sz w:val="17"/>
          <w:szCs w:val="17"/>
          <w:color w:val="auto"/>
        </w:rPr>
        <w:t>(NASDAQ: NNBR) today reported its financial results for the fourth quarter and twelve months ended December</w:t>
      </w:r>
      <w:r>
        <w:rPr>
          <w:rFonts w:ascii="Arial" w:cs="Arial" w:eastAsia="Arial" w:hAnsi="Arial"/>
          <w:sz w:val="17"/>
          <w:szCs w:val="17"/>
          <w:b w:val="1"/>
          <w:bCs w:val="1"/>
          <w:color w:val="auto"/>
        </w:rPr>
        <w:t xml:space="preserve"> </w:t>
      </w:r>
      <w:r>
        <w:rPr>
          <w:rFonts w:ascii="Arial" w:cs="Arial" w:eastAsia="Arial" w:hAnsi="Arial"/>
          <w:sz w:val="17"/>
          <w:szCs w:val="17"/>
          <w:color w:val="auto"/>
        </w:rPr>
        <w:t>31, 2012. Net sales for the fourth quarter of 2012 were $80.2 million, a decrease of $16.2 million or 16.8%, compared to net sales of $96.3 million for the fourth quarter of 2011. Approximately $14.9 million of the decrease was due primarily to lower demand for the Company’s products in European and Asian automotive end markets. Sales were further affected by the negative impact of foreign currency exchange of approximately $1.2 million and the net unfavorable effect of price/mix of approximately $0.1 million.</w:t>
      </w:r>
    </w:p>
    <w:p>
      <w:pPr>
        <w:spacing w:after="0" w:line="200" w:lineRule="exact"/>
        <w:rPr>
          <w:sz w:val="20"/>
          <w:szCs w:val="20"/>
          <w:color w:val="auto"/>
        </w:rPr>
      </w:pP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Reported net income for the fourth quarter of $8.2 million, or $0.48 per diluted share included approximately $5.4 million, net of tax, in net non-operating gains. The majority of these gains consisted of $7.2 million in net tax benefits related to the reversing of valuation allowances on deferred tax assets at U.S. business units, taxes on international distributions and increasing tax reserves. Partially offsetting this net benefit was $1.0 million of impairments made on certain non-operating assets and $0.8 million in foreign currency exchange losses on intercompany loans. Excluding this net gain, net income from normal operations was $2.8 million, or $0.16 per diluted share. Reported net income for the fourth quarter of 2011 of $4.9 million, or $0.29 per diluted share included approximately $0.8 million, net of tax, non-operating foreign currency exchange gains on intercompany loans and $0.6 million in other non-operating income. Excluding these gains, net income from normal operations was $3.5 million, or $0.21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386715</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type w:val="continuous"/>
        </w:sectPr>
      </w:pPr>
    </w:p>
    <w:bookmarkStart w:id="4" w:name="page5"/>
    <w:bookmarkEnd w:id="4"/>
    <w:p>
      <w:pPr>
        <w:ind w:right="20"/>
        <w:spacing w:after="0" w:line="283" w:lineRule="auto"/>
        <w:rPr>
          <w:sz w:val="20"/>
          <w:szCs w:val="20"/>
          <w:color w:val="auto"/>
        </w:rPr>
      </w:pPr>
      <w:r>
        <w:rPr>
          <w:rFonts w:ascii="Arial" w:cs="Arial" w:eastAsia="Arial" w:hAnsi="Arial"/>
          <w:sz w:val="16"/>
          <w:szCs w:val="16"/>
          <w:color w:val="auto"/>
        </w:rPr>
        <w:t>Net sales for the twelve months of 2012 were $370.1 million, a decrease of $54.6 million, or 12.9% (10.1% net of the effect of foreign currency) compared to net sales of $424.7 million for the twelve months of 2011. Approximately $46.0 million of the decrease was attributable to lower demand for the Company’s products in European and Asian automotive end markets. The negative effect of foreign currency translation accounted for another $11.7 million of the decrease. Price increases, favorable mix and the positive effect of raw material pass through of $3.1 million slightly offset these decreases.</w:t>
      </w:r>
    </w:p>
    <w:p>
      <w:pPr>
        <w:spacing w:after="0" w:line="397"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Reported net income for the twelve months of 2012 of $24.3 million, or $1.42 per diluted share included net of tax, non-operating net gains of $5.1 million. The majority of these gains consisted of $7.2 million in net tax benefits related to the reversing of valuation allowances on deferred tax assets at U.S. business units, taxes on international distributions and increasing tax reserves. Partially offsetting this net benefit was $1.0 million of impairments made on certain non-operating assets and $1.1 million in foreign currency exchange losses on intercompany loans. Excluding these items, net income from normal operations was $19.1 million, or $1.12 per diluted share. Reported net income for the twelve months of 2011 of $20.9 million, or $1.24 per diluted share included $0.9 million net of tax non-operating foreign currency exchange gains on intercompany loans and $1.4 million in other non-operating income. Excluding these gains, the Company generated $18.6 million, or $1.10 per diluted share in net income from normal operations for the twelve months of 2011.</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a percentage of net sales, cost of products sold for the fourth quarter of 2012 decreased to 81.9% from 82.1% for last year’s fourth quarter. Cost of products sold for the twelve months of 2012 was 79.7% as compared to 81.9% for the same period last year. The decrease in the cost of products sold as a percentage of sales was attributable to improved levels of profitability at the Precision Metal Components Segment and operational cost improvements driven by the Level 3 program in each global manufacturing facility.</w:t>
      </w:r>
    </w:p>
    <w:p>
      <w:pPr>
        <w:spacing w:after="0" w:line="205"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color w:val="auto"/>
        </w:rPr>
        <w:t>Debt, net of cash, was $50.5 million at December 31, 2012, a decrease of $23.1 million over the December 31, 2011 amount of $73.6 million. This exceeded the stated goal of a $20 million reduction in net debt. Capital spending totaled $17.1 million for the year.</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Roderick R. Baty, Chairman and Chief Executive Officer, commented, “Throughout 2012, weak economic conditions and uncertainty in our served end markets negatively impacted the demand for our products, predominately in the European and Asian automotive markets. However, during the fourth quarter of 2012 the reduction in demand for our products accelerated at a much higher rate than any other quarter of 2012. We feel this was attributable to overall reductions in inventory levels throughout the supply chain which negatively impacted short-term demand for our products during the last two months of the fourth quarter beyond what would be expected from the end markets served and normal seasonality. Despite this weaker demand, our cost structure and operating performance allowed us to significantly improve margins and earnings during 2012 over the prior year. Operational improvements at Whirlaway, coupled with excellent Level 3 cost control initiatives and improved cost flexibility in our European and Chinese facilities, have been the primary drivers in our margin and profitability improvement over 2011 levels, on much lower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515620</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5" w:name="page6"/>
    <w:bookmarkEnd w:id="5"/>
    <w:p>
      <w:pPr>
        <w:spacing w:after="0" w:line="299" w:lineRule="auto"/>
        <w:rPr>
          <w:sz w:val="20"/>
          <w:szCs w:val="20"/>
          <w:color w:val="auto"/>
        </w:rPr>
      </w:pPr>
      <w:r>
        <w:rPr>
          <w:rFonts w:ascii="Arial" w:cs="Arial" w:eastAsia="Arial" w:hAnsi="Arial"/>
          <w:sz w:val="15"/>
          <w:szCs w:val="15"/>
          <w:color w:val="auto"/>
        </w:rPr>
        <w:t>Mr. Baty concluded, “In regards to our outlook for 2013, we are currently forecasting revenues to be in the range of $365 million to $375 million, relatively consistent with our 2012 revenues of $370 million. This forecast assumes no improvement in European demand during 2013 and does not include any recovery from destocking we believe impacted our 2012 sales. Given the current level of economic uncertainty, specifically in Europe, it is very difficult to accurately forecast 2013 revenue. Having said that, the levels of demand we have experienced during the first quarter of 2013 are at higher levels than we expected in our original forecasts. We are unsure if this improvement may be related to improving market conditions or the positive effects of destocking. Given the margin and profitability improvements we have generated during 2012, when our business experiences an increase in sales demand, we can expect additional earnings leverage.</w:t>
      </w:r>
    </w:p>
    <w:p>
      <w:pPr>
        <w:spacing w:after="0" w:line="182"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During 2012, we strengthened our balance sheet by reducing net debt by $23 million. We are now in a position to fund our organic and acquisitive growth plans as well as shareholder value initiatives, all of which are key components of our strategic plan for the next 3 years.”</w:t>
      </w:r>
    </w:p>
    <w:p>
      <w:pPr>
        <w:spacing w:after="0" w:line="18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NN, Inc. manufacturers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$425 million in 2011.</w:t>
      </w:r>
    </w:p>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2011.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60" w:type="dxa"/>
            <w:vAlign w:val="bottom"/>
            <w:gridSpan w:val="6"/>
          </w:tcPr>
          <w:p>
            <w:pPr>
              <w:ind w:left="720"/>
              <w:spacing w:after="0"/>
              <w:rPr>
                <w:sz w:val="20"/>
                <w:szCs w:val="20"/>
                <w:color w:val="auto"/>
              </w:rPr>
            </w:pPr>
            <w:r>
              <w:rPr>
                <w:rFonts w:ascii="Arial" w:cs="Arial" w:eastAsia="Arial" w:hAnsi="Arial"/>
                <w:sz w:val="17"/>
                <w:szCs w:val="17"/>
                <w:b w:val="1"/>
                <w:bCs w:val="1"/>
                <w:color w:val="auto"/>
              </w:rPr>
              <w:t>Three Months Ended</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gridSpan w:val="3"/>
          </w:tcPr>
          <w:p>
            <w:pPr>
              <w:jc w:val="center"/>
              <w:ind w:left="14"/>
              <w:spacing w:after="0"/>
              <w:rPr>
                <w:sz w:val="20"/>
                <w:szCs w:val="20"/>
                <w:color w:val="auto"/>
              </w:rPr>
            </w:pPr>
            <w:r>
              <w:rPr>
                <w:rFonts w:ascii="Arial" w:cs="Arial" w:eastAsia="Arial" w:hAnsi="Arial"/>
                <w:sz w:val="17"/>
                <w:szCs w:val="17"/>
                <w:b w:val="1"/>
                <w:bCs w:val="1"/>
                <w:color w:val="auto"/>
                <w:w w:val="91"/>
              </w:rPr>
              <w:t>Year Ended</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27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gridSpan w:val="4"/>
          </w:tcPr>
          <w:p>
            <w:pPr>
              <w:ind w:left="120"/>
              <w:spacing w:after="0"/>
              <w:rPr>
                <w:sz w:val="20"/>
                <w:szCs w:val="20"/>
                <w:color w:val="auto"/>
              </w:rPr>
            </w:pPr>
            <w:r>
              <w:rPr>
                <w:rFonts w:ascii="Arial" w:cs="Arial" w:eastAsia="Arial" w:hAnsi="Arial"/>
                <w:sz w:val="17"/>
                <w:szCs w:val="17"/>
                <w:b w:val="1"/>
                <w:bCs w:val="1"/>
                <w:color w:val="auto"/>
                <w:w w:val="97"/>
              </w:rPr>
              <w:t>December 31,</w:t>
            </w: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gridSpan w:val="3"/>
          </w:tcPr>
          <w:p>
            <w:pPr>
              <w:jc w:val="center"/>
              <w:ind w:left="14"/>
              <w:spacing w:after="0"/>
              <w:rPr>
                <w:sz w:val="20"/>
                <w:szCs w:val="20"/>
                <w:color w:val="auto"/>
              </w:rPr>
            </w:pPr>
            <w:r>
              <w:rPr>
                <w:rFonts w:ascii="Arial" w:cs="Arial" w:eastAsia="Arial" w:hAnsi="Arial"/>
                <w:sz w:val="17"/>
                <w:szCs w:val="17"/>
                <w:b w:val="1"/>
                <w:bCs w:val="1"/>
                <w:color w:val="auto"/>
                <w:w w:val="92"/>
              </w:rPr>
              <w:t>December 31,</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1"/>
        </w:trPr>
        <w:tc>
          <w:tcPr>
            <w:tcW w:w="2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2012</w:t>
            </w:r>
          </w:p>
        </w:tc>
        <w:tc>
          <w:tcPr>
            <w:tcW w:w="5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7"/>
                <w:szCs w:val="17"/>
                <w:b w:val="1"/>
                <w:bCs w:val="1"/>
                <w:color w:val="auto"/>
              </w:rPr>
              <w:t>2011</w:t>
            </w:r>
          </w:p>
        </w:tc>
        <w:tc>
          <w:tcPr>
            <w:tcW w:w="580" w:type="dxa"/>
            <w:vAlign w:val="bottom"/>
          </w:tcPr>
          <w:p>
            <w:pPr>
              <w:spacing w:after="0"/>
              <w:rPr>
                <w:sz w:val="20"/>
                <w:szCs w:val="20"/>
                <w:color w:val="auto"/>
              </w:rPr>
            </w:pPr>
          </w:p>
        </w:tc>
        <w:tc>
          <w:tcPr>
            <w:tcW w:w="1360" w:type="dxa"/>
            <w:vAlign w:val="bottom"/>
            <w:tcBorders>
              <w:bottom w:val="single" w:sz="8" w:color="auto"/>
            </w:tcBorders>
            <w:gridSpan w:val="2"/>
          </w:tcPr>
          <w:p>
            <w:pPr>
              <w:jc w:val="right"/>
              <w:ind w:right="434"/>
              <w:spacing w:after="0"/>
              <w:rPr>
                <w:sz w:val="20"/>
                <w:szCs w:val="20"/>
                <w:color w:val="auto"/>
              </w:rPr>
            </w:pPr>
            <w:r>
              <w:rPr>
                <w:rFonts w:ascii="Arial" w:cs="Arial" w:eastAsia="Arial" w:hAnsi="Arial"/>
                <w:sz w:val="17"/>
                <w:szCs w:val="17"/>
                <w:b w:val="1"/>
                <w:bCs w:val="1"/>
                <w:color w:val="auto"/>
              </w:rPr>
              <w:t>2012</w:t>
            </w:r>
          </w:p>
        </w:tc>
        <w:tc>
          <w:tcPr>
            <w:tcW w:w="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7"/>
                <w:szCs w:val="17"/>
                <w:b w:val="1"/>
                <w:bCs w:val="1"/>
                <w:color w:val="auto"/>
              </w:rPr>
              <w:t>2011</w:t>
            </w:r>
          </w:p>
        </w:tc>
        <w:tc>
          <w:tcPr>
            <w:tcW w:w="20" w:type="dxa"/>
            <w:vAlign w:val="bottom"/>
          </w:tcPr>
          <w:p>
            <w:pPr>
              <w:spacing w:after="0"/>
              <w:rPr>
                <w:sz w:val="20"/>
                <w:szCs w:val="20"/>
                <w:color w:val="auto"/>
              </w:rPr>
            </w:pPr>
          </w:p>
        </w:tc>
      </w:tr>
      <w:tr>
        <w:trPr>
          <w:trHeight w:val="401"/>
        </w:trPr>
        <w:tc>
          <w:tcPr>
            <w:tcW w:w="2740" w:type="dxa"/>
            <w:vAlign w:val="bottom"/>
          </w:tcPr>
          <w:p>
            <w:pPr>
              <w:spacing w:after="0"/>
              <w:rPr>
                <w:sz w:val="20"/>
                <w:szCs w:val="20"/>
                <w:color w:val="auto"/>
              </w:rPr>
            </w:pPr>
            <w:r>
              <w:rPr>
                <w:rFonts w:ascii="Arial" w:cs="Arial" w:eastAsia="Arial" w:hAnsi="Arial"/>
                <w:sz w:val="17"/>
                <w:szCs w:val="17"/>
                <w:color w:val="auto"/>
              </w:rPr>
              <w:t>Net sales</w:t>
            </w:r>
          </w:p>
        </w:tc>
        <w:tc>
          <w:tcPr>
            <w:tcW w:w="29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80,155</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7"/>
                <w:szCs w:val="17"/>
                <w:color w:val="auto"/>
                <w:w w:val="96"/>
              </w:rPr>
              <w:t>96,319</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370,084</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424,691</w:t>
            </w:r>
          </w:p>
        </w:tc>
      </w:tr>
      <w:tr>
        <w:trPr>
          <w:trHeight w:val="206"/>
        </w:trPr>
        <w:tc>
          <w:tcPr>
            <w:tcW w:w="2740" w:type="dxa"/>
            <w:vAlign w:val="bottom"/>
          </w:tcPr>
          <w:p>
            <w:pPr>
              <w:spacing w:after="0"/>
              <w:rPr>
                <w:sz w:val="20"/>
                <w:szCs w:val="20"/>
                <w:color w:val="auto"/>
              </w:rPr>
            </w:pPr>
            <w:r>
              <w:rPr>
                <w:rFonts w:ascii="Arial" w:cs="Arial" w:eastAsia="Arial" w:hAnsi="Arial"/>
                <w:sz w:val="17"/>
                <w:szCs w:val="17"/>
                <w:color w:val="auto"/>
              </w:rPr>
              <w:t>Cost of products sold (exclusive of</w:t>
            </w:r>
          </w:p>
        </w:tc>
        <w:tc>
          <w:tcPr>
            <w:tcW w:w="2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2740" w:type="dxa"/>
            <w:vAlign w:val="bottom"/>
          </w:tcPr>
          <w:p>
            <w:pPr>
              <w:ind w:left="80"/>
              <w:spacing w:after="0"/>
              <w:rPr>
                <w:sz w:val="20"/>
                <w:szCs w:val="20"/>
                <w:color w:val="auto"/>
              </w:rPr>
            </w:pPr>
            <w:r>
              <w:rPr>
                <w:rFonts w:ascii="Arial" w:cs="Arial" w:eastAsia="Arial" w:hAnsi="Arial"/>
                <w:sz w:val="17"/>
                <w:szCs w:val="17"/>
                <w:color w:val="auto"/>
                <w:w w:val="95"/>
              </w:rPr>
              <w:t>depreciation and amortization shown</w:t>
            </w:r>
          </w:p>
        </w:tc>
        <w:tc>
          <w:tcPr>
            <w:tcW w:w="2920" w:type="dxa"/>
            <w:vAlign w:val="bottom"/>
            <w:gridSpan w:val="2"/>
          </w:tcPr>
          <w:p>
            <w:pPr>
              <w:jc w:val="right"/>
              <w:ind w:right="1514"/>
              <w:spacing w:after="0"/>
              <w:rPr>
                <w:sz w:val="20"/>
                <w:szCs w:val="20"/>
                <w:color w:val="auto"/>
              </w:rPr>
            </w:pPr>
            <w:r>
              <w:rPr>
                <w:rFonts w:ascii="Arial" w:cs="Arial" w:eastAsia="Arial" w:hAnsi="Arial"/>
                <w:sz w:val="17"/>
                <w:szCs w:val="17"/>
                <w:color w:val="auto"/>
                <w:w w:val="97"/>
              </w:rPr>
              <w:t>separately below)</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65,615</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7"/>
                <w:szCs w:val="17"/>
                <w:color w:val="auto"/>
                <w:w w:val="96"/>
              </w:rPr>
              <w:t>79,092</w:t>
            </w:r>
          </w:p>
        </w:tc>
        <w:tc>
          <w:tcPr>
            <w:tcW w:w="8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294,859</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347,622</w:t>
            </w:r>
          </w:p>
        </w:tc>
      </w:tr>
      <w:tr>
        <w:trPr>
          <w:trHeight w:val="206"/>
        </w:trPr>
        <w:tc>
          <w:tcPr>
            <w:tcW w:w="274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2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7,296</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7"/>
                <w:szCs w:val="17"/>
                <w:color w:val="auto"/>
              </w:rPr>
              <w:t>7,473</w:t>
            </w:r>
          </w:p>
        </w:tc>
        <w:tc>
          <w:tcPr>
            <w:tcW w:w="800" w:type="dxa"/>
            <w:vAlign w:val="bottom"/>
          </w:tcPr>
          <w:p>
            <w:pPr>
              <w:spacing w:after="0"/>
              <w:rPr>
                <w:sz w:val="17"/>
                <w:szCs w:val="17"/>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7"/>
                <w:szCs w:val="17"/>
                <w:color w:val="auto"/>
              </w:rPr>
              <w:t>31,561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30,657</w:t>
            </w:r>
          </w:p>
        </w:tc>
      </w:tr>
      <w:tr>
        <w:trPr>
          <w:trHeight w:val="206"/>
        </w:trPr>
        <w:tc>
          <w:tcPr>
            <w:tcW w:w="27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4,440</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7"/>
                <w:szCs w:val="17"/>
                <w:color w:val="auto"/>
              </w:rPr>
              <w:t>4,392</w:t>
            </w:r>
          </w:p>
        </w:tc>
        <w:tc>
          <w:tcPr>
            <w:tcW w:w="800" w:type="dxa"/>
            <w:vAlign w:val="bottom"/>
          </w:tcPr>
          <w:p>
            <w:pPr>
              <w:spacing w:after="0"/>
              <w:rPr>
                <w:sz w:val="17"/>
                <w:szCs w:val="17"/>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7"/>
                <w:szCs w:val="17"/>
                <w:color w:val="auto"/>
              </w:rPr>
              <w:t>17,643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17,016</w:t>
            </w:r>
          </w:p>
        </w:tc>
      </w:tr>
      <w:tr>
        <w:trPr>
          <w:trHeight w:val="206"/>
        </w:trPr>
        <w:tc>
          <w:tcPr>
            <w:tcW w:w="2740" w:type="dxa"/>
            <w:vAlign w:val="bottom"/>
          </w:tcPr>
          <w:p>
            <w:pPr>
              <w:spacing w:after="0"/>
              <w:rPr>
                <w:sz w:val="20"/>
                <w:szCs w:val="20"/>
                <w:color w:val="auto"/>
              </w:rPr>
            </w:pPr>
            <w:r>
              <w:rPr>
                <w:rFonts w:ascii="Arial" w:cs="Arial" w:eastAsia="Arial" w:hAnsi="Arial"/>
                <w:sz w:val="17"/>
                <w:szCs w:val="17"/>
                <w:color w:val="auto"/>
              </w:rPr>
              <w:t>Gain on disposal of assets</w:t>
            </w:r>
          </w:p>
        </w:tc>
        <w:tc>
          <w:tcPr>
            <w:tcW w:w="2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7"/>
                <w:szCs w:val="17"/>
                <w:color w:val="auto"/>
              </w:rPr>
              <w:t>(16)</w:t>
            </w:r>
          </w:p>
        </w:tc>
        <w:tc>
          <w:tcPr>
            <w:tcW w:w="8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(36)</w:t>
            </w:r>
          </w:p>
        </w:tc>
      </w:tr>
      <w:tr>
        <w:trPr>
          <w:trHeight w:val="225"/>
        </w:trPr>
        <w:tc>
          <w:tcPr>
            <w:tcW w:w="2740" w:type="dxa"/>
            <w:vAlign w:val="bottom"/>
          </w:tcPr>
          <w:p>
            <w:pPr>
              <w:spacing w:after="0"/>
              <w:rPr>
                <w:sz w:val="20"/>
                <w:szCs w:val="20"/>
                <w:color w:val="auto"/>
              </w:rPr>
            </w:pPr>
            <w:r>
              <w:rPr>
                <w:rFonts w:ascii="Arial" w:cs="Arial" w:eastAsia="Arial" w:hAnsi="Arial"/>
                <w:sz w:val="17"/>
                <w:szCs w:val="17"/>
                <w:color w:val="auto"/>
              </w:rPr>
              <w:t>Restructuring and impairment costs</w:t>
            </w:r>
          </w:p>
        </w:tc>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967</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7"/>
                <w:szCs w:val="17"/>
                <w:color w:val="auto"/>
              </w:rPr>
              <w:t>209</w:t>
            </w:r>
          </w:p>
        </w:tc>
        <w:tc>
          <w:tcPr>
            <w:tcW w:w="80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7"/>
                <w:szCs w:val="17"/>
                <w:color w:val="auto"/>
              </w:rPr>
              <w:t>967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17"/>
        </w:trPr>
        <w:tc>
          <w:tcPr>
            <w:tcW w:w="2740" w:type="dxa"/>
            <w:vAlign w:val="bottom"/>
          </w:tcPr>
          <w:p>
            <w:pPr>
              <w:spacing w:after="0"/>
              <w:rPr>
                <w:sz w:val="20"/>
                <w:szCs w:val="20"/>
                <w:color w:val="auto"/>
              </w:rPr>
            </w:pPr>
            <w:r>
              <w:rPr>
                <w:rFonts w:ascii="Arial" w:cs="Arial" w:eastAsia="Arial" w:hAnsi="Arial"/>
                <w:sz w:val="17"/>
                <w:szCs w:val="17"/>
                <w:color w:val="auto"/>
              </w:rPr>
              <w:t>Income from operations</w:t>
            </w:r>
          </w:p>
        </w:tc>
        <w:tc>
          <w:tcPr>
            <w:tcW w:w="20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1,846</w:t>
            </w:r>
          </w:p>
        </w:tc>
        <w:tc>
          <w:tcPr>
            <w:tcW w:w="3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5,169</w:t>
            </w:r>
          </w:p>
        </w:tc>
        <w:tc>
          <w:tcPr>
            <w:tcW w:w="5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25,071</w:t>
            </w:r>
          </w:p>
        </w:tc>
        <w:tc>
          <w:tcPr>
            <w:tcW w:w="4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29,432</w:t>
            </w:r>
          </w:p>
        </w:tc>
        <w:tc>
          <w:tcPr>
            <w:tcW w:w="20" w:type="dxa"/>
            <w:vAlign w:val="bottom"/>
          </w:tcPr>
          <w:p>
            <w:pPr>
              <w:spacing w:after="0"/>
              <w:rPr>
                <w:sz w:val="18"/>
                <w:szCs w:val="18"/>
                <w:color w:val="auto"/>
              </w:rPr>
            </w:pPr>
          </w:p>
        </w:tc>
      </w:tr>
      <w:tr>
        <w:trPr>
          <w:trHeight w:val="390"/>
        </w:trPr>
        <w:tc>
          <w:tcPr>
            <w:tcW w:w="2740" w:type="dxa"/>
            <w:vAlign w:val="bottom"/>
          </w:tcPr>
          <w:p>
            <w:pPr>
              <w:spacing w:after="0"/>
              <w:rPr>
                <w:sz w:val="20"/>
                <w:szCs w:val="20"/>
                <w:color w:val="auto"/>
              </w:rPr>
            </w:pPr>
            <w:r>
              <w:rPr>
                <w:rFonts w:ascii="Arial" w:cs="Arial" w:eastAsia="Arial" w:hAnsi="Arial"/>
                <w:sz w:val="17"/>
                <w:szCs w:val="17"/>
                <w:color w:val="auto"/>
              </w:rPr>
              <w:t>Interest expense</w:t>
            </w:r>
          </w:p>
        </w:tc>
        <w:tc>
          <w:tcPr>
            <w:tcW w:w="2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490</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7"/>
                <w:szCs w:val="17"/>
                <w:color w:val="auto"/>
              </w:rPr>
              <w:t>1,102</w:t>
            </w:r>
          </w:p>
        </w:tc>
        <w:tc>
          <w:tcPr>
            <w:tcW w:w="8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3,878</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4,715</w:t>
            </w:r>
          </w:p>
        </w:tc>
      </w:tr>
      <w:tr>
        <w:trPr>
          <w:trHeight w:val="225"/>
        </w:trPr>
        <w:tc>
          <w:tcPr>
            <w:tcW w:w="2740" w:type="dxa"/>
            <w:vAlign w:val="bottom"/>
          </w:tcPr>
          <w:p>
            <w:pPr>
              <w:spacing w:after="0"/>
              <w:rPr>
                <w:sz w:val="20"/>
                <w:szCs w:val="20"/>
                <w:color w:val="auto"/>
              </w:rPr>
            </w:pPr>
            <w:r>
              <w:rPr>
                <w:rFonts w:ascii="Arial" w:cs="Arial" w:eastAsia="Arial" w:hAnsi="Arial"/>
                <w:sz w:val="17"/>
                <w:szCs w:val="17"/>
                <w:color w:val="auto"/>
              </w:rPr>
              <w:t>Other expense (income), net</w:t>
            </w:r>
          </w:p>
        </w:tc>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888</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7"/>
                <w:szCs w:val="17"/>
                <w:color w:val="auto"/>
                <w:w w:val="92"/>
              </w:rPr>
              <w:t>(1,115)</w:t>
            </w:r>
          </w:p>
        </w:tc>
        <w:tc>
          <w:tcPr>
            <w:tcW w:w="80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7"/>
                <w:szCs w:val="17"/>
                <w:color w:val="auto"/>
              </w:rPr>
              <w:t>852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(1,388)</w:t>
            </w:r>
          </w:p>
        </w:tc>
      </w:tr>
      <w:tr>
        <w:trPr>
          <w:trHeight w:val="194"/>
        </w:trPr>
        <w:tc>
          <w:tcPr>
            <w:tcW w:w="4800" w:type="dxa"/>
            <w:vAlign w:val="bottom"/>
            <w:gridSpan w:val="2"/>
          </w:tcPr>
          <w:p>
            <w:pPr>
              <w:spacing w:after="0" w:line="194" w:lineRule="exact"/>
              <w:rPr>
                <w:sz w:val="20"/>
                <w:szCs w:val="20"/>
                <w:color w:val="auto"/>
              </w:rPr>
            </w:pPr>
            <w:r>
              <w:rPr>
                <w:rFonts w:ascii="Arial" w:cs="Arial" w:eastAsia="Arial" w:hAnsi="Arial"/>
                <w:sz w:val="17"/>
                <w:szCs w:val="17"/>
                <w:color w:val="auto"/>
              </w:rPr>
              <w:t>Income before provision (benefit) for income taxes</w:t>
            </w:r>
          </w:p>
        </w:tc>
        <w:tc>
          <w:tcPr>
            <w:tcW w:w="8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468</w:t>
            </w:r>
          </w:p>
        </w:tc>
        <w:tc>
          <w:tcPr>
            <w:tcW w:w="3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5,182</w:t>
            </w:r>
          </w:p>
        </w:tc>
        <w:tc>
          <w:tcPr>
            <w:tcW w:w="5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20,341</w:t>
            </w:r>
          </w:p>
        </w:tc>
        <w:tc>
          <w:tcPr>
            <w:tcW w:w="4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26,105</w:t>
            </w:r>
          </w:p>
        </w:tc>
        <w:tc>
          <w:tcPr>
            <w:tcW w:w="20" w:type="dxa"/>
            <w:vAlign w:val="bottom"/>
          </w:tcPr>
          <w:p>
            <w:pPr>
              <w:spacing w:after="0"/>
              <w:rPr>
                <w:sz w:val="16"/>
                <w:szCs w:val="16"/>
                <w:color w:val="auto"/>
              </w:rPr>
            </w:pPr>
          </w:p>
        </w:tc>
      </w:tr>
      <w:tr>
        <w:trPr>
          <w:trHeight w:val="218"/>
        </w:trPr>
        <w:tc>
          <w:tcPr>
            <w:tcW w:w="2740" w:type="dxa"/>
            <w:vAlign w:val="bottom"/>
          </w:tcPr>
          <w:p>
            <w:pPr>
              <w:spacing w:after="0"/>
              <w:rPr>
                <w:sz w:val="20"/>
                <w:szCs w:val="20"/>
                <w:color w:val="auto"/>
              </w:rPr>
            </w:pPr>
            <w:r>
              <w:rPr>
                <w:rFonts w:ascii="Arial" w:cs="Arial" w:eastAsia="Arial" w:hAnsi="Arial"/>
                <w:sz w:val="17"/>
                <w:szCs w:val="17"/>
                <w:color w:val="auto"/>
              </w:rPr>
              <w:t>Provision(benefit) for income taxes</w:t>
            </w:r>
          </w:p>
        </w:tc>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89"/>
              </w:rPr>
              <w:t>(7,738)</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7"/>
                <w:szCs w:val="17"/>
                <w:color w:val="auto"/>
              </w:rPr>
              <w:t>281</w:t>
            </w:r>
          </w:p>
        </w:tc>
        <w:tc>
          <w:tcPr>
            <w:tcW w:w="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(3,927)</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5,168</w:t>
            </w:r>
          </w:p>
        </w:tc>
      </w:tr>
      <w:tr>
        <w:trPr>
          <w:trHeight w:val="27"/>
        </w:trPr>
        <w:tc>
          <w:tcPr>
            <w:tcW w:w="2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12"/>
        </w:trPr>
        <w:tc>
          <w:tcPr>
            <w:tcW w:w="2740" w:type="dxa"/>
            <w:vAlign w:val="bottom"/>
          </w:tcPr>
          <w:p>
            <w:pPr>
              <w:spacing w:after="0"/>
              <w:rPr>
                <w:sz w:val="20"/>
                <w:szCs w:val="20"/>
                <w:color w:val="auto"/>
              </w:rPr>
            </w:pPr>
            <w:r>
              <w:rPr>
                <w:rFonts w:ascii="Arial" w:cs="Arial" w:eastAsia="Arial" w:hAnsi="Arial"/>
                <w:sz w:val="17"/>
                <w:szCs w:val="17"/>
                <w:color w:val="auto"/>
              </w:rPr>
              <w:t>Net income</w:t>
            </w:r>
          </w:p>
        </w:tc>
        <w:tc>
          <w:tcPr>
            <w:tcW w:w="206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8,206</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7"/>
                <w:szCs w:val="17"/>
                <w:color w:val="auto"/>
              </w:rPr>
              <w:t>4,901</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7"/>
                <w:szCs w:val="17"/>
                <w:color w:val="auto"/>
              </w:rPr>
              <w:t>24,268</w:t>
            </w:r>
          </w:p>
        </w:tc>
        <w:tc>
          <w:tcPr>
            <w:tcW w:w="3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20,937</w:t>
            </w:r>
          </w:p>
        </w:tc>
      </w:tr>
      <w:tr>
        <w:trPr>
          <w:trHeight w:val="20"/>
        </w:trPr>
        <w:tc>
          <w:tcPr>
            <w:tcW w:w="2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5"/>
        </w:trPr>
        <w:tc>
          <w:tcPr>
            <w:tcW w:w="2740" w:type="dxa"/>
            <w:vAlign w:val="bottom"/>
          </w:tcPr>
          <w:p>
            <w:pPr>
              <w:spacing w:after="0"/>
              <w:rPr>
                <w:sz w:val="20"/>
                <w:szCs w:val="20"/>
                <w:color w:val="auto"/>
              </w:rPr>
            </w:pPr>
            <w:r>
              <w:rPr>
                <w:rFonts w:ascii="Arial" w:cs="Arial" w:eastAsia="Arial" w:hAnsi="Arial"/>
                <w:sz w:val="17"/>
                <w:szCs w:val="17"/>
                <w:color w:val="auto"/>
              </w:rPr>
              <w:t>Diluted income per share</w:t>
            </w:r>
          </w:p>
        </w:tc>
        <w:tc>
          <w:tcPr>
            <w:tcW w:w="206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0.48</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7"/>
                <w:szCs w:val="17"/>
                <w:color w:val="auto"/>
              </w:rPr>
              <w:t>0.29</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1.42</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1.24</w:t>
            </w:r>
          </w:p>
        </w:tc>
      </w:tr>
      <w:tr>
        <w:trPr>
          <w:trHeight w:val="20"/>
        </w:trPr>
        <w:tc>
          <w:tcPr>
            <w:tcW w:w="480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5"/>
        </w:trPr>
        <w:tc>
          <w:tcPr>
            <w:tcW w:w="5660" w:type="dxa"/>
            <w:vAlign w:val="bottom"/>
            <w:gridSpan w:val="3"/>
          </w:tcPr>
          <w:p>
            <w:pPr>
              <w:spacing w:after="0"/>
              <w:rPr>
                <w:sz w:val="20"/>
                <w:szCs w:val="20"/>
                <w:color w:val="auto"/>
              </w:rPr>
            </w:pPr>
            <w:r>
              <w:rPr>
                <w:rFonts w:ascii="Arial" w:cs="Arial" w:eastAsia="Arial" w:hAnsi="Arial"/>
                <w:sz w:val="17"/>
                <w:szCs w:val="17"/>
                <w:color w:val="auto"/>
              </w:rPr>
              <w:t>Weighted average diluted shares outstanding</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17,150</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7"/>
                <w:szCs w:val="17"/>
                <w:color w:val="auto"/>
                <w:w w:val="96"/>
              </w:rPr>
              <w:t>17,057</w:t>
            </w:r>
          </w:p>
        </w:tc>
        <w:tc>
          <w:tcPr>
            <w:tcW w:w="8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17,114</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16,953</w:t>
            </w:r>
          </w:p>
        </w:tc>
      </w:tr>
      <w:tr>
        <w:trPr>
          <w:trHeight w:val="20"/>
        </w:trPr>
        <w:tc>
          <w:tcPr>
            <w:tcW w:w="2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86"/>
        </w:trPr>
        <w:tc>
          <w:tcPr>
            <w:tcW w:w="274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00" w:type="dxa"/>
            <w:vAlign w:val="bottom"/>
          </w:tcPr>
          <w:p>
            <w:pPr>
              <w:spacing w:after="0"/>
              <w:rPr>
                <w:sz w:val="17"/>
                <w:szCs w:val="17"/>
                <w:color w:val="auto"/>
              </w:rPr>
            </w:pPr>
          </w:p>
        </w:tc>
        <w:tc>
          <w:tcPr>
            <w:tcW w:w="3900" w:type="dxa"/>
            <w:vAlign w:val="bottom"/>
            <w:gridSpan w:val="3"/>
          </w:tcPr>
          <w:p>
            <w:pPr>
              <w:ind w:left="480"/>
              <w:spacing w:after="0"/>
              <w:rPr>
                <w:sz w:val="20"/>
                <w:szCs w:val="20"/>
                <w:color w:val="auto"/>
              </w:rPr>
            </w:pPr>
            <w:r>
              <w:rPr>
                <w:rFonts w:ascii="Arial" w:cs="Arial" w:eastAsia="Arial" w:hAnsi="Arial"/>
                <w:sz w:val="17"/>
                <w:szCs w:val="17"/>
                <w:b w:val="1"/>
                <w:bCs w:val="1"/>
                <w:color w:val="auto"/>
              </w:rPr>
              <w:t>December 31,</w:t>
            </w:r>
          </w:p>
        </w:tc>
        <w:tc>
          <w:tcPr>
            <w:tcW w:w="1840" w:type="dxa"/>
            <w:vAlign w:val="bottom"/>
            <w:gridSpan w:val="3"/>
          </w:tcPr>
          <w:p>
            <w:pPr>
              <w:jc w:val="right"/>
              <w:ind w:right="42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31"/>
        </w:trPr>
        <w:tc>
          <w:tcPr>
            <w:tcW w:w="5700" w:type="dxa"/>
            <w:vAlign w:val="bottom"/>
          </w:tcPr>
          <w:p>
            <w:pPr>
              <w:spacing w:after="0"/>
              <w:rPr>
                <w:sz w:val="20"/>
                <w:szCs w:val="20"/>
                <w:color w:val="auto"/>
              </w:rPr>
            </w:pPr>
          </w:p>
        </w:tc>
        <w:tc>
          <w:tcPr>
            <w:tcW w:w="13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2012</w:t>
            </w:r>
          </w:p>
        </w:tc>
        <w:tc>
          <w:tcPr>
            <w:tcW w:w="600" w:type="dxa"/>
            <w:vAlign w:val="bottom"/>
            <w:tcBorders>
              <w:bottom w:val="single" w:sz="8" w:color="auto"/>
            </w:tcBorders>
          </w:tcPr>
          <w:p>
            <w:pPr>
              <w:spacing w:after="0"/>
              <w:rPr>
                <w:sz w:val="20"/>
                <w:szCs w:val="20"/>
                <w:color w:val="auto"/>
              </w:rPr>
            </w:pPr>
          </w:p>
        </w:tc>
        <w:tc>
          <w:tcPr>
            <w:tcW w:w="1940" w:type="dxa"/>
            <w:vAlign w:val="bottom"/>
          </w:tcPr>
          <w:p>
            <w:pPr>
              <w:spacing w:after="0"/>
              <w:rPr>
                <w:sz w:val="20"/>
                <w:szCs w:val="20"/>
                <w:color w:val="auto"/>
              </w:rPr>
            </w:pP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2011</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700" w:type="dxa"/>
            <w:vAlign w:val="bottom"/>
          </w:tcPr>
          <w:p>
            <w:pPr>
              <w:spacing w:after="0" w:line="194" w:lineRule="exact"/>
              <w:rPr>
                <w:sz w:val="20"/>
                <w:szCs w:val="20"/>
                <w:color w:val="auto"/>
              </w:rPr>
            </w:pPr>
            <w:r>
              <w:rPr>
                <w:rFonts w:ascii="Arial" w:cs="Arial" w:eastAsia="Arial" w:hAnsi="Arial"/>
                <w:sz w:val="17"/>
                <w:szCs w:val="17"/>
                <w:b w:val="1"/>
                <w:bCs w:val="1"/>
                <w:color w:val="auto"/>
              </w:rPr>
              <w:t>Assets</w:t>
            </w:r>
          </w:p>
        </w:tc>
        <w:tc>
          <w:tcPr>
            <w:tcW w:w="1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Current Assets:</w:t>
            </w: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Cash</w:t>
            </w: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18,990</w:t>
            </w:r>
          </w:p>
        </w:tc>
        <w:tc>
          <w:tcPr>
            <w:tcW w:w="19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4,536</w:t>
            </w: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1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51,628</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66,707</w:t>
            </w: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Inventories</w:t>
            </w:r>
          </w:p>
        </w:tc>
        <w:tc>
          <w:tcPr>
            <w:tcW w:w="1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46,150</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46,023</w:t>
            </w:r>
          </w:p>
        </w:tc>
        <w:tc>
          <w:tcPr>
            <w:tcW w:w="0" w:type="dxa"/>
            <w:vAlign w:val="bottom"/>
          </w:tcPr>
          <w:p>
            <w:pPr>
              <w:spacing w:after="0"/>
              <w:rPr>
                <w:sz w:val="1"/>
                <w:szCs w:val="1"/>
                <w:color w:val="auto"/>
              </w:rPr>
            </w:pPr>
          </w:p>
        </w:tc>
      </w:tr>
      <w:tr>
        <w:trPr>
          <w:trHeight w:val="225"/>
        </w:trPr>
        <w:tc>
          <w:tcPr>
            <w:tcW w:w="5700" w:type="dxa"/>
            <w:vAlign w:val="bottom"/>
          </w:tcPr>
          <w:p>
            <w:pPr>
              <w:spacing w:after="0"/>
              <w:rPr>
                <w:sz w:val="20"/>
                <w:szCs w:val="20"/>
                <w:color w:val="auto"/>
              </w:rPr>
            </w:pPr>
            <w:r>
              <w:rPr>
                <w:rFonts w:ascii="Arial" w:cs="Arial" w:eastAsia="Arial" w:hAnsi="Arial"/>
                <w:sz w:val="17"/>
                <w:szCs w:val="17"/>
                <w:color w:val="auto"/>
              </w:rPr>
              <w:t>Other current assets</w:t>
            </w: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10,528</w:t>
            </w:r>
          </w:p>
        </w:tc>
        <w:tc>
          <w:tcPr>
            <w:tcW w:w="1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6,759</w:t>
            </w:r>
          </w:p>
        </w:tc>
        <w:tc>
          <w:tcPr>
            <w:tcW w:w="0" w:type="dxa"/>
            <w:vAlign w:val="bottom"/>
          </w:tcPr>
          <w:p>
            <w:pPr>
              <w:spacing w:after="0"/>
              <w:rPr>
                <w:sz w:val="1"/>
                <w:szCs w:val="1"/>
                <w:color w:val="auto"/>
              </w:rPr>
            </w:pPr>
          </w:p>
        </w:tc>
      </w:tr>
      <w:tr>
        <w:trPr>
          <w:trHeight w:val="217"/>
        </w:trPr>
        <w:tc>
          <w:tcPr>
            <w:tcW w:w="5700" w:type="dxa"/>
            <w:vAlign w:val="bottom"/>
          </w:tcPr>
          <w:p>
            <w:pPr>
              <w:ind w:left="120"/>
              <w:spacing w:after="0"/>
              <w:rPr>
                <w:sz w:val="20"/>
                <w:szCs w:val="20"/>
                <w:color w:val="auto"/>
              </w:rPr>
            </w:pPr>
            <w:r>
              <w:rPr>
                <w:rFonts w:ascii="Arial" w:cs="Arial" w:eastAsia="Arial" w:hAnsi="Arial"/>
                <w:sz w:val="17"/>
                <w:szCs w:val="17"/>
                <w:color w:val="auto"/>
              </w:rPr>
              <w:t>Total current assets</w:t>
            </w:r>
          </w:p>
        </w:tc>
        <w:tc>
          <w:tcPr>
            <w:tcW w:w="1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127,296</w:t>
            </w:r>
          </w:p>
        </w:tc>
        <w:tc>
          <w:tcPr>
            <w:tcW w:w="19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124,025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570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119,687</w:t>
            </w: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w w:val="94"/>
              </w:rPr>
              <w:t>120,528</w:t>
            </w: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Goodwill, net</w:t>
            </w:r>
          </w:p>
        </w:tc>
        <w:tc>
          <w:tcPr>
            <w:tcW w:w="1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8,371</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8,039</w:t>
            </w: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Intangible assets, net</w:t>
            </w:r>
          </w:p>
        </w:tc>
        <w:tc>
          <w:tcPr>
            <w:tcW w:w="1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900</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900</w:t>
            </w:r>
          </w:p>
        </w:tc>
        <w:tc>
          <w:tcPr>
            <w:tcW w:w="0" w:type="dxa"/>
            <w:vAlign w:val="bottom"/>
          </w:tcPr>
          <w:p>
            <w:pPr>
              <w:spacing w:after="0"/>
              <w:rPr>
                <w:sz w:val="1"/>
                <w:szCs w:val="1"/>
                <w:color w:val="auto"/>
              </w:rPr>
            </w:pPr>
          </w:p>
        </w:tc>
      </w:tr>
      <w:tr>
        <w:trPr>
          <w:trHeight w:val="225"/>
        </w:trPr>
        <w:tc>
          <w:tcPr>
            <w:tcW w:w="570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9,206</w:t>
            </w:r>
          </w:p>
        </w:tc>
        <w:tc>
          <w:tcPr>
            <w:tcW w:w="1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5,969</w:t>
            </w:r>
          </w:p>
        </w:tc>
        <w:tc>
          <w:tcPr>
            <w:tcW w:w="0" w:type="dxa"/>
            <w:vAlign w:val="bottom"/>
          </w:tcPr>
          <w:p>
            <w:pPr>
              <w:spacing w:after="0"/>
              <w:rPr>
                <w:sz w:val="1"/>
                <w:szCs w:val="1"/>
                <w:color w:val="auto"/>
              </w:rPr>
            </w:pPr>
          </w:p>
        </w:tc>
      </w:tr>
      <w:tr>
        <w:trPr>
          <w:trHeight w:val="206"/>
        </w:trPr>
        <w:tc>
          <w:tcPr>
            <w:tcW w:w="5700" w:type="dxa"/>
            <w:vAlign w:val="bottom"/>
          </w:tcPr>
          <w:p>
            <w:pPr>
              <w:ind w:left="120"/>
              <w:spacing w:after="0" w:line="186" w:lineRule="exact"/>
              <w:rPr>
                <w:sz w:val="20"/>
                <w:szCs w:val="20"/>
                <w:color w:val="auto"/>
              </w:rPr>
            </w:pPr>
            <w:r>
              <w:rPr>
                <w:rFonts w:ascii="Arial" w:cs="Arial" w:eastAsia="Arial" w:hAnsi="Arial"/>
                <w:sz w:val="17"/>
                <w:szCs w:val="17"/>
                <w:color w:val="auto"/>
              </w:rPr>
              <w:t>Total assets</w:t>
            </w:r>
          </w:p>
        </w:tc>
        <w:tc>
          <w:tcPr>
            <w:tcW w:w="1360" w:type="dxa"/>
            <w:vAlign w:val="bottom"/>
            <w:tcBorders>
              <w:top w:val="single" w:sz="8" w:color="auto"/>
              <w:bottom w:val="single" w:sz="8" w:color="auto"/>
            </w:tcBorders>
          </w:tcPr>
          <w:p>
            <w:pPr>
              <w:jc w:val="right"/>
              <w:ind w:right="14"/>
              <w:spacing w:after="0" w:line="186"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94"/>
              </w:rPr>
              <w:t>265,460</w:t>
            </w:r>
          </w:p>
        </w:tc>
        <w:tc>
          <w:tcPr>
            <w:tcW w:w="19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94"/>
              </w:rPr>
              <w:t>259,461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7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Current liabilities:</w:t>
            </w: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Accounts payable</w:t>
            </w: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37,000</w:t>
            </w:r>
          </w:p>
        </w:tc>
        <w:tc>
          <w:tcPr>
            <w:tcW w:w="19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48,217</w:t>
            </w: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Accrued salaries, wages and benefits</w:t>
            </w:r>
          </w:p>
        </w:tc>
        <w:tc>
          <w:tcPr>
            <w:tcW w:w="1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10,174</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11,697</w:t>
            </w: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Current maturities of long-term debt</w:t>
            </w:r>
          </w:p>
        </w:tc>
        <w:tc>
          <w:tcPr>
            <w:tcW w:w="1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5,801</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6,503</w:t>
            </w: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Income taxes payable</w:t>
            </w:r>
          </w:p>
        </w:tc>
        <w:tc>
          <w:tcPr>
            <w:tcW w:w="1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543</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1,858</w:t>
            </w:r>
          </w:p>
        </w:tc>
        <w:tc>
          <w:tcPr>
            <w:tcW w:w="0" w:type="dxa"/>
            <w:vAlign w:val="bottom"/>
          </w:tcPr>
          <w:p>
            <w:pPr>
              <w:spacing w:after="0"/>
              <w:rPr>
                <w:sz w:val="1"/>
                <w:szCs w:val="1"/>
                <w:color w:val="auto"/>
              </w:rPr>
            </w:pPr>
          </w:p>
        </w:tc>
      </w:tr>
      <w:tr>
        <w:trPr>
          <w:trHeight w:val="225"/>
        </w:trPr>
        <w:tc>
          <w:tcPr>
            <w:tcW w:w="5700" w:type="dxa"/>
            <w:vAlign w:val="bottom"/>
          </w:tcPr>
          <w:p>
            <w:pPr>
              <w:spacing w:after="0"/>
              <w:rPr>
                <w:sz w:val="20"/>
                <w:szCs w:val="20"/>
                <w:color w:val="auto"/>
              </w:rPr>
            </w:pPr>
            <w:r>
              <w:rPr>
                <w:rFonts w:ascii="Arial" w:cs="Arial" w:eastAsia="Arial" w:hAnsi="Arial"/>
                <w:sz w:val="17"/>
                <w:szCs w:val="17"/>
                <w:color w:val="auto"/>
              </w:rPr>
              <w:t>Other current liabilities</w:t>
            </w: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5,240</w:t>
            </w:r>
          </w:p>
        </w:tc>
        <w:tc>
          <w:tcPr>
            <w:tcW w:w="1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4,766</w:t>
            </w:r>
          </w:p>
        </w:tc>
        <w:tc>
          <w:tcPr>
            <w:tcW w:w="0" w:type="dxa"/>
            <w:vAlign w:val="bottom"/>
          </w:tcPr>
          <w:p>
            <w:pPr>
              <w:spacing w:after="0"/>
              <w:rPr>
                <w:sz w:val="1"/>
                <w:szCs w:val="1"/>
                <w:color w:val="auto"/>
              </w:rPr>
            </w:pPr>
          </w:p>
        </w:tc>
      </w:tr>
      <w:tr>
        <w:trPr>
          <w:trHeight w:val="217"/>
        </w:trPr>
        <w:tc>
          <w:tcPr>
            <w:tcW w:w="5700" w:type="dxa"/>
            <w:vAlign w:val="bottom"/>
          </w:tcPr>
          <w:p>
            <w:pPr>
              <w:ind w:left="120"/>
              <w:spacing w:after="0"/>
              <w:rPr>
                <w:sz w:val="20"/>
                <w:szCs w:val="20"/>
                <w:color w:val="auto"/>
              </w:rPr>
            </w:pPr>
            <w:r>
              <w:rPr>
                <w:rFonts w:ascii="Arial" w:cs="Arial" w:eastAsia="Arial" w:hAnsi="Arial"/>
                <w:sz w:val="17"/>
                <w:szCs w:val="17"/>
                <w:color w:val="auto"/>
              </w:rPr>
              <w:t>Total current liabilities</w:t>
            </w:r>
          </w:p>
        </w:tc>
        <w:tc>
          <w:tcPr>
            <w:tcW w:w="1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58,758</w:t>
            </w:r>
          </w:p>
        </w:tc>
        <w:tc>
          <w:tcPr>
            <w:tcW w:w="19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5700" w:type="dxa"/>
            <w:vAlign w:val="bottom"/>
          </w:tcPr>
          <w:p>
            <w:pPr>
              <w:spacing w:after="0"/>
              <w:rPr>
                <w:sz w:val="20"/>
                <w:szCs w:val="20"/>
                <w:color w:val="auto"/>
              </w:rPr>
            </w:pPr>
            <w:r>
              <w:rPr>
                <w:rFonts w:ascii="Arial" w:cs="Arial" w:eastAsia="Arial" w:hAnsi="Arial"/>
                <w:sz w:val="17"/>
                <w:szCs w:val="17"/>
                <w:color w:val="auto"/>
              </w:rPr>
              <w:t>Non-current deferred tax liabilities</w:t>
            </w:r>
          </w:p>
        </w:tc>
        <w:tc>
          <w:tcPr>
            <w:tcW w:w="1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3,850</w:t>
            </w: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3,810</w:t>
            </w: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Long-term debt, net of current portion</w:t>
            </w:r>
          </w:p>
        </w:tc>
        <w:tc>
          <w:tcPr>
            <w:tcW w:w="1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63,715</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71,629</w:t>
            </w:r>
          </w:p>
        </w:tc>
        <w:tc>
          <w:tcPr>
            <w:tcW w:w="0" w:type="dxa"/>
            <w:vAlign w:val="bottom"/>
          </w:tcPr>
          <w:p>
            <w:pPr>
              <w:spacing w:after="0"/>
              <w:rPr>
                <w:sz w:val="1"/>
                <w:szCs w:val="1"/>
                <w:color w:val="auto"/>
              </w:rPr>
            </w:pPr>
          </w:p>
        </w:tc>
      </w:tr>
      <w:tr>
        <w:trPr>
          <w:trHeight w:val="225"/>
        </w:trPr>
        <w:tc>
          <w:tcPr>
            <w:tcW w:w="570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10,460</w:t>
            </w:r>
          </w:p>
        </w:tc>
        <w:tc>
          <w:tcPr>
            <w:tcW w:w="1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11,305</w:t>
            </w:r>
          </w:p>
        </w:tc>
        <w:tc>
          <w:tcPr>
            <w:tcW w:w="0" w:type="dxa"/>
            <w:vAlign w:val="bottom"/>
          </w:tcPr>
          <w:p>
            <w:pPr>
              <w:spacing w:after="0"/>
              <w:rPr>
                <w:sz w:val="1"/>
                <w:szCs w:val="1"/>
                <w:color w:val="auto"/>
              </w:rPr>
            </w:pPr>
          </w:p>
        </w:tc>
      </w:tr>
      <w:tr>
        <w:trPr>
          <w:trHeight w:val="217"/>
        </w:trPr>
        <w:tc>
          <w:tcPr>
            <w:tcW w:w="5700" w:type="dxa"/>
            <w:vAlign w:val="bottom"/>
          </w:tcPr>
          <w:p>
            <w:pPr>
              <w:spacing w:after="0"/>
              <w:rPr>
                <w:sz w:val="20"/>
                <w:szCs w:val="20"/>
                <w:color w:val="auto"/>
              </w:rPr>
            </w:pPr>
            <w:r>
              <w:rPr>
                <w:rFonts w:ascii="Arial" w:cs="Arial" w:eastAsia="Arial" w:hAnsi="Arial"/>
                <w:sz w:val="17"/>
                <w:szCs w:val="17"/>
                <w:color w:val="auto"/>
              </w:rPr>
              <w:t>Total liabilities</w:t>
            </w:r>
          </w:p>
        </w:tc>
        <w:tc>
          <w:tcPr>
            <w:tcW w:w="1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136,783</w:t>
            </w:r>
          </w:p>
        </w:tc>
        <w:tc>
          <w:tcPr>
            <w:tcW w:w="19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159,785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570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1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128,677</w:t>
            </w:r>
          </w:p>
        </w:tc>
        <w:tc>
          <w:tcPr>
            <w:tcW w:w="19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99,676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70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265,460</w:t>
            </w:r>
          </w:p>
        </w:tc>
        <w:tc>
          <w:tcPr>
            <w:tcW w:w="19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w w:val="94"/>
              </w:rPr>
              <w:t>259,461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57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Non-GAAP to GAAP Financial Measures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2660" w:type="dxa"/>
            <w:vAlign w:val="bottom"/>
            <w:gridSpan w:val="5"/>
          </w:tcPr>
          <w:p>
            <w:pPr>
              <w:ind w:left="780"/>
              <w:spacing w:after="0"/>
              <w:rPr>
                <w:sz w:val="20"/>
                <w:szCs w:val="20"/>
                <w:color w:val="auto"/>
              </w:rPr>
            </w:pPr>
            <w:r>
              <w:rPr>
                <w:rFonts w:ascii="Arial" w:cs="Arial" w:eastAsia="Arial" w:hAnsi="Arial"/>
                <w:sz w:val="17"/>
                <w:szCs w:val="17"/>
                <w:b w:val="1"/>
                <w:bCs w:val="1"/>
                <w:color w:val="auto"/>
              </w:rPr>
              <w:t>Three Months Ended</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gridSpan w:val="3"/>
          </w:tcPr>
          <w:p>
            <w:pPr>
              <w:jc w:val="right"/>
              <w:ind w:right="554"/>
              <w:spacing w:after="0"/>
              <w:rPr>
                <w:sz w:val="20"/>
                <w:szCs w:val="20"/>
                <w:color w:val="auto"/>
              </w:rPr>
            </w:pPr>
            <w:r>
              <w:rPr>
                <w:rFonts w:ascii="Arial" w:cs="Arial" w:eastAsia="Arial" w:hAnsi="Arial"/>
                <w:sz w:val="17"/>
                <w:szCs w:val="17"/>
                <w:b w:val="1"/>
                <w:bCs w:val="1"/>
                <w:color w:val="auto"/>
              </w:rPr>
              <w:t>Year Ended</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800" w:type="dxa"/>
            <w:vAlign w:val="bottom"/>
          </w:tcPr>
          <w:p>
            <w:pPr>
              <w:spacing w:after="0"/>
              <w:rPr>
                <w:sz w:val="17"/>
                <w:szCs w:val="17"/>
                <w:color w:val="auto"/>
              </w:rPr>
            </w:pPr>
          </w:p>
        </w:tc>
        <w:tc>
          <w:tcPr>
            <w:tcW w:w="2660" w:type="dxa"/>
            <w:vAlign w:val="bottom"/>
            <w:gridSpan w:val="5"/>
          </w:tcPr>
          <w:p>
            <w:pPr>
              <w:jc w:val="right"/>
              <w:ind w:right="334"/>
              <w:spacing w:after="0"/>
              <w:rPr>
                <w:sz w:val="20"/>
                <w:szCs w:val="20"/>
                <w:color w:val="auto"/>
              </w:rPr>
            </w:pPr>
            <w:r>
              <w:rPr>
                <w:rFonts w:ascii="Arial" w:cs="Arial" w:eastAsia="Arial" w:hAnsi="Arial"/>
                <w:sz w:val="17"/>
                <w:szCs w:val="17"/>
                <w:b w:val="1"/>
                <w:bCs w:val="1"/>
                <w:color w:val="auto"/>
              </w:rPr>
              <w:t>December 31, 2012</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gridSpan w:val="3"/>
          </w:tcPr>
          <w:p>
            <w:pPr>
              <w:jc w:val="right"/>
              <w:ind w:right="294"/>
              <w:spacing w:after="0"/>
              <w:rPr>
                <w:sz w:val="20"/>
                <w:szCs w:val="20"/>
                <w:color w:val="auto"/>
              </w:rPr>
            </w:pPr>
            <w:r>
              <w:rPr>
                <w:rFonts w:ascii="Arial" w:cs="Arial" w:eastAsia="Arial" w:hAnsi="Arial"/>
                <w:sz w:val="17"/>
                <w:szCs w:val="17"/>
                <w:b w:val="1"/>
                <w:bCs w:val="1"/>
                <w:color w:val="auto"/>
                <w:w w:val="91"/>
              </w:rPr>
              <w:t>December 31, 2012</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800" w:type="dxa"/>
            <w:vAlign w:val="bottom"/>
          </w:tcPr>
          <w:p>
            <w:pPr>
              <w:spacing w:after="0"/>
              <w:rPr>
                <w:sz w:val="17"/>
                <w:szCs w:val="17"/>
                <w:color w:val="auto"/>
              </w:rPr>
            </w:pPr>
          </w:p>
        </w:tc>
        <w:tc>
          <w:tcPr>
            <w:tcW w:w="880" w:type="dxa"/>
            <w:vAlign w:val="bottom"/>
          </w:tcPr>
          <w:p>
            <w:pPr>
              <w:jc w:val="center"/>
              <w:ind w:left="434"/>
              <w:spacing w:after="0"/>
              <w:rPr>
                <w:sz w:val="20"/>
                <w:szCs w:val="20"/>
                <w:color w:val="auto"/>
              </w:rPr>
            </w:pPr>
            <w:r>
              <w:rPr>
                <w:rFonts w:ascii="Arial" w:cs="Arial" w:eastAsia="Arial" w:hAnsi="Arial"/>
                <w:sz w:val="17"/>
                <w:szCs w:val="17"/>
                <w:b w:val="1"/>
                <w:bCs w:val="1"/>
                <w:color w:val="auto"/>
              </w:rPr>
              <w:t>In</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3"/>
          </w:tcPr>
          <w:p>
            <w:pPr>
              <w:jc w:val="right"/>
              <w:ind w:right="520"/>
              <w:spacing w:after="0"/>
              <w:rPr>
                <w:sz w:val="20"/>
                <w:szCs w:val="20"/>
                <w:color w:val="auto"/>
              </w:rPr>
            </w:pPr>
            <w:r>
              <w:rPr>
                <w:rFonts w:ascii="Arial" w:cs="Arial" w:eastAsia="Arial" w:hAnsi="Arial"/>
                <w:sz w:val="17"/>
                <w:szCs w:val="17"/>
                <w:b w:val="1"/>
                <w:bCs w:val="1"/>
                <w:color w:val="auto"/>
                <w:w w:val="94"/>
              </w:rPr>
              <w:t>Diluted Earnings</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In</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w w:val="94"/>
              </w:rPr>
              <w:t>Diluted Earnings</w:t>
            </w:r>
          </w:p>
        </w:tc>
      </w:tr>
      <w:tr>
        <w:trPr>
          <w:trHeight w:val="231"/>
        </w:trPr>
        <w:tc>
          <w:tcPr>
            <w:tcW w:w="4800" w:type="dxa"/>
            <w:vAlign w:val="bottom"/>
          </w:tcPr>
          <w:p>
            <w:pPr>
              <w:spacing w:after="0"/>
              <w:rPr>
                <w:sz w:val="20"/>
                <w:szCs w:val="20"/>
                <w:color w:val="auto"/>
              </w:rPr>
            </w:pPr>
          </w:p>
        </w:tc>
        <w:tc>
          <w:tcPr>
            <w:tcW w:w="1740" w:type="dxa"/>
            <w:vAlign w:val="bottom"/>
            <w:gridSpan w:val="4"/>
          </w:tcPr>
          <w:p>
            <w:pPr>
              <w:jc w:val="center"/>
              <w:ind w:right="340"/>
              <w:spacing w:after="0"/>
              <w:rPr>
                <w:sz w:val="20"/>
                <w:szCs w:val="20"/>
                <w:color w:val="auto"/>
              </w:rPr>
            </w:pPr>
            <w:r>
              <w:rPr>
                <w:rFonts w:ascii="Arial" w:cs="Arial" w:eastAsia="Arial" w:hAnsi="Arial"/>
                <w:sz w:val="17"/>
                <w:szCs w:val="17"/>
                <w:b w:val="1"/>
                <w:bCs w:val="1"/>
                <w:color w:val="auto"/>
                <w:w w:val="88"/>
              </w:rPr>
              <w:t>Thousands</w:t>
            </w:r>
          </w:p>
        </w:tc>
        <w:tc>
          <w:tcPr>
            <w:tcW w:w="1820" w:type="dxa"/>
            <w:vAlign w:val="bottom"/>
            <w:gridSpan w:val="3"/>
          </w:tcPr>
          <w:p>
            <w:pPr>
              <w:jc w:val="right"/>
              <w:ind w:right="760"/>
              <w:spacing w:after="0"/>
              <w:rPr>
                <w:sz w:val="20"/>
                <w:szCs w:val="20"/>
                <w:color w:val="auto"/>
              </w:rPr>
            </w:pPr>
            <w:r>
              <w:rPr>
                <w:rFonts w:ascii="Arial" w:cs="Arial" w:eastAsia="Arial" w:hAnsi="Arial"/>
                <w:sz w:val="17"/>
                <w:szCs w:val="17"/>
                <w:b w:val="1"/>
                <w:bCs w:val="1"/>
                <w:color w:val="auto"/>
              </w:rPr>
              <w:t>Per Share</w:t>
            </w:r>
          </w:p>
        </w:tc>
        <w:tc>
          <w:tcPr>
            <w:tcW w:w="1360" w:type="dxa"/>
            <w:vAlign w:val="bottom"/>
            <w:gridSpan w:val="2"/>
          </w:tcPr>
          <w:p>
            <w:pPr>
              <w:jc w:val="right"/>
              <w:ind w:right="194"/>
              <w:spacing w:after="0"/>
              <w:rPr>
                <w:sz w:val="20"/>
                <w:szCs w:val="20"/>
                <w:color w:val="auto"/>
              </w:rPr>
            </w:pPr>
            <w:r>
              <w:rPr>
                <w:rFonts w:ascii="Arial" w:cs="Arial" w:eastAsia="Arial" w:hAnsi="Arial"/>
                <w:sz w:val="17"/>
                <w:szCs w:val="17"/>
                <w:b w:val="1"/>
                <w:bCs w:val="1"/>
                <w:color w:val="auto"/>
              </w:rPr>
              <w:t>Thousands</w:t>
            </w:r>
          </w:p>
        </w:tc>
        <w:tc>
          <w:tcPr>
            <w:tcW w:w="340" w:type="dxa"/>
            <w:vAlign w:val="bottom"/>
          </w:tcPr>
          <w:p>
            <w:pPr>
              <w:spacing w:after="0"/>
              <w:rPr>
                <w:sz w:val="20"/>
                <w:szCs w:val="20"/>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rPr>
              <w:t>Per Share</w:t>
            </w:r>
          </w:p>
        </w:tc>
      </w:tr>
      <w:tr>
        <w:trPr>
          <w:trHeight w:val="194"/>
        </w:trPr>
        <w:tc>
          <w:tcPr>
            <w:tcW w:w="4800" w:type="dxa"/>
            <w:vAlign w:val="bottom"/>
          </w:tcPr>
          <w:p>
            <w:pPr>
              <w:spacing w:after="0" w:line="194" w:lineRule="exact"/>
              <w:rPr>
                <w:sz w:val="20"/>
                <w:szCs w:val="20"/>
                <w:color w:val="auto"/>
              </w:rPr>
            </w:pPr>
            <w:r>
              <w:rPr>
                <w:rFonts w:ascii="Arial" w:cs="Arial" w:eastAsia="Arial" w:hAnsi="Arial"/>
                <w:sz w:val="17"/>
                <w:szCs w:val="17"/>
                <w:color w:val="auto"/>
              </w:rPr>
              <w:t>Net Income</w:t>
            </w:r>
          </w:p>
        </w:tc>
        <w:tc>
          <w:tcPr>
            <w:tcW w:w="880" w:type="dxa"/>
            <w:vAlign w:val="bottom"/>
            <w:tcBorders>
              <w:top w:val="single" w:sz="8" w:color="auto"/>
            </w:tcBorders>
          </w:tcPr>
          <w:p>
            <w:pPr>
              <w:ind w:left="780"/>
              <w:spacing w:after="0" w:line="194" w:lineRule="exact"/>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8,206</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0.48</w:t>
            </w:r>
          </w:p>
        </w:tc>
        <w:tc>
          <w:tcPr>
            <w:tcW w:w="460" w:type="dxa"/>
            <w:vAlign w:val="bottom"/>
          </w:tcPr>
          <w:p>
            <w:pPr>
              <w:spacing w:after="0"/>
              <w:rPr>
                <w:sz w:val="16"/>
                <w:szCs w:val="16"/>
                <w:color w:val="auto"/>
              </w:rPr>
            </w:pPr>
          </w:p>
        </w:tc>
        <w:tc>
          <w:tcPr>
            <w:tcW w:w="8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24,268</w:t>
            </w:r>
          </w:p>
        </w:tc>
        <w:tc>
          <w:tcPr>
            <w:tcW w:w="34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1.42</w:t>
            </w:r>
          </w:p>
        </w:tc>
        <w:tc>
          <w:tcPr>
            <w:tcW w:w="20" w:type="dxa"/>
            <w:vAlign w:val="bottom"/>
          </w:tcPr>
          <w:p>
            <w:pPr>
              <w:spacing w:after="0"/>
              <w:rPr>
                <w:sz w:val="16"/>
                <w:szCs w:val="16"/>
                <w:color w:val="auto"/>
              </w:rPr>
            </w:pPr>
          </w:p>
        </w:tc>
      </w:tr>
      <w:tr>
        <w:trPr>
          <w:trHeight w:val="206"/>
        </w:trPr>
        <w:tc>
          <w:tcPr>
            <w:tcW w:w="4800" w:type="dxa"/>
            <w:vAlign w:val="bottom"/>
          </w:tcPr>
          <w:p>
            <w:pPr>
              <w:spacing w:after="0"/>
              <w:rPr>
                <w:sz w:val="20"/>
                <w:szCs w:val="20"/>
                <w:color w:val="auto"/>
              </w:rPr>
            </w:pPr>
            <w:r>
              <w:rPr>
                <w:rFonts w:ascii="Arial" w:cs="Arial" w:eastAsia="Arial" w:hAnsi="Arial"/>
                <w:sz w:val="17"/>
                <w:szCs w:val="17"/>
                <w:color w:val="auto"/>
                <w:w w:val="93"/>
              </w:rPr>
              <w:t>Benefits from reversing deferred tax asset valuation allowances, net</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800" w:type="dxa"/>
            <w:vAlign w:val="bottom"/>
          </w:tcPr>
          <w:p>
            <w:pPr>
              <w:spacing w:after="0"/>
              <w:rPr>
                <w:sz w:val="20"/>
                <w:szCs w:val="20"/>
                <w:color w:val="auto"/>
              </w:rPr>
            </w:pPr>
            <w:r>
              <w:rPr>
                <w:rFonts w:ascii="Arial" w:cs="Arial" w:eastAsia="Arial" w:hAnsi="Arial"/>
                <w:sz w:val="17"/>
                <w:szCs w:val="17"/>
                <w:color w:val="auto"/>
              </w:rPr>
              <w:t>of offsetting tax charges</w:t>
            </w:r>
          </w:p>
        </w:tc>
        <w:tc>
          <w:tcPr>
            <w:tcW w:w="88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(7,257)</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7"/>
                <w:szCs w:val="17"/>
                <w:color w:val="auto"/>
                <w:w w:val="94"/>
              </w:rPr>
              <w:t>(0.43)</w:t>
            </w:r>
          </w:p>
        </w:tc>
        <w:tc>
          <w:tcPr>
            <w:tcW w:w="8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(7,257)</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(0.43)</w:t>
            </w:r>
          </w:p>
        </w:tc>
      </w:tr>
      <w:tr>
        <w:trPr>
          <w:trHeight w:val="206"/>
        </w:trPr>
        <w:tc>
          <w:tcPr>
            <w:tcW w:w="4800" w:type="dxa"/>
            <w:vAlign w:val="bottom"/>
          </w:tcPr>
          <w:p>
            <w:pPr>
              <w:spacing w:after="0"/>
              <w:rPr>
                <w:sz w:val="20"/>
                <w:szCs w:val="20"/>
                <w:color w:val="auto"/>
              </w:rPr>
            </w:pPr>
            <w:r>
              <w:rPr>
                <w:rFonts w:ascii="Arial" w:cs="Arial" w:eastAsia="Arial" w:hAnsi="Arial"/>
                <w:sz w:val="17"/>
                <w:szCs w:val="17"/>
                <w:color w:val="auto"/>
              </w:rPr>
              <w:t>Impairment of non-operating assets</w:t>
            </w:r>
          </w:p>
        </w:tc>
        <w:tc>
          <w:tcPr>
            <w:tcW w:w="88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1,008</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7"/>
                <w:szCs w:val="17"/>
                <w:color w:val="auto"/>
              </w:rPr>
              <w:t>0.06</w:t>
            </w:r>
          </w:p>
        </w:tc>
        <w:tc>
          <w:tcPr>
            <w:tcW w:w="8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1,008</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0.06</w:t>
            </w:r>
          </w:p>
        </w:tc>
      </w:tr>
      <w:tr>
        <w:trPr>
          <w:trHeight w:val="206"/>
        </w:trPr>
        <w:tc>
          <w:tcPr>
            <w:tcW w:w="4800" w:type="dxa"/>
            <w:vAlign w:val="bottom"/>
          </w:tcPr>
          <w:p>
            <w:pPr>
              <w:spacing w:after="0"/>
              <w:rPr>
                <w:sz w:val="20"/>
                <w:szCs w:val="20"/>
                <w:color w:val="auto"/>
              </w:rPr>
            </w:pPr>
            <w:r>
              <w:rPr>
                <w:rFonts w:ascii="Arial" w:cs="Arial" w:eastAsia="Arial" w:hAnsi="Arial"/>
                <w:sz w:val="17"/>
                <w:szCs w:val="17"/>
                <w:color w:val="auto"/>
              </w:rPr>
              <w:t>Foreign exchange loss on intercompany</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4800" w:type="dxa"/>
            <w:vAlign w:val="bottom"/>
          </w:tcPr>
          <w:p>
            <w:pPr>
              <w:ind w:left="140"/>
              <w:spacing w:after="0"/>
              <w:rPr>
                <w:sz w:val="20"/>
                <w:szCs w:val="20"/>
                <w:color w:val="auto"/>
              </w:rPr>
            </w:pPr>
            <w:r>
              <w:rPr>
                <w:rFonts w:ascii="Arial" w:cs="Arial" w:eastAsia="Arial" w:hAnsi="Arial"/>
                <w:sz w:val="17"/>
                <w:szCs w:val="17"/>
                <w:color w:val="auto"/>
              </w:rPr>
              <w:t>loans</w:t>
            </w:r>
          </w:p>
        </w:tc>
        <w:tc>
          <w:tcPr>
            <w:tcW w:w="8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827</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7"/>
                <w:szCs w:val="17"/>
                <w:color w:val="auto"/>
              </w:rPr>
              <w:t>0.05</w:t>
            </w:r>
          </w:p>
        </w:tc>
        <w:tc>
          <w:tcPr>
            <w:tcW w:w="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1,110</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0.07</w:t>
            </w:r>
          </w:p>
        </w:tc>
      </w:tr>
      <w:tr>
        <w:trPr>
          <w:trHeight w:val="27"/>
        </w:trPr>
        <w:tc>
          <w:tcPr>
            <w:tcW w:w="48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gridSpan w:val="2"/>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12"/>
        </w:trPr>
        <w:tc>
          <w:tcPr>
            <w:tcW w:w="4800" w:type="dxa"/>
            <w:vAlign w:val="bottom"/>
          </w:tcPr>
          <w:p>
            <w:pPr>
              <w:spacing w:after="0"/>
              <w:rPr>
                <w:sz w:val="20"/>
                <w:szCs w:val="20"/>
                <w:color w:val="auto"/>
              </w:rPr>
            </w:pPr>
            <w:r>
              <w:rPr>
                <w:rFonts w:ascii="Arial" w:cs="Arial" w:eastAsia="Arial" w:hAnsi="Arial"/>
                <w:sz w:val="17"/>
                <w:szCs w:val="17"/>
                <w:color w:val="auto"/>
              </w:rPr>
              <w:t>Net Income from normal operations</w:t>
            </w:r>
          </w:p>
        </w:tc>
        <w:tc>
          <w:tcPr>
            <w:tcW w:w="880" w:type="dxa"/>
            <w:vAlign w:val="bottom"/>
          </w:tcPr>
          <w:p>
            <w:pPr>
              <w:jc w:val="center"/>
              <w:ind w:left="434"/>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2,784</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7"/>
                <w:szCs w:val="17"/>
                <w:color w:val="auto"/>
              </w:rPr>
              <w:t>0.16</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19,129</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1.12</w:t>
            </w:r>
          </w:p>
        </w:tc>
      </w:tr>
      <w:tr>
        <w:trPr>
          <w:trHeight w:val="20"/>
        </w:trPr>
        <w:tc>
          <w:tcPr>
            <w:tcW w:w="4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2640" w:type="dxa"/>
            <w:vAlign w:val="bottom"/>
            <w:gridSpan w:val="5"/>
          </w:tcPr>
          <w:p>
            <w:pPr>
              <w:jc w:val="right"/>
              <w:ind w:right="214"/>
              <w:spacing w:after="0"/>
              <w:rPr>
                <w:sz w:val="20"/>
                <w:szCs w:val="20"/>
                <w:color w:val="auto"/>
              </w:rPr>
            </w:pPr>
            <w:r>
              <w:rPr>
                <w:rFonts w:ascii="Arial" w:cs="Arial" w:eastAsia="Arial" w:hAnsi="Arial"/>
                <w:sz w:val="17"/>
                <w:szCs w:val="17"/>
                <w:b w:val="1"/>
                <w:bCs w:val="1"/>
                <w:color w:val="auto"/>
              </w:rPr>
              <w:t>Three Months Ended</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gridSpan w:val="3"/>
          </w:tcPr>
          <w:p>
            <w:pPr>
              <w:jc w:val="center"/>
              <w:ind w:right="234"/>
              <w:spacing w:after="0"/>
              <w:rPr>
                <w:sz w:val="20"/>
                <w:szCs w:val="20"/>
                <w:color w:val="auto"/>
              </w:rPr>
            </w:pPr>
            <w:r>
              <w:rPr>
                <w:rFonts w:ascii="Arial" w:cs="Arial" w:eastAsia="Arial" w:hAnsi="Arial"/>
                <w:sz w:val="17"/>
                <w:szCs w:val="17"/>
                <w:b w:val="1"/>
                <w:bCs w:val="1"/>
                <w:color w:val="auto"/>
                <w:w w:val="91"/>
              </w:rPr>
              <w:t>Year Ended</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0" w:type="dxa"/>
            <w:vAlign w:val="bottom"/>
            <w:gridSpan w:val="4"/>
          </w:tcPr>
          <w:p>
            <w:pPr>
              <w:jc w:val="right"/>
              <w:ind w:right="314"/>
              <w:spacing w:after="0"/>
              <w:rPr>
                <w:sz w:val="20"/>
                <w:szCs w:val="20"/>
                <w:color w:val="auto"/>
              </w:rPr>
            </w:pPr>
            <w:r>
              <w:rPr>
                <w:rFonts w:ascii="Arial" w:cs="Arial" w:eastAsia="Arial" w:hAnsi="Arial"/>
                <w:sz w:val="17"/>
                <w:szCs w:val="17"/>
                <w:b w:val="1"/>
                <w:bCs w:val="1"/>
                <w:color w:val="auto"/>
                <w:w w:val="90"/>
              </w:rPr>
              <w:t>December 31, 2011</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gridSpan w:val="3"/>
          </w:tcPr>
          <w:p>
            <w:pPr>
              <w:jc w:val="center"/>
              <w:ind w:right="234"/>
              <w:spacing w:after="0"/>
              <w:rPr>
                <w:sz w:val="20"/>
                <w:szCs w:val="20"/>
                <w:color w:val="auto"/>
              </w:rPr>
            </w:pPr>
            <w:r>
              <w:rPr>
                <w:rFonts w:ascii="Arial" w:cs="Arial" w:eastAsia="Arial" w:hAnsi="Arial"/>
                <w:sz w:val="17"/>
                <w:szCs w:val="17"/>
                <w:b w:val="1"/>
                <w:bCs w:val="1"/>
                <w:color w:val="auto"/>
                <w:w w:val="90"/>
              </w:rPr>
              <w:t>December 31, 2011</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3"/>
          </w:tcPr>
          <w:p>
            <w:pPr>
              <w:jc w:val="right"/>
              <w:ind w:right="520"/>
              <w:spacing w:after="0"/>
              <w:rPr>
                <w:sz w:val="20"/>
                <w:szCs w:val="20"/>
                <w:color w:val="auto"/>
              </w:rPr>
            </w:pPr>
            <w:r>
              <w:rPr>
                <w:rFonts w:ascii="Arial" w:cs="Arial" w:eastAsia="Arial" w:hAnsi="Arial"/>
                <w:sz w:val="17"/>
                <w:szCs w:val="17"/>
                <w:b w:val="1"/>
                <w:bCs w:val="1"/>
                <w:color w:val="auto"/>
                <w:w w:val="94"/>
              </w:rPr>
              <w:t>Diluted Earnings</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In</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w w:val="94"/>
              </w:rPr>
              <w:t>Diluted Earnings</w:t>
            </w:r>
          </w:p>
        </w:tc>
      </w:tr>
      <w:tr>
        <w:trPr>
          <w:trHeight w:val="231"/>
        </w:trPr>
        <w:tc>
          <w:tcPr>
            <w:tcW w:w="4800" w:type="dxa"/>
            <w:vAlign w:val="bottom"/>
          </w:tcPr>
          <w:p>
            <w:pPr>
              <w:spacing w:after="0"/>
              <w:rPr>
                <w:sz w:val="20"/>
                <w:szCs w:val="20"/>
                <w:color w:val="auto"/>
              </w:rPr>
            </w:pPr>
          </w:p>
        </w:tc>
        <w:tc>
          <w:tcPr>
            <w:tcW w:w="1740" w:type="dxa"/>
            <w:vAlign w:val="bottom"/>
            <w:gridSpan w:val="4"/>
          </w:tcPr>
          <w:p>
            <w:pPr>
              <w:ind w:left="200"/>
              <w:spacing w:after="0"/>
              <w:rPr>
                <w:sz w:val="20"/>
                <w:szCs w:val="20"/>
                <w:color w:val="auto"/>
              </w:rPr>
            </w:pPr>
            <w:r>
              <w:rPr>
                <w:rFonts w:ascii="Arial" w:cs="Arial" w:eastAsia="Arial" w:hAnsi="Arial"/>
                <w:sz w:val="17"/>
                <w:szCs w:val="17"/>
                <w:b w:val="1"/>
                <w:bCs w:val="1"/>
                <w:color w:val="auto"/>
              </w:rPr>
              <w:t>In Thousands</w:t>
            </w:r>
          </w:p>
        </w:tc>
        <w:tc>
          <w:tcPr>
            <w:tcW w:w="1820" w:type="dxa"/>
            <w:vAlign w:val="bottom"/>
            <w:gridSpan w:val="3"/>
          </w:tcPr>
          <w:p>
            <w:pPr>
              <w:jc w:val="right"/>
              <w:ind w:right="780"/>
              <w:spacing w:after="0"/>
              <w:rPr>
                <w:sz w:val="20"/>
                <w:szCs w:val="20"/>
                <w:color w:val="auto"/>
              </w:rPr>
            </w:pPr>
            <w:r>
              <w:rPr>
                <w:rFonts w:ascii="Arial" w:cs="Arial" w:eastAsia="Arial" w:hAnsi="Arial"/>
                <w:sz w:val="17"/>
                <w:szCs w:val="17"/>
                <w:b w:val="1"/>
                <w:bCs w:val="1"/>
                <w:color w:val="auto"/>
              </w:rPr>
              <w:t>Per Share</w:t>
            </w:r>
          </w:p>
        </w:tc>
        <w:tc>
          <w:tcPr>
            <w:tcW w:w="1700" w:type="dxa"/>
            <w:vAlign w:val="bottom"/>
            <w:gridSpan w:val="3"/>
          </w:tcPr>
          <w:p>
            <w:pPr>
              <w:jc w:val="right"/>
              <w:ind w:right="620"/>
              <w:spacing w:after="0"/>
              <w:rPr>
                <w:sz w:val="20"/>
                <w:szCs w:val="20"/>
                <w:color w:val="auto"/>
              </w:rPr>
            </w:pPr>
            <w:r>
              <w:rPr>
                <w:rFonts w:ascii="Arial" w:cs="Arial" w:eastAsia="Arial" w:hAnsi="Arial"/>
                <w:sz w:val="17"/>
                <w:szCs w:val="17"/>
                <w:b w:val="1"/>
                <w:bCs w:val="1"/>
                <w:color w:val="auto"/>
              </w:rPr>
              <w:t>Thousands</w:t>
            </w:r>
          </w:p>
        </w:tc>
        <w:tc>
          <w:tcPr>
            <w:tcW w:w="1380" w:type="dxa"/>
            <w:vAlign w:val="bottom"/>
            <w:gridSpan w:val="3"/>
          </w:tcPr>
          <w:p>
            <w:pPr>
              <w:jc w:val="right"/>
              <w:ind w:right="340"/>
              <w:spacing w:after="0"/>
              <w:rPr>
                <w:sz w:val="20"/>
                <w:szCs w:val="20"/>
                <w:color w:val="auto"/>
              </w:rPr>
            </w:pPr>
            <w:r>
              <w:rPr>
                <w:rFonts w:ascii="Arial" w:cs="Arial" w:eastAsia="Arial" w:hAnsi="Arial"/>
                <w:sz w:val="17"/>
                <w:szCs w:val="17"/>
                <w:b w:val="1"/>
                <w:bCs w:val="1"/>
                <w:color w:val="auto"/>
              </w:rPr>
              <w:t>Per Share</w:t>
            </w:r>
          </w:p>
        </w:tc>
      </w:tr>
      <w:tr>
        <w:trPr>
          <w:trHeight w:val="194"/>
        </w:trPr>
        <w:tc>
          <w:tcPr>
            <w:tcW w:w="4800" w:type="dxa"/>
            <w:vAlign w:val="bottom"/>
          </w:tcPr>
          <w:p>
            <w:pPr>
              <w:spacing w:after="0" w:line="194" w:lineRule="exact"/>
              <w:rPr>
                <w:sz w:val="20"/>
                <w:szCs w:val="20"/>
                <w:color w:val="auto"/>
              </w:rPr>
            </w:pPr>
            <w:r>
              <w:rPr>
                <w:rFonts w:ascii="Arial" w:cs="Arial" w:eastAsia="Arial" w:hAnsi="Arial"/>
                <w:sz w:val="17"/>
                <w:szCs w:val="17"/>
                <w:color w:val="auto"/>
              </w:rPr>
              <w:t>Net Income</w:t>
            </w:r>
          </w:p>
        </w:tc>
        <w:tc>
          <w:tcPr>
            <w:tcW w:w="8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4,901</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0.29</w:t>
            </w:r>
          </w:p>
        </w:tc>
        <w:tc>
          <w:tcPr>
            <w:tcW w:w="460" w:type="dxa"/>
            <w:vAlign w:val="bottom"/>
          </w:tcPr>
          <w:p>
            <w:pPr>
              <w:spacing w:after="0"/>
              <w:rPr>
                <w:sz w:val="16"/>
                <w:szCs w:val="16"/>
                <w:color w:val="auto"/>
              </w:rPr>
            </w:pPr>
          </w:p>
        </w:tc>
        <w:tc>
          <w:tcPr>
            <w:tcW w:w="8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20,937</w:t>
            </w:r>
          </w:p>
        </w:tc>
        <w:tc>
          <w:tcPr>
            <w:tcW w:w="340" w:type="dxa"/>
            <w:vAlign w:val="bottom"/>
          </w:tcPr>
          <w:p>
            <w:pPr>
              <w:spacing w:after="0"/>
              <w:rPr>
                <w:sz w:val="16"/>
                <w:szCs w:val="16"/>
                <w:color w:val="auto"/>
              </w:rPr>
            </w:pPr>
          </w:p>
        </w:tc>
        <w:tc>
          <w:tcPr>
            <w:tcW w:w="8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1.24</w:t>
            </w:r>
          </w:p>
        </w:tc>
        <w:tc>
          <w:tcPr>
            <w:tcW w:w="20" w:type="dxa"/>
            <w:vAlign w:val="bottom"/>
          </w:tcPr>
          <w:p>
            <w:pPr>
              <w:spacing w:after="0"/>
              <w:rPr>
                <w:sz w:val="16"/>
                <w:szCs w:val="16"/>
                <w:color w:val="auto"/>
              </w:rPr>
            </w:pPr>
          </w:p>
        </w:tc>
      </w:tr>
      <w:tr>
        <w:trPr>
          <w:trHeight w:val="206"/>
        </w:trPr>
        <w:tc>
          <w:tcPr>
            <w:tcW w:w="4800" w:type="dxa"/>
            <w:vAlign w:val="bottom"/>
          </w:tcPr>
          <w:p>
            <w:pPr>
              <w:spacing w:after="0"/>
              <w:rPr>
                <w:sz w:val="20"/>
                <w:szCs w:val="20"/>
                <w:color w:val="auto"/>
              </w:rPr>
            </w:pPr>
            <w:r>
              <w:rPr>
                <w:rFonts w:ascii="Arial" w:cs="Arial" w:eastAsia="Arial" w:hAnsi="Arial"/>
                <w:sz w:val="17"/>
                <w:szCs w:val="17"/>
                <w:color w:val="auto"/>
              </w:rPr>
              <w:t>After tax restructuring, impairment and cost for plant closing</w:t>
            </w:r>
          </w:p>
        </w:tc>
        <w:tc>
          <w:tcPr>
            <w:tcW w:w="84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218</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7"/>
                <w:szCs w:val="17"/>
                <w:color w:val="auto"/>
              </w:rPr>
              <w:t>0.01</w:t>
            </w:r>
          </w:p>
        </w:tc>
        <w:tc>
          <w:tcPr>
            <w:tcW w:w="80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(621)</w:t>
            </w:r>
          </w:p>
        </w:tc>
        <w:tc>
          <w:tcPr>
            <w:tcW w:w="8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(0.04)</w:t>
            </w:r>
          </w:p>
        </w:tc>
      </w:tr>
      <w:tr>
        <w:trPr>
          <w:trHeight w:val="206"/>
        </w:trPr>
        <w:tc>
          <w:tcPr>
            <w:tcW w:w="4800" w:type="dxa"/>
            <w:vAlign w:val="bottom"/>
          </w:tcPr>
          <w:p>
            <w:pPr>
              <w:spacing w:after="0"/>
              <w:rPr>
                <w:sz w:val="20"/>
                <w:szCs w:val="20"/>
                <w:color w:val="auto"/>
              </w:rPr>
            </w:pPr>
            <w:r>
              <w:rPr>
                <w:rFonts w:ascii="Arial" w:cs="Arial" w:eastAsia="Arial" w:hAnsi="Arial"/>
                <w:sz w:val="17"/>
                <w:szCs w:val="17"/>
                <w:color w:val="auto"/>
              </w:rPr>
              <w:t>Foreign exchange gain on intercompany</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800" w:type="dxa"/>
            <w:vAlign w:val="bottom"/>
          </w:tcPr>
          <w:p>
            <w:pPr>
              <w:ind w:left="140"/>
              <w:spacing w:after="0"/>
              <w:rPr>
                <w:sz w:val="20"/>
                <w:szCs w:val="20"/>
                <w:color w:val="auto"/>
              </w:rPr>
            </w:pPr>
            <w:r>
              <w:rPr>
                <w:rFonts w:ascii="Arial" w:cs="Arial" w:eastAsia="Arial" w:hAnsi="Arial"/>
                <w:sz w:val="17"/>
                <w:szCs w:val="17"/>
                <w:color w:val="auto"/>
              </w:rPr>
              <w:t>loans</w:t>
            </w:r>
          </w:p>
        </w:tc>
        <w:tc>
          <w:tcPr>
            <w:tcW w:w="84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(849)</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7"/>
                <w:szCs w:val="17"/>
                <w:color w:val="auto"/>
                <w:w w:val="98"/>
              </w:rPr>
              <w:t>(0.05)</w:t>
            </w:r>
          </w:p>
        </w:tc>
        <w:tc>
          <w:tcPr>
            <w:tcW w:w="80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(943)</w:t>
            </w:r>
          </w:p>
        </w:tc>
        <w:tc>
          <w:tcPr>
            <w:tcW w:w="8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(0.06)</w:t>
            </w:r>
          </w:p>
        </w:tc>
      </w:tr>
      <w:tr>
        <w:trPr>
          <w:trHeight w:val="218"/>
        </w:trPr>
        <w:tc>
          <w:tcPr>
            <w:tcW w:w="4800" w:type="dxa"/>
            <w:vAlign w:val="bottom"/>
          </w:tcPr>
          <w:p>
            <w:pPr>
              <w:spacing w:after="0"/>
              <w:rPr>
                <w:sz w:val="20"/>
                <w:szCs w:val="20"/>
                <w:color w:val="auto"/>
              </w:rPr>
            </w:pPr>
            <w:r>
              <w:rPr>
                <w:rFonts w:ascii="Arial" w:cs="Arial" w:eastAsia="Arial" w:hAnsi="Arial"/>
                <w:sz w:val="17"/>
                <w:szCs w:val="17"/>
                <w:color w:val="auto"/>
              </w:rPr>
              <w:t>After-tax other charges</w:t>
            </w:r>
          </w:p>
        </w:tc>
        <w:tc>
          <w:tcPr>
            <w:tcW w:w="8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(770)</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7"/>
                <w:szCs w:val="17"/>
                <w:color w:val="auto"/>
                <w:w w:val="98"/>
              </w:rPr>
              <w:t>(0.04)</w:t>
            </w:r>
          </w:p>
        </w:tc>
        <w:tc>
          <w:tcPr>
            <w:tcW w:w="8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(770)</w:t>
            </w:r>
          </w:p>
        </w:tc>
        <w:tc>
          <w:tcPr>
            <w:tcW w:w="8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(0.04)</w:t>
            </w:r>
          </w:p>
        </w:tc>
      </w:tr>
      <w:tr>
        <w:trPr>
          <w:trHeight w:val="27"/>
        </w:trPr>
        <w:tc>
          <w:tcPr>
            <w:tcW w:w="48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gridSpan w:val="2"/>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12"/>
        </w:trPr>
        <w:tc>
          <w:tcPr>
            <w:tcW w:w="4800" w:type="dxa"/>
            <w:vAlign w:val="bottom"/>
          </w:tcPr>
          <w:p>
            <w:pPr>
              <w:spacing w:after="0"/>
              <w:rPr>
                <w:sz w:val="20"/>
                <w:szCs w:val="20"/>
                <w:color w:val="auto"/>
              </w:rPr>
            </w:pPr>
            <w:r>
              <w:rPr>
                <w:rFonts w:ascii="Arial" w:cs="Arial" w:eastAsia="Arial" w:hAnsi="Arial"/>
                <w:sz w:val="17"/>
                <w:szCs w:val="17"/>
                <w:color w:val="auto"/>
              </w:rPr>
              <w:t>Net income from normal operations</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3,500</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7"/>
                <w:szCs w:val="17"/>
                <w:color w:val="auto"/>
              </w:rPr>
              <w:t>0.21</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18,603</w:t>
            </w:r>
          </w:p>
        </w:tc>
        <w:tc>
          <w:tcPr>
            <w:tcW w:w="340" w:type="dxa"/>
            <w:vAlign w:val="bottom"/>
          </w:tcPr>
          <w:p>
            <w:pPr>
              <w:spacing w:after="0"/>
              <w:rPr>
                <w:sz w:val="24"/>
                <w:szCs w:val="24"/>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1.10</w:t>
            </w:r>
          </w:p>
        </w:tc>
      </w:tr>
      <w:tr>
        <w:trPr>
          <w:trHeight w:val="20"/>
        </w:trPr>
        <w:tc>
          <w:tcPr>
            <w:tcW w:w="4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sectPr>
      <w:pgSz w:w="11900" w:h="16838" w:orient="portrait"/>
      <w:cols w:equalWidth="0" w:num="1">
        <w:col w:w="11420"/>
      </w:cols>
      <w:pgMar w:left="240" w:top="4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upperLetter"/>
      <w:start w:val="4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2019-12-06T11:01:51Z</dcterms:created>
  <dcterms:modified xsi:type="dcterms:W3CDTF">2019-12-06T11:01:51Z</dcterms:modified>
</cp:coreProperties>
</file>