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$0.01 par value</w:t>
      </w:r>
    </w:p>
    <w:p>
      <w:pPr>
        <w:spacing w:after="0" w:line="3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540" w:right="7899" w:hanging="5"/>
        <w:spacing w:after="0" w:line="289" w:lineRule="auto"/>
        <w:tabs>
          <w:tab w:leader="none" w:pos="96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169" w:lineRule="exact"/>
        <w:rPr>
          <w:sz w:val="24"/>
          <w:szCs w:val="24"/>
          <w:color w:val="auto"/>
        </w:rPr>
      </w:pPr>
    </w:p>
    <w:p>
      <w:pPr>
        <w:ind w:right="1779"/>
        <w:spacing w:after="0" w:line="274"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2" w:lineRule="exact"/>
        <w:rPr>
          <w:sz w:val="24"/>
          <w:szCs w:val="24"/>
          <w:color w:val="auto"/>
        </w:rPr>
      </w:pPr>
    </w:p>
    <w:p>
      <w:pPr>
        <w:ind w:right="177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23" w:right="1440" w:bottom="1440" w:gutter="0" w:footer="0" w:header="0"/>
        </w:sectPr>
      </w:pPr>
    </w:p>
    <w:bookmarkStart w:id="1" w:name="page2"/>
    <w:bookmarkEnd w:id="1"/>
    <w:p>
      <w:pPr>
        <w:ind w:left="4112"/>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632" w:right="35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Wells Fargo &amp; Company</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Tax Identification No. 41-0449260</w:t>
      </w: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12" w:hanging="422"/>
        <w:spacing w:after="0" w:line="238" w:lineRule="auto"/>
        <w:tabs>
          <w:tab w:leader="none" w:pos="8112"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12" w:hanging="422"/>
        <w:spacing w:after="0" w:line="238" w:lineRule="auto"/>
        <w:tabs>
          <w:tab w:leader="none" w:pos="8112" w:val="left"/>
        </w:tabs>
        <w:numPr>
          <w:ilvl w:val="2"/>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852" w:right="5779" w:hanging="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Delaware</w:t>
      </w: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212" w:type="dxa"/>
        <w:tblCellMar>
          <w:top w:w="0" w:type="dxa"/>
          <w:left w:w="0" w:type="dxa"/>
          <w:bottom w:w="0" w:type="dxa"/>
          <w:right w:w="0" w:type="dxa"/>
        </w:tblCellMar>
      </w:tblPr>
      <w:tr>
        <w:trPr>
          <w:trHeight w:val="171"/>
        </w:trPr>
        <w:tc>
          <w:tcPr>
            <w:tcW w:w="164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spacing w:after="0"/>
              <w:rPr>
                <w:sz w:val="14"/>
                <w:szCs w:val="14"/>
                <w:color w:val="auto"/>
              </w:rPr>
            </w:pPr>
          </w:p>
        </w:tc>
        <w:tc>
          <w:tcPr>
            <w:tcW w:w="5860" w:type="dxa"/>
            <w:vAlign w:val="bottom"/>
          </w:tcPr>
          <w:p>
            <w:pPr>
              <w:ind w:left="580"/>
              <w:spacing w:after="0" w:line="171" w:lineRule="exact"/>
              <w:rPr>
                <w:sz w:val="20"/>
                <w:szCs w:val="20"/>
                <w:color w:val="auto"/>
              </w:rPr>
            </w:pPr>
            <w:r>
              <w:rPr>
                <w:rFonts w:ascii="Courier New" w:cs="Courier New" w:eastAsia="Courier New" w:hAnsi="Courier New"/>
                <w:sz w:val="18"/>
                <w:szCs w:val="18"/>
                <w:color w:val="auto"/>
              </w:rPr>
              <w:t>860,600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5"/>
              </w:rPr>
              <w:t>SHARES</w:t>
            </w:r>
          </w:p>
        </w:tc>
        <w:tc>
          <w:tcPr>
            <w:tcW w:w="6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w:t>
            </w:r>
          </w:p>
        </w:tc>
        <w:tc>
          <w:tcPr>
            <w:tcW w:w="5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tcPr>
          <w:p>
            <w:pPr>
              <w:spacing w:after="0"/>
              <w:rPr>
                <w:sz w:val="17"/>
                <w:szCs w:val="17"/>
                <w:color w:val="auto"/>
              </w:rPr>
            </w:pPr>
          </w:p>
        </w:tc>
        <w:tc>
          <w:tcPr>
            <w:tcW w:w="5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6"/>
              </w:rPr>
              <w:t>OWNED BY EACH</w:t>
            </w:r>
          </w:p>
        </w:tc>
        <w:tc>
          <w:tcPr>
            <w:tcW w:w="6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w:t>
            </w:r>
          </w:p>
        </w:tc>
        <w:tc>
          <w:tcPr>
            <w:tcW w:w="5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720" w:type="dxa"/>
            <w:vAlign w:val="bottom"/>
          </w:tcPr>
          <w:p>
            <w:pPr>
              <w:spacing w:after="0"/>
              <w:rPr>
                <w:sz w:val="17"/>
                <w:szCs w:val="17"/>
                <w:color w:val="auto"/>
              </w:rPr>
            </w:pPr>
          </w:p>
        </w:tc>
        <w:tc>
          <w:tcPr>
            <w:tcW w:w="5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863,150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PERSON WITH</w:t>
            </w:r>
          </w:p>
        </w:tc>
        <w:tc>
          <w:tcPr>
            <w:tcW w:w="6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w:t>
            </w:r>
          </w:p>
        </w:tc>
        <w:tc>
          <w:tcPr>
            <w:tcW w:w="5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6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9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863,150</w:t>
      </w: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283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Not applicable</w:t>
      </w: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46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5.2%</w:t>
      </w: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705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HC</w:t>
      </w: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1"/>
          </w:cols>
          <w:pgMar w:left="248" w:top="691" w:right="1440" w:bottom="1440" w:gutter="0" w:footer="0" w:header="0"/>
        </w:sectPr>
      </w:pPr>
    </w:p>
    <w:bookmarkStart w:id="2" w:name="page3"/>
    <w:bookmarkEnd w:id="2"/>
    <w:p>
      <w:pPr>
        <w:ind w:left="4112"/>
        <w:spacing w:after="0"/>
        <w:rPr>
          <w:sz w:val="20"/>
          <w:szCs w:val="20"/>
          <w:color w:val="auto"/>
        </w:rPr>
      </w:pPr>
      <w:r>
        <w:rPr>
          <w:rFonts w:ascii="Courier New" w:cs="Courier New" w:eastAsia="Courier New" w:hAnsi="Courier New"/>
          <w:sz w:val="18"/>
          <w:szCs w:val="18"/>
          <w:color w:val="auto"/>
        </w:rPr>
        <w:t>13G</w:t>
      </w:r>
    </w:p>
    <w:p>
      <w:pPr>
        <w:spacing w:after="0" w:line="201" w:lineRule="exact"/>
        <w:rPr>
          <w:sz w:val="20"/>
          <w:szCs w:val="20"/>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   NAME OF REPORTING PERSON</w:t>
      </w:r>
    </w:p>
    <w:p>
      <w:pPr>
        <w:ind w:left="632" w:right="35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 (ENTITIES ONLY) Wells Capital Management Incorporated</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Federal ID No.  95-3692822</w:t>
      </w: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8112" w:hanging="422"/>
        <w:spacing w:after="0" w:line="238" w:lineRule="auto"/>
        <w:tabs>
          <w:tab w:leader="none" w:pos="811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8112" w:hanging="422"/>
        <w:spacing w:after="0" w:line="238" w:lineRule="auto"/>
        <w:tabs>
          <w:tab w:leader="none" w:pos="811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16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952" w:right="5779" w:hanging="737"/>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California</w:t>
      </w: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3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   SOLE VOTING POWER</w:t>
      </w:r>
    </w:p>
    <w:tbl>
      <w:tblPr>
        <w:tblLayout w:type="fixed"/>
        <w:tblInd w:w="212" w:type="dxa"/>
        <w:tblCellMar>
          <w:top w:w="0" w:type="dxa"/>
          <w:left w:w="0" w:type="dxa"/>
          <w:bottom w:w="0" w:type="dxa"/>
          <w:right w:w="0" w:type="dxa"/>
        </w:tblCellMar>
      </w:tblPr>
      <w:tr>
        <w:trPr>
          <w:trHeight w:val="171"/>
        </w:trPr>
        <w:tc>
          <w:tcPr>
            <w:tcW w:w="1640" w:type="dxa"/>
            <w:vAlign w:val="bottom"/>
          </w:tcPr>
          <w:p>
            <w:pPr>
              <w:ind w:left="100"/>
              <w:spacing w:after="0" w:line="171" w:lineRule="exact"/>
              <w:rPr>
                <w:sz w:val="20"/>
                <w:szCs w:val="20"/>
                <w:color w:val="auto"/>
              </w:rPr>
            </w:pPr>
            <w:r>
              <w:rPr>
                <w:rFonts w:ascii="Courier New" w:cs="Courier New" w:eastAsia="Courier New" w:hAnsi="Courier New"/>
                <w:sz w:val="18"/>
                <w:szCs w:val="18"/>
                <w:color w:val="auto"/>
              </w:rPr>
              <w:t>NUMBER OF</w:t>
            </w:r>
          </w:p>
        </w:tc>
        <w:tc>
          <w:tcPr>
            <w:tcW w:w="720" w:type="dxa"/>
            <w:vAlign w:val="bottom"/>
          </w:tcPr>
          <w:p>
            <w:pPr>
              <w:spacing w:after="0"/>
              <w:rPr>
                <w:sz w:val="14"/>
                <w:szCs w:val="14"/>
                <w:color w:val="auto"/>
              </w:rPr>
            </w:pPr>
          </w:p>
        </w:tc>
        <w:tc>
          <w:tcPr>
            <w:tcW w:w="5860" w:type="dxa"/>
            <w:vAlign w:val="bottom"/>
          </w:tcPr>
          <w:p>
            <w:pPr>
              <w:ind w:left="580"/>
              <w:spacing w:after="0" w:line="171" w:lineRule="exact"/>
              <w:rPr>
                <w:sz w:val="20"/>
                <w:szCs w:val="20"/>
                <w:color w:val="auto"/>
              </w:rPr>
            </w:pPr>
            <w:r>
              <w:rPr>
                <w:rFonts w:ascii="Courier New" w:cs="Courier New" w:eastAsia="Courier New" w:hAnsi="Courier New"/>
                <w:sz w:val="18"/>
                <w:szCs w:val="18"/>
                <w:color w:val="auto"/>
              </w:rPr>
              <w:t>860,600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292"/>
              <w:spacing w:after="0"/>
              <w:rPr>
                <w:sz w:val="20"/>
                <w:szCs w:val="20"/>
                <w:color w:val="auto"/>
              </w:rPr>
            </w:pPr>
            <w:r>
              <w:rPr>
                <w:rFonts w:ascii="Courier New" w:cs="Courier New" w:eastAsia="Courier New" w:hAnsi="Courier New"/>
                <w:sz w:val="18"/>
                <w:szCs w:val="18"/>
                <w:color w:val="auto"/>
                <w:w w:val="95"/>
              </w:rPr>
              <w:t>SHARES</w:t>
            </w:r>
          </w:p>
        </w:tc>
        <w:tc>
          <w:tcPr>
            <w:tcW w:w="6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w:t>
            </w:r>
          </w:p>
        </w:tc>
        <w:tc>
          <w:tcPr>
            <w:tcW w:w="5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2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20" w:type="dxa"/>
            <w:vAlign w:val="bottom"/>
          </w:tcPr>
          <w:p>
            <w:pPr>
              <w:spacing w:after="0"/>
              <w:rPr>
                <w:sz w:val="17"/>
                <w:szCs w:val="17"/>
                <w:color w:val="auto"/>
              </w:rPr>
            </w:pPr>
          </w:p>
        </w:tc>
        <w:tc>
          <w:tcPr>
            <w:tcW w:w="5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6"/>
              </w:rPr>
              <w:t>OWNED BY EACH</w:t>
            </w:r>
          </w:p>
        </w:tc>
        <w:tc>
          <w:tcPr>
            <w:tcW w:w="6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7</w:t>
            </w:r>
          </w:p>
        </w:tc>
        <w:tc>
          <w:tcPr>
            <w:tcW w:w="5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16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720" w:type="dxa"/>
            <w:vAlign w:val="bottom"/>
          </w:tcPr>
          <w:p>
            <w:pPr>
              <w:spacing w:after="0"/>
              <w:rPr>
                <w:sz w:val="17"/>
                <w:szCs w:val="17"/>
                <w:color w:val="auto"/>
              </w:rPr>
            </w:pPr>
          </w:p>
        </w:tc>
        <w:tc>
          <w:tcPr>
            <w:tcW w:w="58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863,150</w:t>
            </w:r>
          </w:p>
        </w:tc>
        <w:tc>
          <w:tcPr>
            <w:tcW w:w="0" w:type="dxa"/>
            <w:vAlign w:val="bottom"/>
          </w:tcPr>
          <w:p>
            <w:pPr>
              <w:spacing w:after="0"/>
              <w:rPr>
                <w:sz w:val="1"/>
                <w:szCs w:val="1"/>
                <w:color w:val="auto"/>
              </w:rPr>
            </w:pPr>
          </w:p>
        </w:tc>
      </w:tr>
      <w:tr>
        <w:trPr>
          <w:trHeight w:val="203"/>
        </w:trPr>
        <w:tc>
          <w:tcPr>
            <w:tcW w:w="1640" w:type="dxa"/>
            <w:vAlign w:val="bottom"/>
            <w:vMerge w:val="restart"/>
          </w:tcPr>
          <w:p>
            <w:pPr>
              <w:jc w:val="center"/>
              <w:ind w:right="192"/>
              <w:spacing w:after="0"/>
              <w:rPr>
                <w:sz w:val="20"/>
                <w:szCs w:val="20"/>
                <w:color w:val="auto"/>
              </w:rPr>
            </w:pPr>
            <w:r>
              <w:rPr>
                <w:rFonts w:ascii="Courier New" w:cs="Courier New" w:eastAsia="Courier New" w:hAnsi="Courier New"/>
                <w:sz w:val="18"/>
                <w:szCs w:val="18"/>
                <w:color w:val="auto"/>
                <w:w w:val="97"/>
              </w:rPr>
              <w:t>PERSON WITH</w:t>
            </w:r>
          </w:p>
        </w:tc>
        <w:tc>
          <w:tcPr>
            <w:tcW w:w="6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640" w:type="dxa"/>
            <w:vAlign w:val="bottom"/>
            <w:vMerge w:val="continue"/>
          </w:tcPr>
          <w:p>
            <w:pPr>
              <w:spacing w:after="0"/>
              <w:rPr>
                <w:sz w:val="17"/>
                <w:szCs w:val="17"/>
                <w:color w:val="auto"/>
              </w:rPr>
            </w:pPr>
          </w:p>
        </w:tc>
        <w:tc>
          <w:tcPr>
            <w:tcW w:w="72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w:t>
            </w:r>
          </w:p>
        </w:tc>
        <w:tc>
          <w:tcPr>
            <w:tcW w:w="5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0" w:type="dxa"/>
            <w:vAlign w:val="bottom"/>
          </w:tcPr>
          <w:p>
            <w:pPr>
              <w:spacing w:after="0"/>
              <w:rPr>
                <w:sz w:val="1"/>
                <w:szCs w:val="1"/>
                <w:color w:val="auto"/>
              </w:rPr>
            </w:pPr>
          </w:p>
        </w:tc>
      </w:tr>
      <w:tr>
        <w:trPr>
          <w:trHeight w:val="235"/>
        </w:trPr>
        <w:tc>
          <w:tcPr>
            <w:tcW w:w="1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6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1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95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863,150</w:t>
      </w: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283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IF THE AGGREGATE AMOUNT IN ROW (9) EXCLUDES CERTAIN SHARES Not applicable</w:t>
      </w: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461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5.2%</w:t>
      </w: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952" w:right="705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IA</w:t>
      </w: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1"/>
          </w:cols>
          <w:pgMar w:left="248" w:top="691" w:right="1440" w:bottom="1440" w:gutter="0" w:footer="0" w:header="0"/>
        </w:sectPr>
      </w:pPr>
    </w:p>
    <w:bookmarkStart w:id="3" w:name="page4"/>
    <w:bookmarkEnd w:id="3"/>
    <w:p>
      <w:pPr>
        <w:jc w:val="center"/>
        <w:ind w:right="1659"/>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5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SCHEDULE 13G</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169"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DISCLAIMER: Information in this Schedule 13G is provided solely for the purpose of complying with Sections 13(d) and 13(g) of the Act and regulations promulgated thereunder, and is not to be construed as an admission that Wells Fargo &amp; Company or any of its subsidiaries is the beneficial owner of the securities covered by this Schedule 13G for any purpose whatsoever.</w:t>
      </w:r>
    </w:p>
    <w:p>
      <w:pPr>
        <w:spacing w:after="0" w:line="90"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2000 Waters Edge Drive</w:t>
      </w:r>
    </w:p>
    <w:p>
      <w:pPr>
        <w:spacing w:after="0" w:line="2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Building C, Suite 12</w:t>
      </w:r>
    </w:p>
    <w:p>
      <w:pPr>
        <w:ind w:left="1160"/>
        <w:spacing w:after="0"/>
        <w:tabs>
          <w:tab w:leader="none" w:pos="3040" w:val="left"/>
        </w:tabs>
        <w:rPr>
          <w:sz w:val="20"/>
          <w:szCs w:val="20"/>
          <w:color w:val="auto"/>
        </w:rPr>
      </w:pPr>
      <w:r>
        <w:rPr>
          <w:rFonts w:ascii="Courier New" w:cs="Courier New" w:eastAsia="Courier New" w:hAnsi="Courier New"/>
          <w:sz w:val="18"/>
          <w:szCs w:val="18"/>
          <w:color w:val="auto"/>
        </w:rPr>
        <w:t>Johnson City, TN</w:t>
      </w:r>
      <w:r>
        <w:rPr>
          <w:sz w:val="20"/>
          <w:szCs w:val="20"/>
          <w:color w:val="auto"/>
        </w:rPr>
        <w:tab/>
      </w:r>
      <w:r>
        <w:rPr>
          <w:rFonts w:ascii="Courier New" w:cs="Courier New" w:eastAsia="Courier New" w:hAnsi="Courier New"/>
          <w:sz w:val="16"/>
          <w:szCs w:val="16"/>
          <w:color w:val="auto"/>
        </w:rPr>
        <w:t>37604</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Wells Fargo &amp; Company</w:t>
      </w:r>
    </w:p>
    <w:p>
      <w:pPr>
        <w:spacing w:after="0" w:line="3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Wells Capital Management Incorporated</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1580" w:right="6099" w:hanging="413"/>
        <w:spacing w:after="0" w:line="292" w:lineRule="auto"/>
        <w:tabs>
          <w:tab w:leader="none" w:pos="158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Wells Fargo &amp; Company 420 Montgomery Street San Francisco, CA 94104</w:t>
      </w:r>
    </w:p>
    <w:p>
      <w:pPr>
        <w:spacing w:after="0" w:line="66" w:lineRule="exact"/>
        <w:rPr>
          <w:rFonts w:ascii="Courier New" w:cs="Courier New" w:eastAsia="Courier New" w:hAnsi="Courier New"/>
          <w:sz w:val="18"/>
          <w:szCs w:val="18"/>
          <w:color w:val="auto"/>
        </w:rPr>
      </w:pPr>
    </w:p>
    <w:p>
      <w:pPr>
        <w:ind w:left="1580" w:right="4739" w:hanging="413"/>
        <w:spacing w:after="0" w:line="289" w:lineRule="auto"/>
        <w:tabs>
          <w:tab w:leader="none" w:pos="15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Wells Capital Management Incorporated 525 Market Street, 10th Floor</w:t>
      </w:r>
    </w:p>
    <w:p>
      <w:pPr>
        <w:ind w:left="15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San Francisco, CA 94104</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1580" w:hanging="413"/>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Wells Fargo &amp; Company: Delaware</w:t>
      </w:r>
    </w:p>
    <w:p>
      <w:pPr>
        <w:spacing w:after="0" w:line="30" w:lineRule="exact"/>
        <w:rPr>
          <w:rFonts w:ascii="Courier New" w:cs="Courier New" w:eastAsia="Courier New" w:hAnsi="Courier New"/>
          <w:sz w:val="18"/>
          <w:szCs w:val="18"/>
          <w:color w:val="auto"/>
        </w:rPr>
      </w:pPr>
    </w:p>
    <w:p>
      <w:pPr>
        <w:ind w:left="1580" w:hanging="413"/>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Wells Capital Management Incorporated: California</w:t>
      </w:r>
    </w:p>
    <w:p>
      <w:pPr>
        <w:spacing w:after="0" w:line="169"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Common Stock, $0.01 par value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629337106</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is a:</w:t>
      </w:r>
    </w:p>
    <w:p>
      <w:pPr>
        <w:spacing w:after="0" w:line="201" w:lineRule="exact"/>
        <w:rPr>
          <w:sz w:val="20"/>
          <w:szCs w:val="20"/>
          <w:color w:val="auto"/>
        </w:rPr>
      </w:pPr>
    </w:p>
    <w:p>
      <w:pPr>
        <w:ind w:left="1580" w:right="1879" w:hanging="413"/>
        <w:spacing w:after="0" w:line="347" w:lineRule="auto"/>
        <w:tabs>
          <w:tab w:leader="none" w:pos="15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Wells Fargo &amp; Company: Parent Holding Company in accordance with 240.13d-1(b)(1)(ii)(G)</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4" w:name="page5"/>
    <w:bookmarkEnd w:id="4"/>
    <w:p>
      <w:pPr>
        <w:ind w:left="1580" w:right="2319" w:hanging="413"/>
        <w:spacing w:after="0" w:line="402" w:lineRule="auto"/>
        <w:tabs>
          <w:tab w:leader="none" w:pos="15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Wells Capital Management Incorporated: Registered Investment Advisor in accordance with Regulation 13d-1(b)(1)(ii)(E)</w:t>
      </w:r>
    </w:p>
    <w:p>
      <w:pPr>
        <w:spacing w:after="0" w:line="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5-11 of each cover page. Information as of December 31, 2003.</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1160" w:right="1779"/>
        <w:spacing w:after="0" w:line="274"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82" w:lineRule="exact"/>
        <w:rPr>
          <w:sz w:val="20"/>
          <w:szCs w:val="20"/>
          <w:color w:val="auto"/>
        </w:rPr>
      </w:pPr>
    </w:p>
    <w:p>
      <w:pPr>
        <w:ind w:left="1160" w:right="3159" w:hanging="1158"/>
        <w:spacing w:after="0" w:line="347" w:lineRule="auto"/>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18"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ind w:left="1160" w:right="2099" w:hanging="1158"/>
        <w:spacing w:after="0" w:line="402"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Attachment A</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right="1779"/>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8"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January 23,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&amp; COMPANY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Laurel A. Holschuh</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Laurel A. Holschuh, Senior Vice President</w:t>
      </w:r>
    </w:p>
    <w:p>
      <w:pPr>
        <w:ind w:left="1060"/>
        <w:spacing w:after="0"/>
        <w:rPr>
          <w:sz w:val="20"/>
          <w:szCs w:val="20"/>
          <w:color w:val="auto"/>
        </w:rPr>
      </w:pPr>
      <w:r>
        <w:rPr>
          <w:rFonts w:ascii="Courier New" w:cs="Courier New" w:eastAsia="Courier New" w:hAnsi="Courier New"/>
          <w:sz w:val="18"/>
          <w:szCs w:val="18"/>
          <w:color w:val="auto"/>
        </w:rPr>
        <w:t>and Secretary</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691" w:right="1440" w:bottom="1440" w:gutter="0" w:footer="0" w:header="0"/>
        </w:sectPr>
      </w:pPr>
    </w:p>
    <w:bookmarkStart w:id="5" w:name="page6"/>
    <w:bookmarkEnd w:id="5"/>
    <w:p>
      <w:pPr>
        <w:jc w:val="center"/>
        <w:ind w:right="1759"/>
        <w:spacing w:after="0"/>
        <w:rPr>
          <w:sz w:val="20"/>
          <w:szCs w:val="20"/>
          <w:color w:val="auto"/>
        </w:rPr>
      </w:pPr>
      <w:r>
        <w:rPr>
          <w:rFonts w:ascii="Courier New" w:cs="Courier New" w:eastAsia="Courier New" w:hAnsi="Courier New"/>
          <w:sz w:val="18"/>
          <w:szCs w:val="18"/>
          <w:color w:val="auto"/>
        </w:rPr>
        <w:t>ATTACHMENT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Schedule 13G to which this attachment is appended is filed by Wells Fargo &amp;</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 on behalf of the following subsidiaries:</w:t>
      </w:r>
    </w:p>
    <w:p>
      <w:pPr>
        <w:spacing w:after="0" w:line="16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Wells Capital Management Incorporated (1)</w:t>
      </w:r>
    </w:p>
    <w:p>
      <w:pPr>
        <w:spacing w:after="0" w:line="201" w:lineRule="exact"/>
        <w:rPr>
          <w:sz w:val="20"/>
          <w:szCs w:val="20"/>
          <w:color w:val="auto"/>
        </w:rPr>
      </w:pPr>
    </w:p>
    <w:p>
      <w:pPr>
        <w:ind w:right="2419" w:firstLine="535"/>
        <w:spacing w:after="0" w:line="347" w:lineRule="auto"/>
        <w:tabs>
          <w:tab w:leader="none" w:pos="1053"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Classified as a registered investment advisor in accordance with Regulation 13d-1(b)(1)(ii)(E).</w:t>
      </w:r>
    </w:p>
    <w:p>
      <w:pPr>
        <w:spacing w:after="0" w:line="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691"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The undersigned hereby agree that the statement on Schedule 13G to which this Agreement is attached shall be filed by Wells Fargo &amp; Company on its own behalf and on behalf of Wells Capital Management Incorporated.</w:t>
      </w:r>
    </w:p>
    <w:p>
      <w:pPr>
        <w:spacing w:after="0" w:line="6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January 23, 2004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FARGO &amp; COMPANY</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Laurel A. Holschuh</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Laurel A. Holschuh, Senior Vice President</w:t>
      </w:r>
    </w:p>
    <w:p>
      <w:pPr>
        <w:ind w:left="1060"/>
        <w:spacing w:after="0"/>
        <w:rPr>
          <w:sz w:val="20"/>
          <w:szCs w:val="20"/>
          <w:color w:val="auto"/>
        </w:rPr>
      </w:pPr>
      <w:r>
        <w:rPr>
          <w:rFonts w:ascii="Courier New" w:cs="Courier New" w:eastAsia="Courier New" w:hAnsi="Courier New"/>
          <w:sz w:val="18"/>
          <w:szCs w:val="18"/>
          <w:color w:val="auto"/>
        </w:rPr>
        <w:t>and 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WELLS CAPITAL MANAGEMENT INCORPORATED</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Monica Poon</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Monica Poon, Senior Vice President and</w:t>
      </w:r>
    </w:p>
    <w:p>
      <w:pPr>
        <w:ind w:left="1160"/>
        <w:spacing w:after="0"/>
        <w:rPr>
          <w:sz w:val="20"/>
          <w:szCs w:val="20"/>
          <w:color w:val="auto"/>
        </w:rPr>
      </w:pPr>
      <w:r>
        <w:rPr>
          <w:rFonts w:ascii="Courier New" w:cs="Courier New" w:eastAsia="Courier New" w:hAnsi="Courier New"/>
          <w:sz w:val="18"/>
          <w:szCs w:val="18"/>
          <w:color w:val="auto"/>
        </w:rPr>
        <w:t>Chief Compliance Officer</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2019-12-14T03:16:29Z</dcterms:created>
  <dcterms:modified xsi:type="dcterms:W3CDTF">2019-12-14T03:16:29Z</dcterms:modified>
</cp:coreProperties>
</file>