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3920" w:type="dxa"/>
        <w:tblCellMar>
          <w:top w:w="0" w:type="dxa"/>
          <w:left w:w="0" w:type="dxa"/>
          <w:bottom w:w="0" w:type="dxa"/>
          <w:right w:w="0" w:type="dxa"/>
        </w:tblCellMar>
      </w:tblPr>
      <w:tr>
        <w:trPr>
          <w:trHeight w:val="228"/>
        </w:trPr>
        <w:tc>
          <w:tcPr>
            <w:tcW w:w="2480" w:type="dxa"/>
            <w:vAlign w:val="bottom"/>
          </w:tcPr>
          <w:p>
            <w:pPr>
              <w:spacing w:after="0"/>
              <w:rPr>
                <w:sz w:val="20"/>
                <w:szCs w:val="20"/>
                <w:color w:val="auto"/>
              </w:rPr>
            </w:pPr>
            <w:r>
              <w:rPr>
                <w:rFonts w:ascii="Arial" w:cs="Arial" w:eastAsia="Arial" w:hAnsi="Arial"/>
                <w:sz w:val="18"/>
                <w:szCs w:val="18"/>
                <w:b w:val="1"/>
                <w:bCs w:val="1"/>
                <w:color w:val="auto"/>
                <w:w w:val="97"/>
              </w:rPr>
              <w:t>For the transition period from</w:t>
            </w:r>
          </w:p>
        </w:tc>
        <w:tc>
          <w:tcPr>
            <w:tcW w:w="580" w:type="dxa"/>
            <w:vAlign w:val="bottom"/>
          </w:tcPr>
          <w:p>
            <w:pPr>
              <w:ind w:left="400"/>
              <w:spacing w:after="0"/>
              <w:rPr>
                <w:sz w:val="20"/>
                <w:szCs w:val="20"/>
                <w:color w:val="auto"/>
              </w:rPr>
            </w:pPr>
            <w:r>
              <w:rPr>
                <w:rFonts w:ascii="Arial" w:cs="Arial" w:eastAsia="Arial" w:hAnsi="Arial"/>
                <w:sz w:val="18"/>
                <w:szCs w:val="18"/>
                <w:b w:val="1"/>
                <w:bCs w:val="1"/>
                <w:color w:val="auto"/>
                <w:w w:val="93"/>
              </w:rPr>
              <w:t>to</w:t>
            </w:r>
          </w:p>
        </w:tc>
      </w:tr>
      <w:tr>
        <w:trPr>
          <w:trHeight w:val="340"/>
        </w:trPr>
        <w:tc>
          <w:tcPr>
            <w:tcW w:w="3060" w:type="dxa"/>
            <w:vAlign w:val="bottom"/>
            <w:gridSpan w:val="2"/>
          </w:tcPr>
          <w:p>
            <w:pPr>
              <w:ind w:left="520"/>
              <w:spacing w:after="0"/>
              <w:rPr>
                <w:sz w:val="20"/>
                <w:szCs w:val="20"/>
                <w:color w:val="auto"/>
              </w:rPr>
            </w:pPr>
            <w:r>
              <w:rPr>
                <w:rFonts w:ascii="Arial" w:cs="Arial" w:eastAsia="Arial" w:hAnsi="Arial"/>
                <w:sz w:val="18"/>
                <w:szCs w:val="18"/>
                <w:b w:val="1"/>
                <w:bCs w:val="1"/>
                <w:color w:val="auto"/>
                <w:w w:val="87"/>
              </w:rPr>
              <w:t>Commission File Number 0-23486</w:t>
            </w:r>
          </w:p>
        </w:tc>
      </w:tr>
      <w:tr>
        <w:trPr>
          <w:trHeight w:val="20"/>
        </w:trPr>
        <w:tc>
          <w:tcPr>
            <w:tcW w:w="2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43"/>
                <w:szCs w:val="43"/>
                <w:b w:val="1"/>
                <w:bCs w:val="1"/>
                <w:color w:val="auto"/>
                <w:w w:val="96"/>
              </w:rPr>
              <w:t>NN, Inc.</w:t>
            </w:r>
          </w:p>
        </w:tc>
      </w:tr>
      <w:tr>
        <w:trPr>
          <w:trHeight w:val="228"/>
        </w:trPr>
        <w:tc>
          <w:tcPr>
            <w:tcW w:w="1760" w:type="dxa"/>
            <w:vAlign w:val="bottom"/>
          </w:tcPr>
          <w:p>
            <w:pPr>
              <w:spacing w:after="0"/>
              <w:rPr>
                <w:sz w:val="19"/>
                <w:szCs w:val="19"/>
                <w:color w:val="auto"/>
              </w:rPr>
            </w:pPr>
          </w:p>
        </w:tc>
        <w:tc>
          <w:tcPr>
            <w:tcW w:w="55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42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40" w:type="dxa"/>
            <w:vAlign w:val="bottom"/>
            <w:gridSpan w:val="3"/>
          </w:tcPr>
          <w:p>
            <w:pPr>
              <w:jc w:val="center"/>
              <w:ind w:left="4120"/>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20" w:type="dxa"/>
            <w:vAlign w:val="bottom"/>
          </w:tcPr>
          <w:p>
            <w:pPr>
              <w:jc w:val="center"/>
              <w:ind w:left="101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20" w:type="dxa"/>
            <w:vAlign w:val="bottom"/>
          </w:tcPr>
          <w:p>
            <w:pPr>
              <w:jc w:val="center"/>
              <w:ind w:left="101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9"/>
              </w:rPr>
              <w:t>2000 Waters Edge Drive</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8"/>
              </w:rPr>
              <w:t>Building C, Suite 12</w:t>
            </w:r>
          </w:p>
        </w:tc>
      </w:tr>
      <w:tr>
        <w:trPr>
          <w:trHeight w:val="218"/>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4"/>
              </w:rPr>
              <w:t>Johnson City, Tennessee 37604</w:t>
            </w:r>
          </w:p>
        </w:tc>
      </w:tr>
      <w:tr>
        <w:trPr>
          <w:trHeight w:val="174"/>
        </w:trPr>
        <w:tc>
          <w:tcPr>
            <w:tcW w:w="1760" w:type="dxa"/>
            <w:vAlign w:val="bottom"/>
          </w:tcPr>
          <w:p>
            <w:pPr>
              <w:spacing w:after="0"/>
              <w:rPr>
                <w:sz w:val="15"/>
                <w:szCs w:val="15"/>
                <w:color w:val="auto"/>
              </w:rPr>
            </w:pPr>
          </w:p>
        </w:tc>
        <w:tc>
          <w:tcPr>
            <w:tcW w:w="55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r>
      <w:tr>
        <w:trPr>
          <w:trHeight w:val="352"/>
        </w:trPr>
        <w:tc>
          <w:tcPr>
            <w:tcW w:w="1760" w:type="dxa"/>
            <w:vAlign w:val="bottom"/>
          </w:tcPr>
          <w:p>
            <w:pPr>
              <w:spacing w:after="0"/>
              <w:rPr>
                <w:sz w:val="24"/>
                <w:szCs w:val="24"/>
                <w:color w:val="auto"/>
              </w:rPr>
            </w:pPr>
          </w:p>
        </w:tc>
        <w:tc>
          <w:tcPr>
            <w:tcW w:w="3120" w:type="dxa"/>
            <w:vAlign w:val="bottom"/>
            <w:gridSpan w:val="2"/>
          </w:tcPr>
          <w:p>
            <w:pPr>
              <w:jc w:val="center"/>
              <w:ind w:left="660"/>
              <w:spacing w:after="0"/>
              <w:rPr>
                <w:sz w:val="20"/>
                <w:szCs w:val="20"/>
                <w:color w:val="auto"/>
              </w:rPr>
            </w:pPr>
            <w:r>
              <w:rPr>
                <w:rFonts w:ascii="Arial" w:cs="Arial" w:eastAsia="Arial" w:hAnsi="Arial"/>
                <w:sz w:val="18"/>
                <w:szCs w:val="18"/>
                <w:b w:val="1"/>
                <w:bCs w:val="1"/>
                <w:color w:val="auto"/>
                <w:w w:val="89"/>
              </w:rPr>
              <w:t>(423) 743-9151</w:t>
            </w:r>
          </w:p>
        </w:tc>
        <w:tc>
          <w:tcPr>
            <w:tcW w:w="242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55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2012, there were 17,044,132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80" w:type="dxa"/>
            <w:vAlign w:val="bottom"/>
            <w:gridSpan w:val="7"/>
          </w:tcPr>
          <w:p>
            <w:pPr>
              <w:jc w:val="center"/>
              <w:ind w:right="4640"/>
              <w:spacing w:after="0"/>
              <w:rPr>
                <w:sz w:val="20"/>
                <w:szCs w:val="20"/>
                <w:color w:val="auto"/>
              </w:rPr>
            </w:pPr>
            <w:r>
              <w:rPr>
                <w:rFonts w:ascii="Arial" w:cs="Arial" w:eastAsia="Arial" w:hAnsi="Arial"/>
                <w:sz w:val="18"/>
                <w:szCs w:val="18"/>
                <w:b w:val="1"/>
                <w:bCs w:val="1"/>
                <w:color w:val="auto"/>
                <w:w w:val="92"/>
              </w:rPr>
              <w:t>NN, Inc.</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gridSpan w:val="7"/>
          </w:tcPr>
          <w:p>
            <w:pPr>
              <w:jc w:val="center"/>
              <w:ind w:right="462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2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 No.</w:t>
            </w:r>
          </w:p>
        </w:tc>
        <w:tc>
          <w:tcPr>
            <w:tcW w:w="0" w:type="dxa"/>
            <w:vAlign w:val="bottom"/>
          </w:tcPr>
          <w:p>
            <w:pPr>
              <w:spacing w:after="0"/>
              <w:rPr>
                <w:sz w:val="1"/>
                <w:szCs w:val="1"/>
                <w:color w:val="auto"/>
              </w:rPr>
            </w:pPr>
          </w:p>
        </w:tc>
      </w:tr>
      <w:tr>
        <w:trPr>
          <w:trHeight w:val="156"/>
        </w:trPr>
        <w:tc>
          <w:tcPr>
            <w:tcW w:w="10820" w:type="dxa"/>
            <w:vAlign w:val="bottom"/>
            <w:gridSpan w:val="22"/>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30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tcBorders>
              <w:bottom w:val="single" w:sz="8" w:color="0000EE"/>
            </w:tcBorders>
            <w:gridSpan w:val="1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Comprehensive Income (Loss) for the three and nine months ended September 30, 2012 and</w:t>
              </w:r>
            </w:hyperlink>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2011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September 30, 2012 and December 31, 2011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 of Changes in Stockholders’ Equity for the nine months ended September 30, 2012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20" w:type="dxa"/>
            <w:vAlign w:val="bottom"/>
            <w:tcBorders>
              <w:top w:val="single" w:sz="8" w:color="0000EE"/>
            </w:tcBorders>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for the nine months ended September 30, 2012 and 2011 (unaudited)</w:t>
              </w:r>
            </w:hyperlink>
          </w:p>
        </w:tc>
        <w:tc>
          <w:tcPr>
            <w:tcW w:w="6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8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34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56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23">
              <w:r>
                <w:rPr>
                  <w:rFonts w:ascii="Arial" w:cs="Arial" w:eastAsia="Arial" w:hAnsi="Arial"/>
                  <w:sz w:val="18"/>
                  <w:szCs w:val="18"/>
                  <w:b w:val="1"/>
                  <w:bCs w:val="1"/>
                  <w:color w:val="0000EE"/>
                  <w:w w:val="94"/>
                </w:rPr>
                <w:t>Part II. Other Information</w:t>
              </w:r>
            </w:hyperlink>
          </w:p>
        </w:tc>
        <w:tc>
          <w:tcPr>
            <w:tcW w:w="880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52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94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5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756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1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5"/>
          </w:tcPr>
          <w:p>
            <w:pPr>
              <w:jc w:val="center"/>
              <w:ind w:left="3052"/>
              <w:spacing w:after="0"/>
              <w:rPr>
                <w:sz w:val="20"/>
                <w:szCs w:val="20"/>
                <w:color w:val="auto"/>
              </w:rPr>
            </w:pPr>
            <w:r>
              <w:rPr>
                <w:rFonts w:ascii="Arial" w:cs="Arial" w:eastAsia="Arial" w:hAnsi="Arial"/>
                <w:sz w:val="18"/>
                <w:szCs w:val="18"/>
                <w:color w:val="auto"/>
                <w:w w:val="79"/>
              </w:rPr>
              <w:t>1</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4"/>
        </w:trPr>
        <w:tc>
          <w:tcPr>
            <w:tcW w:w="774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00" w:type="dxa"/>
            <w:vAlign w:val="bottom"/>
          </w:tcPr>
          <w:p>
            <w:pPr>
              <w:spacing w:after="0"/>
              <w:rPr>
                <w:sz w:val="15"/>
                <w:szCs w:val="15"/>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7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86,586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101,143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289,929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328,371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68,426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229,243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Gain from deconsolidation of a bankrupt subsidiary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1,169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16,062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8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17,646</w:t>
            </w:r>
          </w:p>
        </w:tc>
        <w:tc>
          <w:tcPr>
            <w:tcW w:w="0" w:type="dxa"/>
            <w:vAlign w:val="bottom"/>
          </w:tcPr>
          <w:p>
            <w:pPr>
              <w:spacing w:after="0"/>
              <w:rPr>
                <w:sz w:val="1"/>
                <w:szCs w:val="1"/>
                <w:color w:val="auto"/>
              </w:rPr>
            </w:pPr>
          </w:p>
        </w:tc>
      </w:tr>
      <w:tr>
        <w:trPr>
          <w:trHeight w:val="20"/>
        </w:trPr>
        <w:tc>
          <w:tcPr>
            <w:tcW w:w="774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3"/>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17,044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3"/>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9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$353 and $438, respectively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63,607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129,818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119,111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261,064</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11,448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60,289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68,715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143,695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261,064</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Paid</w:t>
            </w: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80" w:type="dxa"/>
            <w:vAlign w:val="bottom"/>
            <w:gridSpan w:val="3"/>
            <w:vMerge w:val="continue"/>
          </w:tcPr>
          <w:p>
            <w:pPr>
              <w:spacing w:after="0"/>
              <w:rPr>
                <w:sz w:val="13"/>
                <w:szCs w:val="13"/>
                <w:color w:val="auto"/>
              </w:rPr>
            </w:pPr>
          </w:p>
        </w:tc>
        <w:tc>
          <w:tcPr>
            <w:tcW w:w="10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Shares</w:t>
            </w: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3"/>
                <w:szCs w:val="13"/>
                <w:color w:val="auto"/>
              </w:rPr>
            </w:pPr>
          </w:p>
        </w:tc>
        <w:tc>
          <w:tcPr>
            <w:tcW w:w="11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5"/>
              </w:rPr>
              <w:t>in Capital</w:t>
            </w:r>
          </w:p>
        </w:tc>
        <w:tc>
          <w:tcPr>
            <w:tcW w:w="9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3"/>
                <w:szCs w:val="13"/>
                <w:color w:val="auto"/>
              </w:rPr>
            </w:pPr>
          </w:p>
        </w:tc>
        <w:tc>
          <w:tcPr>
            <w:tcW w:w="74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89"/>
              </w:rPr>
              <w:t>Income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40" w:type="dxa"/>
            <w:vAlign w:val="bottom"/>
            <w:tcBorders>
              <w:top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16,949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55,071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$27,612</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16,824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16,062</w:t>
            </w: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Shares issued for options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Stock option expense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786</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expense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gain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216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17,044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56,485</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43,674</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17,040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97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9700" w:type="dxa"/>
            <w:vAlign w:val="bottom"/>
            <w:gridSpan w:val="3"/>
            <w:vMerge w:val="continue"/>
          </w:tcPr>
          <w:p>
            <w:pPr>
              <w:spacing w:after="0"/>
              <w:rPr>
                <w:sz w:val="12"/>
                <w:szCs w:val="12"/>
                <w:color w:val="auto"/>
              </w:rPr>
            </w:pPr>
          </w:p>
        </w:tc>
        <w:tc>
          <w:tcPr>
            <w:tcW w:w="64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780" w:type="dxa"/>
            <w:vAlign w:val="bottom"/>
            <w:gridSpan w:val="2"/>
          </w:tcPr>
          <w:p>
            <w:pPr>
              <w:jc w:val="right"/>
              <w:ind w:right="11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$ 16,062</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$ 16,034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13,203</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disposal of assets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860"/>
              <w:spacing w:after="0"/>
              <w:rPr>
                <w:sz w:val="20"/>
                <w:szCs w:val="20"/>
                <w:color w:val="auto"/>
              </w:rPr>
            </w:pPr>
            <w:r>
              <w:rPr>
                <w:rFonts w:ascii="Arial" w:cs="Arial" w:eastAsia="Arial" w:hAnsi="Arial"/>
                <w:sz w:val="18"/>
                <w:szCs w:val="18"/>
                <w:color w:val="auto"/>
              </w:rPr>
              <w:t>Non-cash gain from deconsolidation of bankrupt subsidiary</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860"/>
              <w:spacing w:after="0"/>
              <w:rPr>
                <w:sz w:val="20"/>
                <w:szCs w:val="20"/>
                <w:color w:val="auto"/>
              </w:rPr>
            </w:pPr>
            <w:r>
              <w:rPr>
                <w:rFonts w:ascii="Arial" w:cs="Arial" w:eastAsia="Arial" w:hAnsi="Arial"/>
                <w:sz w:val="18"/>
                <w:szCs w:val="18"/>
                <w:color w:val="auto"/>
              </w:rPr>
              <w:t>Change in value of long-term note receivable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jc w:val="right"/>
              <w:spacing w:after="0"/>
              <w:rPr>
                <w:sz w:val="20"/>
                <w:szCs w:val="20"/>
                <w:color w:val="auto"/>
              </w:rPr>
            </w:pPr>
            <w:r>
              <w:rPr>
                <w:rFonts w:ascii="Arial" w:cs="Arial" w:eastAsia="Arial" w:hAnsi="Arial"/>
                <w:sz w:val="18"/>
                <w:szCs w:val="18"/>
                <w:color w:val="auto"/>
              </w:rPr>
              <w:t>3,097</w:t>
            </w: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128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(12,479)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assets and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2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(12,402)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lost on deconsolidation of Eltmann subsidiary</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Proceeds received from long-term note receivable</w:t>
            </w:r>
          </w:p>
        </w:tc>
        <w:tc>
          <w:tcPr>
            <w:tcW w:w="640" w:type="dxa"/>
            <w:vAlign w:val="bottom"/>
          </w:tcPr>
          <w:p>
            <w:pPr>
              <w:jc w:val="right"/>
              <w:spacing w:after="0"/>
              <w:rPr>
                <w:sz w:val="20"/>
                <w:szCs w:val="20"/>
                <w:color w:val="auto"/>
              </w:rPr>
            </w:pPr>
            <w:r>
              <w:rPr>
                <w:rFonts w:ascii="Arial" w:cs="Arial" w:eastAsia="Arial" w:hAnsi="Arial"/>
                <w:sz w:val="18"/>
                <w:szCs w:val="18"/>
                <w:color w:val="auto"/>
              </w:rPr>
              <w:t>1,945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disposals of property, plant and equipment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20" w:type="dxa"/>
            <w:vAlign w:val="bottom"/>
          </w:tcPr>
          <w:p>
            <w:pPr>
              <w:ind w:left="260"/>
              <w:spacing w:after="0"/>
              <w:rPr>
                <w:sz w:val="20"/>
                <w:szCs w:val="20"/>
                <w:color w:val="auto"/>
              </w:rPr>
            </w:pPr>
            <w:r>
              <w:rPr>
                <w:rFonts w:ascii="Arial" w:cs="Arial" w:eastAsia="Arial" w:hAnsi="Arial"/>
                <w:sz w:val="18"/>
                <w:szCs w:val="18"/>
                <w:color w:val="auto"/>
              </w:rPr>
              <w:t>Net cash used by investing activities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(10,101)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Proceeds (repayment) of short-term debt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 on capital lease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Proceeds from long term debt</w:t>
            </w:r>
          </w:p>
        </w:tc>
        <w:tc>
          <w:tcPr>
            <w:tcW w:w="640" w:type="dxa"/>
            <w:vAlign w:val="bottom"/>
          </w:tcPr>
          <w:p>
            <w:pPr>
              <w:jc w:val="right"/>
              <w:spacing w:after="0"/>
              <w:rPr>
                <w:sz w:val="20"/>
                <w:szCs w:val="20"/>
                <w:color w:val="auto"/>
              </w:rPr>
            </w:pPr>
            <w:r>
              <w:rPr>
                <w:rFonts w:ascii="Arial" w:cs="Arial" w:eastAsia="Arial" w:hAnsi="Arial"/>
                <w:sz w:val="18"/>
                <w:szCs w:val="18"/>
                <w:color w:val="auto"/>
              </w:rPr>
              <w:t>6,298</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 term debt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stock</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issuance costs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20" w:type="dxa"/>
            <w:vAlign w:val="bottom"/>
            <w:vMerge w:val="restart"/>
          </w:tcPr>
          <w:p>
            <w:pPr>
              <w:ind w:left="260"/>
              <w:spacing w:after="0"/>
              <w:rPr>
                <w:sz w:val="20"/>
                <w:szCs w:val="20"/>
                <w:color w:val="auto"/>
              </w:rPr>
            </w:pPr>
            <w:r>
              <w:rPr>
                <w:rFonts w:ascii="Arial" w:cs="Arial" w:eastAsia="Arial" w:hAnsi="Arial"/>
                <w:sz w:val="18"/>
                <w:szCs w:val="18"/>
                <w:color w:val="auto"/>
              </w:rPr>
              <w:t>Net cash provided (used) by financing activities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20" w:type="dxa"/>
            <w:vAlign w:val="bottom"/>
            <w:vMerge w:val="continue"/>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18,949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w:t>
            </w:r>
          </w:p>
        </w:tc>
        <w:tc>
          <w:tcPr>
            <w:tcW w:w="640" w:type="dxa"/>
            <w:vAlign w:val="bottom"/>
          </w:tcPr>
          <w:p>
            <w:pPr>
              <w:jc w:val="right"/>
              <w:spacing w:after="0"/>
              <w:rPr>
                <w:sz w:val="20"/>
                <w:szCs w:val="20"/>
                <w:color w:val="auto"/>
              </w:rPr>
            </w:pPr>
            <w:r>
              <w:rPr>
                <w:rFonts w:ascii="Arial" w:cs="Arial" w:eastAsia="Arial" w:hAnsi="Arial"/>
                <w:sz w:val="18"/>
                <w:szCs w:val="18"/>
                <w:color w:val="auto"/>
              </w:rPr>
              <w:t>9,676</w:t>
            </w:r>
          </w:p>
        </w:tc>
        <w:tc>
          <w:tcPr>
            <w:tcW w:w="2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Cash at End of Period</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$ 14,212</w:t>
            </w:r>
          </w:p>
        </w:tc>
        <w:tc>
          <w:tcPr>
            <w:tcW w:w="2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$ 12,081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ind w:left="220" w:right="1960" w:hanging="215"/>
        <w:spacing w:after="0" w:line="370" w:lineRule="auto"/>
        <w:rPr>
          <w:sz w:val="20"/>
          <w:szCs w:val="20"/>
          <w:color w:val="auto"/>
        </w:rPr>
      </w:pPr>
      <w:r>
        <w:rPr>
          <w:rFonts w:ascii="Arial" w:cs="Arial" w:eastAsia="Arial" w:hAnsi="Arial"/>
          <w:sz w:val="15"/>
          <w:szCs w:val="15"/>
          <w:color w:val="auto"/>
        </w:rPr>
        <w:t>Certain amounts were deconsolidated from the Balance Sheet of NN, Inc. due to the bankruptcy of a subsidiary on January 20, 2011 and are not reflected in the 2011 cash flow statement above (See Note 1 of Notes to Condensed Consolidated Financial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2011 was derived from our audited consolidated financial statements. In our opinion, the financial statements reflect all adjustments necessary to fairly state the results of operations for the three and nine month periods ended September 30, 2012 and 2011, our financial position at September 30, 2012 and December 31, 2011, and the cash flows for the nine month periods ended September 30, 2012 and 2011.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2011 which we filed with the Securities and Exchange Commission on March 15, 2012. The results for the three and nine month periods ended September 30, 2012 are not necessarily indicative of results for the year ending December 31, 2012 or any other future periods.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impacts of the global economic recession and the resulting reduction in revenue and increased operating losses, our wholly owned German subsidiary, Kugelfertigung Eltmann GbmH (“Eltmann” or “Eltmann Plant”), sustained a significant weakening of its financial condition. As a result, it became insolvent at which point it was required to file for bankruptcy under German bankruptcy law. The filing was made in the bankruptcy court in Germany on January 20, 2011. As of that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were informed in early April 2011, that the bankruptcy trustee had sold the majority of the production assets of Eltmann to a non-affiliated manufacturing company. It is our understanding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the deconsolidation of Eltmann originally reported in the first quarter of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Accounts receivable</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Reduction of total assets</w:t>
            </w: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salaries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0"/>
              </w:rPr>
              <w:t>Reduction of total liabilities and stockholders’ equity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(8,519)</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80" w:type="dxa"/>
            <w:vAlign w:val="bottom"/>
            <w:gridSpan w:val="2"/>
          </w:tcPr>
          <w:p>
            <w:pPr>
              <w:spacing w:after="0"/>
              <w:rPr>
                <w:sz w:val="20"/>
                <w:szCs w:val="20"/>
                <w:color w:val="auto"/>
              </w:rPr>
            </w:pPr>
            <w:r>
              <w:rPr>
                <w:rFonts w:ascii="Arial" w:cs="Arial" w:eastAsia="Arial" w:hAnsi="Arial"/>
                <w:sz w:val="18"/>
                <w:szCs w:val="18"/>
                <w:color w:val="auto"/>
                <w:w w:val="96"/>
              </w:rPr>
              <w:t>Gain from deconsolidation of bankrupt subsidiary</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20" w:type="dxa"/>
            <w:vAlign w:val="bottom"/>
            <w:vMerge w:val="restart"/>
          </w:tcPr>
          <w:p>
            <w:pPr>
              <w:jc w:val="right"/>
              <w:ind w:right="3092"/>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amounts above are reflected in the comparative 2011 financial statements. During the fourth quarter of 2011, we determined it was more likely than not we would potentially owe an additional $209 in payables related to the Eltmann bankruptcy. As such, we accrued for these potential payables during the fourth quarter of 2011 and as a result have now realized a zero gain on deconsolidation.</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Long Term Notes Receivable</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in exchange for a promissory note. This note had an original face value of $2,500, a 60 month term, a 7% interest rate, interest only payments for 24 months, principal and interest payments totaling $40 per month for the next 36 months followed by a balloon payment of $1,525. On March 31, 2012, we accepted a $1,945 cash payment to settle the note and relieved the debtor of all future liability for the note. The estimated fair value and carrying value of note prior to the payment was $1,772.</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9,239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46,184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2012 and December 31, 2011 totaled $3,024 and $4,156, respectively.</w:t>
      </w:r>
    </w:p>
    <w:p>
      <w:pPr>
        <w:spacing w:after="0" w:line="17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Net Income Per Share</w:t>
      </w:r>
    </w:p>
    <w:p>
      <w:pPr>
        <w:spacing w:after="0" w:line="9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Excluded from the dilutive shares outstanding for the three and nine month periods ended September 30, 2012 were 1,201 anti-dilutive options which had exercise prices ranging from $8.86 to $14.13. There were 929 and 210 anti-dilutive options with an exercise price of $9.36 to $14.13 and $12.99 to $14.13, respectively, excluded from the dilutive shares outstanding for the three and nine month period ended September 30, 2011.</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2011. We evaluate segment performance based on segment net income or loss. We account for inter-segment sales and transfers at current market prices. We did not have any significant inter-segment transactions during the three and nine month periods ended September 30, 2012 and 2011.</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Plastic and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Metal Bearing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7"/>
            <w:vMerge w:val="restart"/>
          </w:tcPr>
          <w:p>
            <w:pPr>
              <w:spacing w:after="0"/>
              <w:rPr>
                <w:sz w:val="20"/>
                <w:szCs w:val="20"/>
                <w:color w:val="auto"/>
              </w:rPr>
            </w:pPr>
            <w:r>
              <w:rPr>
                <w:rFonts w:ascii="Arial" w:cs="Arial" w:eastAsia="Arial" w:hAnsi="Arial"/>
                <w:sz w:val="14"/>
                <w:szCs w:val="14"/>
                <w:color w:val="auto"/>
              </w:rPr>
              <w:t>(In Thousands of Dollars)</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Components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80" w:type="dxa"/>
            <w:vAlign w:val="bottom"/>
            <w:gridSpan w:val="7"/>
            <w:vMerge w:val="continue"/>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Segment</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1"/>
              </w:rPr>
              <w:t>Segment</w:t>
            </w:r>
          </w:p>
        </w:tc>
        <w:tc>
          <w:tcPr>
            <w:tcW w:w="100" w:type="dxa"/>
            <w:vAlign w:val="bottom"/>
          </w:tcPr>
          <w:p>
            <w:pPr>
              <w:spacing w:after="0"/>
              <w:rPr>
                <w:sz w:val="13"/>
                <w:szCs w:val="13"/>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Three Months ended September 30, 2012</w:t>
            </w:r>
          </w:p>
        </w:tc>
        <w:tc>
          <w:tcPr>
            <w:tcW w:w="1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3"/>
          </w:tcPr>
          <w:p>
            <w:pPr>
              <w:ind w:left="12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58,298</w:t>
            </w:r>
          </w:p>
        </w:tc>
        <w:tc>
          <w:tcPr>
            <w:tcW w:w="540" w:type="dxa"/>
            <w:vAlign w:val="bottom"/>
            <w:gridSpan w:val="3"/>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11,156</w:t>
            </w:r>
          </w:p>
        </w:tc>
        <w:tc>
          <w:tcPr>
            <w:tcW w:w="4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80" w:type="dxa"/>
            <w:vAlign w:val="bottom"/>
            <w:gridSpan w:val="7"/>
          </w:tcPr>
          <w:p>
            <w:pPr>
              <w:spacing w:after="0"/>
              <w:rPr>
                <w:sz w:val="20"/>
                <w:szCs w:val="20"/>
                <w:color w:val="auto"/>
              </w:rPr>
            </w:pPr>
            <w:r>
              <w:rPr>
                <w:rFonts w:ascii="Arial" w:cs="Arial" w:eastAsia="Arial" w:hAnsi="Arial"/>
                <w:sz w:val="18"/>
                <w:szCs w:val="18"/>
                <w:b w:val="1"/>
                <w:bCs w:val="1"/>
                <w:color w:val="auto"/>
              </w:rPr>
              <w:t>Nine Months ended September 30, 2012</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196,196</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289,929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3"/>
          </w:tcPr>
          <w:p>
            <w:pPr>
              <w:ind w:left="12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17,718</w:t>
            </w:r>
          </w:p>
        </w:tc>
        <w:tc>
          <w:tcPr>
            <w:tcW w:w="540" w:type="dxa"/>
            <w:vAlign w:val="bottom"/>
            <w:gridSpan w:val="3"/>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16,062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199,063</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261,064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Plastic and</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1"/>
              </w:rPr>
              <w:t>Metal Bearing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7"/>
            <w:vMerge w:val="restart"/>
          </w:tcPr>
          <w:p>
            <w:pPr>
              <w:spacing w:after="0"/>
              <w:rPr>
                <w:sz w:val="20"/>
                <w:szCs w:val="20"/>
                <w:color w:val="auto"/>
              </w:rPr>
            </w:pPr>
            <w:r>
              <w:rPr>
                <w:rFonts w:ascii="Arial" w:cs="Arial" w:eastAsia="Arial" w:hAnsi="Arial"/>
                <w:sz w:val="14"/>
                <w:szCs w:val="14"/>
                <w:color w:val="auto"/>
              </w:rPr>
              <w:t>(In Thousands of Dollars)</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Components</w:t>
            </w:r>
          </w:p>
        </w:tc>
        <w:tc>
          <w:tcPr>
            <w:tcW w:w="44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80" w:type="dxa"/>
            <w:vAlign w:val="bottom"/>
            <w:gridSpan w:val="7"/>
            <w:vMerge w:val="continue"/>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Segment</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3"/>
                <w:szCs w:val="13"/>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Three Months ended September 30, 2011</w:t>
            </w: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Revenues from external customers</w:t>
            </w:r>
          </w:p>
        </w:tc>
        <w:tc>
          <w:tcPr>
            <w:tcW w:w="1220" w:type="dxa"/>
            <w:vAlign w:val="bottom"/>
            <w:tcBorders>
              <w:top w:val="single" w:sz="8" w:color="CCEEFF"/>
            </w:tcBorders>
            <w:gridSpan w:val="2"/>
          </w:tcPr>
          <w:p>
            <w:pPr>
              <w:spacing w:after="0"/>
              <w:rPr>
                <w:sz w:val="19"/>
                <w:szCs w:val="19"/>
                <w:color w:val="auto"/>
              </w:rPr>
            </w:pPr>
          </w:p>
        </w:tc>
        <w:tc>
          <w:tcPr>
            <w:tcW w:w="1360" w:type="dxa"/>
            <w:vAlign w:val="bottom"/>
            <w:tcBorders>
              <w:top w:val="single" w:sz="8" w:color="CCEEFF"/>
            </w:tcBorders>
            <w:gridSpan w:val="3"/>
          </w:tcPr>
          <w:p>
            <w:pPr>
              <w:ind w:left="12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72,476</w:t>
            </w:r>
          </w:p>
        </w:tc>
        <w:tc>
          <w:tcPr>
            <w:tcW w:w="540" w:type="dxa"/>
            <w:vAlign w:val="bottom"/>
            <w:tcBorders>
              <w:top w:val="single" w:sz="8" w:color="CCEEFF"/>
            </w:tcBorders>
            <w:gridSpan w:val="3"/>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17,910</w:t>
            </w: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10,757</w:t>
            </w: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101,143</w:t>
            </w: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6,064</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80" w:type="dxa"/>
            <w:vAlign w:val="bottom"/>
            <w:gridSpan w:val="7"/>
          </w:tcPr>
          <w:p>
            <w:pPr>
              <w:spacing w:after="0"/>
              <w:rPr>
                <w:sz w:val="20"/>
                <w:szCs w:val="20"/>
                <w:color w:val="auto"/>
              </w:rPr>
            </w:pPr>
            <w:r>
              <w:rPr>
                <w:rFonts w:ascii="Arial" w:cs="Arial" w:eastAsia="Arial" w:hAnsi="Arial"/>
                <w:sz w:val="18"/>
                <w:szCs w:val="18"/>
                <w:b w:val="1"/>
                <w:bCs w:val="1"/>
                <w:color w:val="auto"/>
              </w:rPr>
              <w:t>Nine Months ended September 30, 2011</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241,084</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24,794</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1,853</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3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198,408</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268,978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 and Other Post-Employment Liabilities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came under the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(See Note 1 of the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 The table below summarizes the changes to the severance indemnity, included in Other non-current liabilities, for the three and nine month periods ended September 30, 2012 and 2011: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5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$(6,450)</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$(7,814)</w:t>
            </w: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$(6,922)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(7,115)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(196)</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(277)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Payments to government managed plan</w:t>
            </w: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87</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188</w:t>
            </w: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(6,579)</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(6,579)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certain plans that cover our Veenendaal Plant employees. A plan provides an award for employees who achieve 25 or 40 years of service and another plan is an award for employees upon retirement. These plans are both unfunded and the benefits are based on years of service and rate of compensation at the time the award is paid. The table below summarizes the combined changes in the plans, included in Other non-current liabilities, during the three month and nine month periods ended September 30, 2012 and 2011:</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7"/>
              </w:rPr>
              <w:t>Three months ended</w:t>
            </w:r>
          </w:p>
        </w:tc>
        <w:tc>
          <w:tcPr>
            <w:tcW w:w="13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6060" w:type="dxa"/>
            <w:vAlign w:val="bottom"/>
          </w:tcPr>
          <w:p>
            <w:pPr>
              <w:spacing w:after="0"/>
              <w:rPr>
                <w:sz w:val="14"/>
                <w:szCs w:val="14"/>
                <w:color w:val="auto"/>
              </w:rPr>
            </w:pPr>
          </w:p>
        </w:tc>
        <w:tc>
          <w:tcPr>
            <w:tcW w:w="1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606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Beginning balance</w:t>
            </w:r>
          </w:p>
        </w:tc>
        <w:tc>
          <w:tcPr>
            <w:tcW w:w="60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$(755)</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$(840)</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$(783)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Service cost</w:t>
            </w:r>
          </w:p>
        </w:tc>
        <w:tc>
          <w:tcPr>
            <w:tcW w:w="6700" w:type="dxa"/>
            <w:vAlign w:val="bottom"/>
            <w:gridSpan w:val="4"/>
          </w:tcPr>
          <w:p>
            <w:pPr>
              <w:jc w:val="right"/>
              <w:ind w:right="160"/>
              <w:spacing w:after="0"/>
              <w:rPr>
                <w:sz w:val="20"/>
                <w:szCs w:val="20"/>
                <w:color w:val="auto"/>
              </w:rPr>
            </w:pPr>
            <w:r>
              <w:rPr>
                <w:rFonts w:ascii="Arial" w:cs="Arial" w:eastAsia="Arial" w:hAnsi="Arial"/>
                <w:sz w:val="18"/>
                <w:szCs w:val="18"/>
                <w:color w:val="auto"/>
              </w:rPr>
              <w:t>(7)</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Benefits paid</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60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vMerge w:val="continue"/>
          </w:tcPr>
          <w:p>
            <w:pPr>
              <w:spacing w:after="0"/>
              <w:rPr>
                <w:sz w:val="19"/>
                <w:szCs w:val="19"/>
                <w:color w:val="auto"/>
              </w:rPr>
            </w:pPr>
          </w:p>
        </w:tc>
        <w:tc>
          <w:tcPr>
            <w:tcW w:w="606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(775)</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We adopted this guidance during the first quarter of 2012. Since this new guidance affected disclosure requirements only, it did not have a material impact on our financial position or results of operations.</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July 2012, the FASB issued amended accounting guidance allowing companies to first assess qualitative factors to determine whether it is more-likely-than-not an indefinite-lived intangible asset is impaired. If the conclusion is more-likely-than-not the indefinite-lived intangible asset is not impaired, then further action is not required. However, if the conclusion is otherwise, a quantitative impairment test described in ASC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Topic 350 is required. This guidance is effective for fiscal years beginning after September 15, 2012 with early adoption permitted. We plan to adopt this standard for the year ending December 31, 2012. We anticipate the adoption of this guidance will not have a material impact on our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Note 8.</w:t>
            </w:r>
          </w:p>
        </w:tc>
        <w:tc>
          <w:tcPr>
            <w:tcW w:w="7880" w:type="dxa"/>
            <w:vAlign w:val="bottom"/>
          </w:tcPr>
          <w:p>
            <w:pPr>
              <w:ind w:left="320"/>
              <w:spacing w:after="0"/>
              <w:rPr>
                <w:sz w:val="20"/>
                <w:szCs w:val="20"/>
                <w:color w:val="auto"/>
              </w:rPr>
            </w:pPr>
            <w:r>
              <w:rPr>
                <w:rFonts w:ascii="Arial" w:cs="Arial" w:eastAsia="Arial" w:hAnsi="Arial"/>
                <w:sz w:val="18"/>
                <w:szCs w:val="18"/>
                <w:b w:val="1"/>
                <w:bCs w:val="1"/>
                <w:color w:val="auto"/>
              </w:rPr>
              <w:t>Long-Term Debt and Short-Term Debt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80" w:type="dxa"/>
            <w:vAlign w:val="bottom"/>
            <w:gridSpan w:val="3"/>
          </w:tcPr>
          <w:p>
            <w:pPr>
              <w:spacing w:after="0"/>
              <w:rPr>
                <w:sz w:val="20"/>
                <w:szCs w:val="20"/>
                <w:color w:val="auto"/>
              </w:rPr>
            </w:pPr>
            <w:r>
              <w:rPr>
                <w:rFonts w:ascii="Arial" w:cs="Arial" w:eastAsia="Arial" w:hAnsi="Arial"/>
                <w:sz w:val="18"/>
                <w:szCs w:val="18"/>
                <w:color w:val="auto"/>
                <w:w w:val="95"/>
              </w:rPr>
              <w:t>Long-term debt and short-term debt at September 30, 2012 and December 31, 2011 consisted of the following:</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802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Borrowings under our $100,000 revolving credit facility bearing interest at a floating rate equal to</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LIBOR (0.25% at September 30, 2012) plus an applicable margin of 2.75% at September 30, 2012,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expiring December 21, 2014.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43,612</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480" w:type="dxa"/>
            <w:vAlign w:val="bottom"/>
            <w:gridSpan w:val="3"/>
          </w:tcPr>
          <w:p>
            <w:pPr>
              <w:ind w:left="460"/>
              <w:spacing w:after="0"/>
              <w:rPr>
                <w:sz w:val="20"/>
                <w:szCs w:val="20"/>
                <w:color w:val="auto"/>
              </w:rPr>
            </w:pPr>
            <w:r>
              <w:rPr>
                <w:rFonts w:ascii="Arial" w:cs="Arial" w:eastAsia="Arial" w:hAnsi="Arial"/>
                <w:sz w:val="18"/>
                <w:szCs w:val="18"/>
                <w:color w:val="auto"/>
                <w:w w:val="97"/>
              </w:rPr>
              <w:t>Borrowings under our $40,000 aggregate principal amount of fixed rate notes bearing interest at a fixed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rate of 5.39% maturing on April 26, 2014. Annual principal payments of $5,714 began on April 26,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2008 and extend through the date of maturity.</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11,429</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80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6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Borrowings under our $20,000 aggregate principal amount of fixed rate notes bearing interest at a fixed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rate of 4.64% maturing on December 20, 2018. Annual principal payments of $4,000 will begin 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22, 2014 and extend through the date of maturity.</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Pr>
          <w:p>
            <w:pPr>
              <w:ind w:left="30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75,041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current maturities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Pr>
          <w:p>
            <w:pPr>
              <w:ind w:left="300"/>
              <w:spacing w:after="0"/>
              <w:rPr>
                <w:sz w:val="20"/>
                <w:szCs w:val="20"/>
                <w:color w:val="auto"/>
              </w:rPr>
            </w:pPr>
            <w:r>
              <w:rPr>
                <w:rFonts w:ascii="Arial" w:cs="Arial" w:eastAsia="Arial" w:hAnsi="Arial"/>
                <w:sz w:val="18"/>
                <w:szCs w:val="18"/>
                <w:color w:val="auto"/>
              </w:rPr>
              <w:t>Long-term debt, excluding current maturities of long-term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68,715</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will be LIBOR plus an applicable margin of 1.25% to 2.25% (depending on the level of debt to earnings before taxes, interest and depreciation (“EBITDA”)). Prior to the October 26, 2012 amendment, the $100 million revolving credit facility interest rate was LIBOR plus a margin of 2.50% to 3.50% (depending on the level of debt to EBITDA). The interest rate on our $40,000 aggregate fixed rate notes, of which $11,429 was outstanding as of September 30, 2012, will be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20, 2011, we borrowed an additional $20,000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September 30, 2011, we amended our $100,000 revolving credit facility agented by KeyBank and our long-term loan agreement with Prudential Capital in order to adjust the fixed charge coverage ratio covenant to better correlate current and expected levels of capital spending and other fixed charges with EBITDA. For the quarters ending September 30, 2011 through September 30, 2012, the minimum fixed charge coverage ratio was reduced from “not less than 1.25 to 1.00” to “not to be less than 1.00 to 1.00 as of the last day of any fiscal quarter”. This credit agreement was further amended on October 26, 2012, as discussed above.</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$100,000 revolving credit facility may be expanded upon our request with approval of the lenders by up to $35 million,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September 30, 2012, $1,308 of net capitalized loan origination costs related to the revolving credit facility were recorded on the balance sheet within other non-current assets.</w:t>
      </w:r>
    </w:p>
    <w:p>
      <w:pPr>
        <w:spacing w:after="0" w:line="118"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Our original $40,000 fixed rate notes agreement with Prudential Capital had an interest rate of 5.39% for the nine month period ended September 30, 2012. On December 20, 2011, the interest rate was reduced from 6.50% to 5.39% and then further reduced to 4.89% with the October 26, 2012, amendment. 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accelerate the maturity of the debt. We incurred costs as a result of issuing these notes which have been recorded on the balance sheet within other non-current assets and are being amortized over the term of the notes. The unamortized balance at September 30, 2012 was $181.</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Goodwill,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nine month period ended September 30, 2012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120" w:type="dxa"/>
            <w:vAlign w:val="bottom"/>
            <w:gridSpan w:val="4"/>
          </w:tcPr>
          <w:p>
            <w:pPr>
              <w:ind w:left="2180"/>
              <w:spacing w:after="0"/>
              <w:rPr>
                <w:sz w:val="20"/>
                <w:szCs w:val="20"/>
                <w:color w:val="auto"/>
              </w:rPr>
            </w:pPr>
            <w:r>
              <w:rPr>
                <w:rFonts w:ascii="Arial" w:cs="Arial" w:eastAsia="Arial" w:hAnsi="Arial"/>
                <w:sz w:val="14"/>
                <w:szCs w:val="14"/>
                <w:b w:val="1"/>
                <w:bCs w:val="1"/>
                <w:color w:val="auto"/>
              </w:rPr>
              <w:t>Metal Bearing</w:t>
            </w: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21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48"/>
        </w:trPr>
        <w:tc>
          <w:tcPr>
            <w:tcW w:w="4640" w:type="dxa"/>
            <w:vAlign w:val="bottom"/>
            <w:gridSpan w:val="3"/>
            <w:vMerge w:val="continue"/>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2012</w:t>
            </w: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Currency translation impacts</w:t>
            </w: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goodwill balance is tested for impairment on an annual basis during the fourth quarter and between annual tests if a triggering event occurs. As of September 30, 2012, there are no indications of impairment at the remaining reporting unit with a goodwill balance.</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Intangible Assets, Net</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this indefinite lived intangible asset as of September 30,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Shared-Based Compensation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three and nine month periods ended September 30, 2012 and 2011, approximately $510 and $1,394 in 2012 and $353 and $469 in 2011, respectively, of compensation expense was recognized in selling, general and administrative expense for all share-based awards. During the nine month periods ended September 30, 2012 and 2011, there were 78 share awards and 285 option awards and 75 share awards and 216 option awards, respectively, granted to non-executive directors, officers and certain other key employees.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restricted shares granted during the nine month periods ended September 30, 2012 and 2011, vest pro-rata over three years. During the nine month periods ended September 30, 2012 and 2011, we incurred $608 and $199, respectively, in expense related to restricted stock. The fair value of the shares issued was determined by using the grant date closing price of our common stock.</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incurred $786 and $270 of stock option expense in the nine month periods ended September 30, 2012 and 2011, respectively. The fair value of our options cannot be determined by market value, as our options are not traded in an open market. Accordingly, the Black Scholes financial pricing model is utilized to estimate the fair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8"/>
        </w:trPr>
        <w:tc>
          <w:tcPr>
            <w:tcW w:w="5560" w:type="dxa"/>
            <w:vAlign w:val="bottom"/>
            <w:gridSpan w:val="3"/>
            <w:vMerge w:val="continue"/>
          </w:tcPr>
          <w:p>
            <w:pPr>
              <w:spacing w:after="0"/>
              <w:rPr>
                <w:sz w:val="12"/>
                <w:szCs w:val="12"/>
                <w:color w:val="auto"/>
              </w:rPr>
            </w:pPr>
          </w:p>
        </w:tc>
        <w:tc>
          <w:tcPr>
            <w:tcW w:w="138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2"/>
                <w:szCs w:val="12"/>
                <w:color w:val="auto"/>
              </w:rPr>
            </w:pPr>
          </w:p>
        </w:tc>
        <w:tc>
          <w:tcPr>
            <w:tcW w:w="11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68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1,141</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10.12</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8.85</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11.69</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2012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9.71</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2012.</w:t>
      </w:r>
    </w:p>
    <w:p>
      <w:pPr>
        <w:spacing w:after="0" w:line="27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Provision for Income Taxes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September 30, 2012, we continued to place a valuation allowance on all of the net deferred tax assets at our U.S. locations, the balance of which approximated $9,800 at September 30, 2012. The ongoing necessity of this valuation allowance is based on the negative financial performance of our U.S. operations during the global economic recession of 2008 and 2009 and the negative financial performance during 2010 from losses incurred at the Precision Metal Components Segment. During the nine months ended September 30, 2012, the valuation allowance on a portion of these deferred tax assets was reversed to offset tax expense, as our U.S. based units had an approximate combined pre-tax income of $7,200. While our U.S. entities have generated approximate pre-tax incomes of $7,200 and $1,650 during the nine months ended September 30, 2012 and the year ended December 31, 2011, respectively, the substantial cumulative losses in 2009 and 2010 continue to outweigh the positive evidence of the year to date 2012 and 2011 taxable income. If the profitability of the U.S. entities continues, it is likely that a significant portion of the valuation allowance (except for the majority of the valuation allowance on the foreign tax credits of approximately $3,250) will be reversed. This will result in a material benefit to income tax expense and a resulting benefit to net income in the period in which the valuation allowances are reversed.</w:t>
      </w:r>
    </w:p>
    <w:p>
      <w:pPr>
        <w:spacing w:after="0" w:line="12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the nine month period ended September 30, 2012, the difference between the U.S. federal statutory tax rate of 34% and our effective tax rate of 19% was primarily due to utilization of the fully reserved net operating losses to offset U.S. based taxable income, which lowered tax expense by $2,692. Additionally, the tax rate was impacted by non-U.S. based earnings being taxed at lower rates, which reduced tax expense by $777.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$10,000. Our allocated share is approximately $132 which has been paid in full as of September 30, 2012. While there can be no assurances, we believe that $132 is the maximum amount for which we will be liable under the tentatively accepted remediation plan.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more fully in Note 1 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4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fair values of our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our long-term debt are in the table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 2012</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4300" w:type="dxa"/>
            <w:vAlign w:val="bottom"/>
            <w:gridSpan w:val="3"/>
            <w:shd w:val="clear" w:color="auto" w:fill="CCEEFF"/>
          </w:tcPr>
          <w:p>
            <w:pPr>
              <w:jc w:val="center"/>
              <w:ind w:left="2832"/>
              <w:spacing w:after="0"/>
              <w:rPr>
                <w:sz w:val="20"/>
                <w:szCs w:val="20"/>
                <w:color w:val="auto"/>
              </w:rPr>
            </w:pPr>
            <w:r>
              <w:rPr>
                <w:rFonts w:ascii="Arial" w:cs="Arial" w:eastAsia="Arial" w:hAnsi="Arial"/>
                <w:sz w:val="18"/>
                <w:szCs w:val="18"/>
                <w:color w:val="auto"/>
                <w:w w:val="89"/>
              </w:rPr>
              <w:t>$43,612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$43,612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jc w:val="center"/>
              <w:ind w:left="2832"/>
              <w:spacing w:after="0"/>
              <w:rPr>
                <w:sz w:val="20"/>
                <w:szCs w:val="20"/>
                <w:color w:val="auto"/>
              </w:rPr>
            </w:pPr>
            <w:r>
              <w:rPr>
                <w:rFonts w:ascii="Arial" w:cs="Arial" w:eastAsia="Arial" w:hAnsi="Arial"/>
                <w:sz w:val="18"/>
                <w:szCs w:val="18"/>
                <w:color w:val="auto"/>
                <w:w w:val="89"/>
              </w:rPr>
              <w:t>$31,429</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$32,384</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$37,143</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2011 which we filed with the Securities and Exchange Commission on March 15,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the Three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w w:val="96"/>
              </w:rPr>
              <w:t>Consolidated NN, Inc.</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86,586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101,143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89"/>
              </w:rPr>
              <w:t>(14,557)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Price/ material inflation pass-through</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885</w:t>
            </w: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w w:val="92"/>
              </w:rPr>
              <w:t>Cost of products sold (exclusive of depreciation and amortization shown separately below)</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68,426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83,575</w:t>
            </w:r>
          </w:p>
        </w:tc>
        <w:tc>
          <w:tcPr>
            <w:tcW w:w="100" w:type="dxa"/>
            <w:vAlign w:val="bottom"/>
          </w:tcPr>
          <w:p>
            <w:pPr>
              <w:spacing w:after="0"/>
              <w:rPr>
                <w:sz w:val="24"/>
                <w:szCs w:val="2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89"/>
              </w:rPr>
              <w:t>(15,149)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Inflation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372</w:t>
            </w: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7,886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7,498</w:t>
            </w:r>
          </w:p>
        </w:tc>
        <w:tc>
          <w:tcPr>
            <w:tcW w:w="100" w:type="dxa"/>
            <w:vAlign w:val="bottom"/>
          </w:tcPr>
          <w:p>
            <w:pPr>
              <w:spacing w:after="0"/>
              <w:rPr>
                <w:sz w:val="24"/>
                <w:szCs w:val="24"/>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4,298</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280</w:t>
            </w:r>
          </w:p>
        </w:tc>
        <w:tc>
          <w:tcPr>
            <w:tcW w:w="0" w:type="dxa"/>
            <w:vAlign w:val="bottom"/>
          </w:tcPr>
          <w:p>
            <w:pPr>
              <w:spacing w:after="0"/>
              <w:rPr>
                <w:sz w:val="1"/>
                <w:szCs w:val="1"/>
                <w:color w:val="auto"/>
              </w:rPr>
            </w:pPr>
          </w:p>
        </w:tc>
      </w:tr>
      <w:tr>
        <w:trPr>
          <w:trHeight w:val="322"/>
        </w:trPr>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1,169</w:t>
            </w:r>
          </w:p>
        </w:tc>
        <w:tc>
          <w:tcPr>
            <w:tcW w:w="100" w:type="dxa"/>
            <w:vAlign w:val="bottom"/>
          </w:tcPr>
          <w:p>
            <w:pPr>
              <w:spacing w:after="0"/>
              <w:rPr>
                <w:sz w:val="24"/>
                <w:szCs w:val="2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(1,462)</w:t>
            </w:r>
          </w:p>
        </w:tc>
        <w:tc>
          <w:tcPr>
            <w:tcW w:w="100" w:type="dxa"/>
            <w:vAlign w:val="bottom"/>
          </w:tcPr>
          <w:p>
            <w:pPr>
              <w:spacing w:after="0"/>
              <w:rPr>
                <w:sz w:val="18"/>
                <w:szCs w:val="18"/>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during the third quarter of 2012 from the third quarter of 2011 due to lower sales volumes experienced primarily at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and Asian units of our Metal Bearing Components Segment. The reductions in sales volumes were due to macro-economic issues within the European Union, slowing Asian macro-economic growth, and overall lower automotive demand in Europe. Additionally, we believe demand for our products was affected by our customers and their customers adjusting inventory levels, as our sales volume reduction was much greater than the reduction in actual end market demand within the markets we serve. Finally, sales were reduced as the strengthening of the US Dollar caused a lower translated value of Euro denominated sales. The favorable mix occurred as a portion of the reduction in sales volumes experienced were in lower priced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shown separately below). </w:t>
      </w:r>
      <w:r>
        <w:rPr>
          <w:rFonts w:ascii="Arial" w:cs="Arial" w:eastAsia="Arial" w:hAnsi="Arial"/>
          <w:sz w:val="16"/>
          <w:szCs w:val="16"/>
          <w:color w:val="auto"/>
        </w:rPr>
        <w:t>A large portion of the decrease was from the lower sales volumes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reductions in production costs at those units of the Metal Bearing Components Segment that experienced lower sales volumes, as discussed above. Additionally, the third quarter 2012 cost of products sold was lower in comparison to 2011, as the $1.0 million in start-up costs incurred during the third quarter of 2011 for new multi-year sales programs at our Precision Metal Components Segment did not repeat during 2012. The third quarter 2012 cost of products sold was further reduced by benefits from specific Level 3 continuous improvement projects undertaken during 2012. The Level 3 continuous improvement activities have been at historically high levels during 2012. Finally, cost of products sold was reduced as the strengthening of the US Dollar caused a lower translated value of Euro denominated costs.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primarily due to higher incentive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 and higher seasonal sales commissions.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third quarter of 2011 and by 2012 capital expenditures placed in service.</w:t>
      </w:r>
    </w:p>
    <w:p>
      <w:pPr>
        <w:spacing w:after="0" w:line="13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Included in other expense (income), net, during the three months ended September 30, 2012, was $0.7 million related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losses on inter-company loans. During the three months ended September 30, 2011, inter-company loans generated foreign exchange gains of $1.4 million. The gains and losses are a function of the appreciation or depreciation of the Euro versus the U.S. Dollar.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55"/>
        </w:trPr>
        <w:tc>
          <w:tcPr>
            <w:tcW w:w="6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5"/>
          </w:tcPr>
          <w:p>
            <w:pPr>
              <w:jc w:val="right"/>
              <w:ind w:right="1500"/>
              <w:spacing w:after="0" w:line="14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1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58,298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72,476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89"/>
              </w:rPr>
              <w:t>(14,178)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Price/Material inflation pass-through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(68)</w:t>
            </w:r>
          </w:p>
        </w:tc>
        <w:tc>
          <w:tcPr>
            <w:tcW w:w="0" w:type="dxa"/>
            <w:vAlign w:val="bottom"/>
          </w:tcPr>
          <w:p>
            <w:pPr>
              <w:spacing w:after="0"/>
              <w:rPr>
                <w:sz w:val="1"/>
                <w:szCs w:val="1"/>
                <w:color w:val="auto"/>
              </w:rPr>
            </w:pPr>
          </w:p>
        </w:tc>
      </w:tr>
      <w:tr>
        <w:trPr>
          <w:trHeight w:val="322"/>
        </w:trPr>
        <w:tc>
          <w:tcPr>
            <w:tcW w:w="68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4,503</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6,064</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ind w:right="855"/>
              <w:spacing w:after="0"/>
              <w:rPr>
                <w:sz w:val="20"/>
                <w:szCs w:val="20"/>
                <w:color w:val="auto"/>
              </w:rPr>
            </w:pPr>
            <w:r>
              <w:rPr>
                <w:rFonts w:ascii="Arial" w:cs="Arial" w:eastAsia="Arial" w:hAnsi="Arial"/>
                <w:sz w:val="18"/>
                <w:szCs w:val="18"/>
                <w:b w:val="1"/>
                <w:bCs w:val="1"/>
                <w:color w:val="auto"/>
              </w:rPr>
              <w:t>(1,561)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decrease in sales during the third quarter of 2012 was driven mainly by volume reductions at our European and Asian units of this segment due largely to lower demand for our products sold into the European and Asian markets. The reductions were due to European macro-economic issues, slowing Asian macro-economic growth, much lower automotive demand in Europe and, we believe, overall reductions of inventory levels in the supply chains we serve. Additionally, sales were reduced as the strengthening of the US Dollar caused a lower translated value of Euro denominated sales. Partially offsetting the reductions were increased sales from favorable product mix. The favorable mix occurred as a portion of the reduction in sales volumes experienced were in lower priced products.</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segment net income in the third quarter of 2012 was negatively impacted by lost profits from much lower sales volumes and related production inefficiencies from lower production levels at the European and Asian units, as discussed above. Partially offsetting the volume effects were benefits from specific cost reduction projects undertaken during 2012 and overall good cost controls in the face of difficult operating environments at those units. Additionally, favorable sales mix helped offset some of negative sales volume effects.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1300"/>
              <w:spacing w:after="0" w:line="148"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3"/>
              </w:rPr>
              <w:t>17,132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17,910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 (778)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Price/mix</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322"/>
        </w:trPr>
        <w:tc>
          <w:tcPr>
            <w:tcW w:w="1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1,649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(468)</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$2,117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majority of the decreases in sales at this segment were due to either programs ending at certain customers or from exiting certain sales programs we felt did not meet our minimum required profitability profile. In general, the large new multi-year sales programs put in place over the course of 2011 and 2012 are now at full year sales levels and were generally at full year sales levels during the third quarter of 2011.</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segment improved from a net loss to a net income due to the elimination of $1.0 million of start-up costs on the new multi-year sales programs incurred during the third quarter of 2011. Beyond eliminating the start-up costs, this segment has improved operationally by reducing scrap, temporary labor, and expediting costs. Additionally, the effects of the volume reductions were not as unfavorable as a portion of the lost sales volumes in the quarter were less profitable product 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5060" w:type="dxa"/>
            <w:vAlign w:val="bottom"/>
            <w:gridSpan w:val="3"/>
            <w:vMerge w:val="continue"/>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3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3"/>
              </w:rPr>
              <w:t>11,156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10,757</w:t>
            </w:r>
          </w:p>
        </w:tc>
        <w:tc>
          <w:tcPr>
            <w:tcW w:w="1080" w:type="dxa"/>
            <w:vAlign w:val="bottom"/>
            <w:shd w:val="clear" w:color="auto" w:fill="CCEEFF"/>
          </w:tcPr>
          <w:p>
            <w:pPr>
              <w:jc w:val="right"/>
              <w:ind w:right="616"/>
              <w:spacing w:after="0"/>
              <w:rPr>
                <w:sz w:val="20"/>
                <w:szCs w:val="20"/>
                <w:color w:val="auto"/>
              </w:rPr>
            </w:pPr>
            <w:r>
              <w:rPr>
                <w:rFonts w:ascii="Arial" w:cs="Arial" w:eastAsia="Arial" w:hAnsi="Arial"/>
                <w:sz w:val="18"/>
                <w:szCs w:val="18"/>
                <w:b w:val="1"/>
                <w:bCs w:val="1"/>
                <w:color w:val="auto"/>
                <w:w w:val="89"/>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i w:val="1"/>
                <w:iCs w:val="1"/>
                <w:color w:val="auto"/>
              </w:rPr>
              <w:t>Volume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Price/mix/material pass-through</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117</w:t>
            </w:r>
          </w:p>
        </w:tc>
        <w:tc>
          <w:tcPr>
            <w:tcW w:w="1080" w:type="dxa"/>
            <w:vAlign w:val="bottom"/>
          </w:tcPr>
          <w:p>
            <w:pPr>
              <w:jc w:val="right"/>
              <w:ind w:right="616"/>
              <w:spacing w:after="0"/>
              <w:rPr>
                <w:sz w:val="20"/>
                <w:szCs w:val="20"/>
                <w:color w:val="auto"/>
              </w:rPr>
            </w:pPr>
            <w:r>
              <w:rPr>
                <w:rFonts w:ascii="Arial" w:cs="Arial" w:eastAsia="Arial" w:hAnsi="Arial"/>
                <w:sz w:val="18"/>
                <w:szCs w:val="18"/>
                <w:b w:val="1"/>
                <w:bCs w:val="1"/>
                <w:color w:val="auto"/>
                <w:w w:val="89"/>
              </w:rPr>
              <w:t>$128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Sales volumes increased due to sales of seasonal items partially offset by lower sales to a large solar power customer. Segment net income increased due to the higher sales volumes, specific cost reduction projects undertaken during 2012, price increases and favorable sales mix.</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the Nine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w w:val="93"/>
              </w:rPr>
              <w:t>Consolidated NN, Inc.</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289,929</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328,371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(38,442)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1,570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9"/>
              </w:rPr>
              <w:t>Cost of products sold (exclusive of depreciation and amortization shown separately</w:t>
            </w: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229,243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268,530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vMerge w:val="restart"/>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(39,287)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below)</w:t>
            </w: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3,086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1,669</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13,203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12,624</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1,091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3,613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3,811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4,886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16,062</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16,034</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during the first nine months of 2012 from the first nine months of 2011 primarily due to volume reductions experienced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operating units of our Metal Bearing Components Segment and to a lesser extent at our U.S. unit of the segment which exports into Europe and our Asian unit of the segment. These effects were partially offset by increased sales volume at our Precision Metal Components Segment. The reduction of sales volumes in our metal bearing components segment was due in part to macro-economic issues within the European Union, slowing Asian macro-economic growth and overall lower automotive demand in Europe. Additionally, we believe demand for our products was affected by our customers and their customers adjusting inventory levels, as our sales volume reduction was much greater than the reduction in actual end market demand within the markets we serve. Finally, sales were reduced as the strengthening of the US Dollar caused a lower translated value of Euro denominated sales.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shown separately below). </w:t>
      </w:r>
      <w:r>
        <w:rPr>
          <w:rFonts w:ascii="Arial" w:cs="Arial" w:eastAsia="Arial" w:hAnsi="Arial"/>
          <w:sz w:val="16"/>
          <w:szCs w:val="16"/>
          <w:color w:val="auto"/>
        </w:rPr>
        <w:t>A large portion of the decrease was from the lower sales volumes,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above, and the related reductions in production costs at the units of the Metal Bearing Components Segment. Additionally, 2012 cost of products sold was lower in comparison to 2011, as the $5.5 million in start-up costs incurred during 2011 for new multi-year sales programs at our Precision Metal Components Segment did not repeat during 2012. The 2012 cost of products sold was further reduced by benefits from specific Level 3 continuous improvement projects undertaken during 2012. The Level 3 continuous improvement activities have been at historically high levels during 2012. Finally, cost of products sold was reduced as the strengthening of the US Dollar caused a lower translated value of Euro denominated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primarily due to higher incentive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 and higher seasonal sales commissions.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first nine months of 2011 and by 2012 capital expenditures placed in service.</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Included in other income, net, during the nine months ended September 30, 2012, was $0.3 million related to foreign exchange losses on inter-company loans. During the nine months ended September 30, 2011, inter-company loans generated foreign exchange gains of $0.3 million. The gains and losses are a function of the appreciation or depreciation of the Euro versus the U.S. Dollar. Additionally, 2012 included $0.2 million in gains realized with receipt of the final payment of a note receivable. (See Note 2 of the Notes to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55"/>
        </w:trPr>
        <w:tc>
          <w:tcPr>
            <w:tcW w:w="6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5"/>
          </w:tcPr>
          <w:p>
            <w:pPr>
              <w:jc w:val="right"/>
              <w:ind w:right="1600"/>
              <w:spacing w:after="0" w:line="14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3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196,196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241,084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shd w:val="clear" w:color="auto" w:fill="CCEEFF"/>
          </w:tcPr>
          <w:p>
            <w:pPr>
              <w:jc w:val="right"/>
              <w:ind w:right="875"/>
              <w:spacing w:after="0"/>
              <w:rPr>
                <w:sz w:val="20"/>
                <w:szCs w:val="20"/>
                <w:color w:val="auto"/>
              </w:rPr>
            </w:pPr>
            <w:r>
              <w:rPr>
                <w:rFonts w:ascii="Arial" w:cs="Arial" w:eastAsia="Arial" w:hAnsi="Arial"/>
                <w:sz w:val="18"/>
                <w:szCs w:val="18"/>
                <w:b w:val="1"/>
                <w:bCs w:val="1"/>
                <w:color w:val="auto"/>
                <w:w w:val="89"/>
              </w:rPr>
              <w:t>(44,888)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i w:val="1"/>
                <w:iCs w:val="1"/>
                <w:color w:val="auto"/>
              </w:rPr>
              <w:t>Price/mix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1,345</w:t>
            </w:r>
          </w:p>
        </w:tc>
        <w:tc>
          <w:tcPr>
            <w:tcW w:w="0" w:type="dxa"/>
            <w:vAlign w:val="bottom"/>
          </w:tcPr>
          <w:p>
            <w:pPr>
              <w:spacing w:after="0"/>
              <w:rPr>
                <w:sz w:val="1"/>
                <w:szCs w:val="1"/>
                <w:color w:val="auto"/>
              </w:rPr>
            </w:pPr>
          </w:p>
        </w:tc>
      </w:tr>
      <w:tr>
        <w:trPr>
          <w:trHeight w:val="322"/>
        </w:trPr>
        <w:tc>
          <w:tcPr>
            <w:tcW w:w="66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17,718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24,794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Pr>
          <w:p>
            <w:pPr>
              <w:jc w:val="right"/>
              <w:ind w:right="875"/>
              <w:spacing w:after="0"/>
              <w:rPr>
                <w:sz w:val="20"/>
                <w:szCs w:val="20"/>
                <w:color w:val="auto"/>
              </w:rPr>
            </w:pPr>
            <w:r>
              <w:rPr>
                <w:rFonts w:ascii="Arial" w:cs="Arial" w:eastAsia="Arial" w:hAnsi="Arial"/>
                <w:sz w:val="18"/>
                <w:szCs w:val="18"/>
                <w:b w:val="1"/>
                <w:bCs w:val="1"/>
                <w:color w:val="auto"/>
              </w:rPr>
              <w:t>(7,076)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decrease in sales during the first nine months of 2012 was driven mainly by volume reductions at our European units of this segment and to a lesser extent at the U.S. unit exporting into Europe and our Asian unit. The reductions were due to European macro-economic issues, slowing Asian macro-economic growth, much lower automotive demand in Europe and, we believe, overall reductions of inventory levels in the supply chains we serve. Additionally, sales were reduced as the strengthening of the US Dollar caused a lower translated value of Euro denominated sales. Partially offsetting the reductions were increased sales from targeted price increases, favorable product mix and material inflation pass-through. The favorable mix occurred as a portion of the reduction in sales volumes experienced were in lower priced products.</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segment net income in the first nine months of 2012 was negatively impacted by lost profits from much lower sales volumes and related production inefficiencies from lower production levels. These reductions were driven by much lower demand for our products at our European operating units of this segment, at the U.S. unit exporting into Europe and our Asian unit, as discussed above. Partially offsetting the volume effects were benefits from specific Level 3 continuous improvement projects undertaken in the first nine months of 2012 and from good overall cost control at our European units during this very difficult operating environment. Additionally, targeted price increases and favorable sales mix help offset some of negative sales volume effects.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center"/>
              <w:ind w:right="1060"/>
              <w:spacing w:after="0" w:line="148"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5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61,005</w:t>
            </w:r>
          </w:p>
        </w:tc>
        <w:tc>
          <w:tcPr>
            <w:tcW w:w="11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$53,846</w:t>
            </w:r>
          </w:p>
        </w:tc>
        <w:tc>
          <w:tcPr>
            <w:tcW w:w="1340" w:type="dxa"/>
            <w:vAlign w:val="bottom"/>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87"/>
              </w:rPr>
              <w:t>$7,159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Price/mix</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5,199</w:t>
            </w: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 (3,806)</w:t>
            </w:r>
          </w:p>
        </w:tc>
        <w:tc>
          <w:tcPr>
            <w:tcW w:w="1340" w:type="dxa"/>
            <w:vAlign w:val="bottom"/>
          </w:tcPr>
          <w:p>
            <w:pPr>
              <w:jc w:val="right"/>
              <w:ind w:right="756"/>
              <w:spacing w:after="0"/>
              <w:rPr>
                <w:sz w:val="20"/>
                <w:szCs w:val="20"/>
                <w:color w:val="auto"/>
              </w:rPr>
            </w:pPr>
            <w:r>
              <w:rPr>
                <w:rFonts w:ascii="Arial" w:cs="Arial" w:eastAsia="Arial" w:hAnsi="Arial"/>
                <w:sz w:val="18"/>
                <w:szCs w:val="18"/>
                <w:b w:val="1"/>
                <w:bCs w:val="1"/>
                <w:color w:val="auto"/>
                <w:w w:val="87"/>
              </w:rPr>
              <w:t>$9,005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majority of the increase in sales at this segment was due to fulfilling sales orders, at the full year run rate, for a new sales program started in 2011. This new sales program had not reached the full year run rate during the first nine months of 2011.</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segment improved from a net loss to a net income due to profits from increased sales volumes and from the elimination of start-up costs on the new multi-year sales programs incurred during 2011. During the first nine months of 2011, this segment incurred $5.5 million of operational inefficiencies and additional costs related to ramping up production for new large multi-year sales programs which did not repeat during the first nine months of 2012. Beyond eliminating the start-up costs, this segment has improved operationally by reducing scrap, temporary labor, and expediting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55"/>
        </w:trPr>
        <w:tc>
          <w:tcPr>
            <w:tcW w:w="71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right"/>
              <w:ind w:right="1340"/>
              <w:spacing w:after="0" w:line="14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7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32,728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33,441</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Price/mix/material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389</w:t>
            </w:r>
          </w:p>
        </w:tc>
        <w:tc>
          <w:tcPr>
            <w:tcW w:w="0" w:type="dxa"/>
            <w:vAlign w:val="bottom"/>
          </w:tcPr>
          <w:p>
            <w:pPr>
              <w:spacing w:after="0"/>
              <w:rPr>
                <w:sz w:val="1"/>
                <w:szCs w:val="1"/>
                <w:color w:val="auto"/>
              </w:rPr>
            </w:pPr>
          </w:p>
        </w:tc>
      </w:tr>
      <w:tr>
        <w:trPr>
          <w:trHeight w:val="322"/>
        </w:trPr>
        <w:tc>
          <w:tcPr>
            <w:tcW w:w="71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1,853</w:t>
            </w:r>
          </w:p>
        </w:tc>
        <w:tc>
          <w:tcPr>
            <w:tcW w:w="4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$ 152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Lower sales volumes were due to expirations of certain sales programs. Segment net income was impacted by the lower sales volumes partially offset by specific cost reduction projects undertaken during 2012, price increases and favorable sales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9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From December 31, 2011 to September 30, 2012, our total assets increased $1.6 million and our current assets increased $5.8 million. Excluding foreign exchange effects, total assets and current assets increased approximately $1.5 million and $5.7 million, respectively, from December 31, 2011.</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majority of the increase in total and current assets was due principally to the $9.7 million increase in cash from the current year net cash flow. The increase in cash was partially offset by reductions in accounts receivable, net depreciation of fixed assets and by receipt of $1.9 million for the pay-off of a note receivable.</w:t>
      </w:r>
    </w:p>
    <w:p>
      <w:pPr>
        <w:spacing w:after="0" w:line="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Excluding the foreign exchange effects, accounts receivable was lower by $3.1 million due to the 5% decrease in sales volume experienced in September and August of 2012 from sales levels in December and November of 2011. The days sales outstanding at September 30, 2012 was consistent with days sales outstanding at December 31,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Excluding the foreign exchange effects, property, plant and equipment decreased $1.4 million as year to date capital spending was $0.8 million lower than depreciation and we sold assets with a net book value of $0.4 million.</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December 31, 2011 to September 30, 2012, our total liabilities decreased $16.1 million. Excluding foreign exchange effects, total liabilities decreased approximately $16.0 million from December 31, 2011. The majority of the reduction was from a $12.5 million accounts payable decrease, excluding foreign exchange effects, driven by timing of payments to certain vendors and lower levels of spending for raw material during September and August of 2012 compared to December and November of 2011. Additionally, total liabilities decreased as a net $3.1 million in short and long-term debt was repaid from operating cash flow.</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$69.5 million at September 30, 2012 as compared to $51.0 million at December 31, 2011. The ratio of current assets to current liabilities increased from 1.70:1 at December 31, 2011 to 2.15:1 at September 30, 2012. The increase in working capital was due primarily to the growth in cash and the reduction in accounts payable, as discussed above.</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Cash provided by operations was $22.7 million for the first nine months of 2012 compared with cash provided by operations of $3.3 million for the same period in 2011. The favorable variance was principally due to a $3.1 million decrease in accounts receivables experienced during the first nine months of 2012 versus the $12.7 million increase experienced in the first nine months of 2011 driven by the lower sales volumes in 2012.</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used by investing activities was $10.1 million for the first nine months of 2012 compared with cash used by investing activities of $15.7 million for the same period in 2011. The decrease was primarily due to $2.4 million in lower spending on acquisitions of property plant and equipment in 2012 and receipt of $1.9 million for the pay-off of a note receivable in 2012.</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used by financing activities was $3.2 million for the first nine months of 2012 compared with cash provided by financing activities of $18.9 million for the same period in 2011. The decrease was primarily due to the net repayment of short-term and long-term debt in 2012 versus net borrowings of short-term and long-term debt in 2011. The net repayment of debt in 2012 was driven by the additional $19.4 million of cash provided by operations in 2012 over 2011, as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Amounts outstanding under our $100.0 million credit facility and our $60.0 million of fixed rate notes as of September 30, 2012 were $43.6 million (including</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$0.6 million under our swing line of credit) and $31.4 million, respectively. As of September 30, 2012, we can borrow up to an additional $45.5 million under the $100.0 million credit facility (including $9.4 million under our swing line of credit) subject to limitations based on existing financial covenants. The $45.5 million of availability is net of $0.9 million of outstanding letters of credit at September 30, 2012 which are considered as usage of the facility and considers the liquidity requirement, from the September 30, 2011 amendment, that the total outstanding under the revolving credit agreement shall be at least $10 million less than the total committed amount of $100 million during the period commencing September 30, 2011 and ending on September 30, 2012. With the October 26, 2012, amendment of the $100 million revolving credit facility, the $10 million limitation has been removed. Thus, as of the date of this report we now have $55.5 million in availability on our revolving credit facility.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$60.0 million in fixed rate notes as of September 30, 2012. The specific covenants to which we are subject and the actual results achieved for the three and nine month periods ended September 30, 2012 are stated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9"/>
              </w:rPr>
              <w:t>Financial Covenants</w:t>
            </w:r>
          </w:p>
        </w:tc>
        <w:tc>
          <w:tcPr>
            <w:tcW w:w="88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5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Required Covenant Level</w:t>
            </w:r>
          </w:p>
        </w:tc>
        <w:tc>
          <w:tcPr>
            <w:tcW w:w="1860" w:type="dxa"/>
            <w:vAlign w:val="bottom"/>
            <w:vMerge w:val="restart"/>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Achieved</w:t>
            </w:r>
          </w:p>
        </w:tc>
        <w:tc>
          <w:tcPr>
            <w:tcW w:w="0" w:type="dxa"/>
            <w:vAlign w:val="bottom"/>
          </w:tcPr>
          <w:p>
            <w:pPr>
              <w:spacing w:after="0"/>
              <w:rPr>
                <w:sz w:val="1"/>
                <w:szCs w:val="1"/>
                <w:color w:val="auto"/>
              </w:rPr>
            </w:pPr>
          </w:p>
        </w:tc>
      </w:tr>
      <w:tr>
        <w:trPr>
          <w:trHeight w:val="181"/>
        </w:trPr>
        <w:tc>
          <w:tcPr>
            <w:tcW w:w="21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Interest coverage ratio</w:t>
            </w:r>
          </w:p>
        </w:tc>
        <w:tc>
          <w:tcPr>
            <w:tcW w:w="5580" w:type="dxa"/>
            <w:vAlign w:val="bottom"/>
            <w:tcBorders>
              <w:top w:val="single" w:sz="8" w:color="CCEEFF"/>
            </w:tcBorders>
            <w:gridSpan w:val="3"/>
            <w:shd w:val="clear" w:color="auto" w:fill="CCEEFF"/>
          </w:tcPr>
          <w:p>
            <w:pPr>
              <w:ind w:left="560"/>
              <w:spacing w:after="0" w:line="182" w:lineRule="exact"/>
              <w:rPr>
                <w:sz w:val="20"/>
                <w:szCs w:val="20"/>
                <w:color w:val="auto"/>
              </w:rPr>
            </w:pPr>
            <w:r>
              <w:rPr>
                <w:rFonts w:ascii="Arial" w:cs="Arial" w:eastAsia="Arial" w:hAnsi="Arial"/>
                <w:sz w:val="18"/>
                <w:szCs w:val="18"/>
                <w:color w:val="auto"/>
              </w:rPr>
              <w:t>Not to be less than 3.00 to 1.00 as of the last day of any fiscal</w:t>
            </w: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quarter</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8.21 to 1.00</w:t>
            </w:r>
          </w:p>
        </w:tc>
        <w:tc>
          <w:tcPr>
            <w:tcW w:w="0" w:type="dxa"/>
            <w:vAlign w:val="bottom"/>
          </w:tcPr>
          <w:p>
            <w:pPr>
              <w:spacing w:after="0"/>
              <w:rPr>
                <w:sz w:val="1"/>
                <w:szCs w:val="1"/>
                <w:color w:val="auto"/>
              </w:rPr>
            </w:pPr>
          </w:p>
        </w:tc>
      </w:tr>
      <w:tr>
        <w:trPr>
          <w:trHeight w:val="208"/>
        </w:trPr>
        <w:tc>
          <w:tcPr>
            <w:tcW w:w="212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5580" w:type="dxa"/>
            <w:vAlign w:val="bottom"/>
            <w:gridSpan w:val="3"/>
          </w:tcPr>
          <w:p>
            <w:pPr>
              <w:ind w:left="560"/>
              <w:spacing w:after="0"/>
              <w:rPr>
                <w:sz w:val="20"/>
                <w:szCs w:val="20"/>
                <w:color w:val="auto"/>
              </w:rPr>
            </w:pPr>
            <w:r>
              <w:rPr>
                <w:rFonts w:ascii="Arial" w:cs="Arial" w:eastAsia="Arial" w:hAnsi="Arial"/>
                <w:sz w:val="18"/>
                <w:szCs w:val="18"/>
                <w:color w:val="auto"/>
              </w:rPr>
              <w:t>Not to be less than 1.00 to 1.00 as of the last day of any fiscal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3"/>
          </w:tcPr>
          <w:p>
            <w:pPr>
              <w:ind w:left="760"/>
              <w:spacing w:after="0"/>
              <w:rPr>
                <w:sz w:val="20"/>
                <w:szCs w:val="20"/>
                <w:color w:val="auto"/>
              </w:rPr>
            </w:pPr>
            <w:r>
              <w:rPr>
                <w:rFonts w:ascii="Arial" w:cs="Arial" w:eastAsia="Arial" w:hAnsi="Arial"/>
                <w:sz w:val="18"/>
                <w:szCs w:val="18"/>
                <w:color w:val="auto"/>
              </w:rPr>
              <w:t>quarter</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1.34 to 1.00</w:t>
            </w:r>
          </w:p>
        </w:tc>
        <w:tc>
          <w:tcPr>
            <w:tcW w:w="0" w:type="dxa"/>
            <w:vAlign w:val="bottom"/>
          </w:tcPr>
          <w:p>
            <w:pPr>
              <w:spacing w:after="0"/>
              <w:rPr>
                <w:sz w:val="1"/>
                <w:szCs w:val="1"/>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55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Not to exceed 2.50 to 1.00 for the most recently completed four</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fiscal quarters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1.68 to 1.00</w:t>
            </w:r>
          </w:p>
        </w:tc>
        <w:tc>
          <w:tcPr>
            <w:tcW w:w="0" w:type="dxa"/>
            <w:vAlign w:val="bottom"/>
          </w:tcPr>
          <w:p>
            <w:pPr>
              <w:spacing w:after="0"/>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580" w:type="dxa"/>
            <w:vAlign w:val="bottom"/>
            <w:gridSpan w:val="3"/>
          </w:tcPr>
          <w:p>
            <w:pPr>
              <w:ind w:left="560"/>
              <w:spacing w:after="0"/>
              <w:rPr>
                <w:sz w:val="20"/>
                <w:szCs w:val="20"/>
                <w:color w:val="auto"/>
              </w:rPr>
            </w:pPr>
            <w:r>
              <w:rPr>
                <w:rFonts w:ascii="Arial" w:cs="Arial" w:eastAsia="Arial" w:hAnsi="Arial"/>
                <w:sz w:val="18"/>
                <w:szCs w:val="18"/>
                <w:color w:val="auto"/>
              </w:rPr>
              <w:t>Not to invest more than $25,524 during the fiscal year 2012</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$12,402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Many of our locations use the Euro as their functional currency. In 2012, the fluctuation of the Euro against the U.S. Dollar unfavorably impacted revenue and had an unfavorable impact on net income from the translation of net income of certain foreign subsidiaries. As of September 30, 2012, no currency hedges were in place. Changes in value of the U.S. Dollar and/or Euro against foreign currencies could impair our ability to compete with international competitors for foreign as well as domestic sales.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made planned capital expenditures totaling $12.4 million as of September 30, 2012. During 2012, we expect to spend between $15.0 million and $20.0 million on capital expenditures, the majority of which relate to new or expanded business. We believe that funds generated from operations and borrowings from our credit facilities will be sufficient to finance our capital expenditures and working capital needs through September 2013. We base this assertion on our current availability for borrowing of up to $55.5 million and our forecasted positive cash flow from operations for the remaining quarter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2011, including those policies as discussed in Note 1 to the annual report. There have been no changes to these policies during the nine month period ended September 30,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2012, we had $43.6 million outstanding under our variable rate revolving credit facilities and $31.4 million of fixed rate notes outstanding. See Note 8 of the Notes to Condensed Consolidated Financial Statements. At September 30, 2012, a one-percent increase in the interest rate charged on our outstanding variable rate borrowings would result in interest expense increasing annually by approximately $0.4 million.</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September 30, 2012, the end of the period covered by this quarterly report.</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have been no changes in the fiscal quarter ended September 30, 2012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 million of which our allocated share is approximately $0.1 million which has been fully paid as of September 30, 2012. While there can be no assurances, we believe that the $0.1 million is the maximum amount for which we will be liable under the tentatively accepted remediation plan.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more fully in Note 1of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2011 under Item 1.A. “Risk Factors.” There have been no material changes to these risk factors since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5.</w:t>
            </w:r>
          </w:p>
        </w:tc>
        <w:tc>
          <w:tcPr>
            <w:tcW w:w="1040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540" w:type="dxa"/>
            <w:vAlign w:val="bottom"/>
          </w:tcPr>
          <w:p>
            <w:pPr>
              <w:spacing w:after="0"/>
              <w:rPr>
                <w:sz w:val="20"/>
                <w:szCs w:val="20"/>
                <w:color w:val="auto"/>
              </w:rPr>
            </w:pPr>
            <w:r>
              <w:rPr>
                <w:rFonts w:ascii="Arial" w:cs="Arial" w:eastAsia="Arial" w:hAnsi="Arial"/>
                <w:sz w:val="18"/>
                <w:szCs w:val="18"/>
                <w:color w:val="auto"/>
              </w:rPr>
              <w:t>None</w:t>
            </w:r>
          </w:p>
        </w:tc>
        <w:tc>
          <w:tcPr>
            <w:tcW w:w="780" w:type="dxa"/>
            <w:vAlign w:val="bottom"/>
          </w:tcPr>
          <w:p>
            <w:pPr>
              <w:spacing w:after="0"/>
              <w:rPr>
                <w:sz w:val="24"/>
                <w:szCs w:val="24"/>
                <w:color w:val="auto"/>
              </w:rPr>
            </w:pPr>
          </w:p>
        </w:tc>
        <w:tc>
          <w:tcPr>
            <w:tcW w:w="9620" w:type="dxa"/>
            <w:vAlign w:val="bottom"/>
          </w:tcPr>
          <w:p>
            <w:pPr>
              <w:spacing w:after="0"/>
              <w:rPr>
                <w:sz w:val="24"/>
                <w:szCs w:val="24"/>
                <w:color w:val="auto"/>
              </w:rPr>
            </w:pPr>
          </w:p>
        </w:tc>
      </w:tr>
      <w:tr>
        <w:trPr>
          <w:trHeight w:val="500"/>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9620" w:type="dxa"/>
            <w:vAlign w:val="bottom"/>
          </w:tcPr>
          <w:p>
            <w:pPr>
              <w:ind w:left="220"/>
              <w:spacing w:after="0"/>
              <w:rPr>
                <w:sz w:val="20"/>
                <w:szCs w:val="20"/>
                <w:color w:val="auto"/>
              </w:rPr>
            </w:pPr>
            <w:r>
              <w:rPr>
                <w:rFonts w:ascii="Arial" w:cs="Arial" w:eastAsia="Arial" w:hAnsi="Arial"/>
                <w:sz w:val="18"/>
                <w:szCs w:val="18"/>
                <w:color w:val="auto"/>
                <w:w w:val="87"/>
              </w:rPr>
              <w:t>Amended and Restated Executive Employment Agreement, dated September 13, 2012, by and between NN, Inc. and Frank T. Gentry,</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rPr>
              <w:t>III (incorporated by reference to Exhibit 10.1 to the Company’s Current Report on Form 8-K filed on April 19, 2012)</w:t>
            </w:r>
          </w:p>
        </w:tc>
      </w:tr>
      <w:tr>
        <w:trPr>
          <w:trHeight w:val="318"/>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9620" w:type="dxa"/>
            <w:vAlign w:val="bottom"/>
          </w:tcPr>
          <w:p>
            <w:pPr>
              <w:ind w:left="220"/>
              <w:spacing w:after="0"/>
              <w:rPr>
                <w:sz w:val="20"/>
                <w:szCs w:val="20"/>
                <w:color w:val="auto"/>
              </w:rPr>
            </w:pPr>
            <w:r>
              <w:rPr>
                <w:rFonts w:ascii="Arial" w:cs="Arial" w:eastAsia="Arial" w:hAnsi="Arial"/>
                <w:sz w:val="18"/>
                <w:szCs w:val="18"/>
                <w:color w:val="auto"/>
                <w:w w:val="92"/>
              </w:rPr>
              <w:t>Amended and Restated Executive Employment Agreement, dated September 13, 2012, by and between NN, Inc. and James H.</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w w:val="98"/>
              </w:rPr>
              <w:t>Dorton (incorporated by reference to Exhibit 10.1 to the Company’s Current Report on Form 8-K filed on April 19, 2012)</w:t>
            </w:r>
          </w:p>
        </w:tc>
      </w:tr>
      <w:tr>
        <w:trPr>
          <w:trHeight w:val="318"/>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9620" w:type="dxa"/>
            <w:vAlign w:val="bottom"/>
          </w:tcPr>
          <w:p>
            <w:pPr>
              <w:ind w:left="220"/>
              <w:spacing w:after="0"/>
              <w:rPr>
                <w:sz w:val="20"/>
                <w:szCs w:val="20"/>
                <w:color w:val="auto"/>
              </w:rPr>
            </w:pPr>
            <w:r>
              <w:rPr>
                <w:rFonts w:ascii="Arial" w:cs="Arial" w:eastAsia="Arial" w:hAnsi="Arial"/>
                <w:sz w:val="18"/>
                <w:szCs w:val="18"/>
                <w:color w:val="auto"/>
                <w:w w:val="91"/>
              </w:rPr>
              <w:t>Amended and Restated Executive Employment Agreement, dated September 13, 2012, by and between NN, Inc. and Thomas C.</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w w:val="98"/>
              </w:rPr>
              <w:t>Burwell (incorporated by reference to Exhibit 10.1 to the Company’s Current Report on Form 8-K filed on April 19, 2012)</w:t>
            </w:r>
          </w:p>
        </w:tc>
      </w:tr>
      <w:tr>
        <w:trPr>
          <w:trHeight w:val="318"/>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10.4</w:t>
            </w:r>
          </w:p>
        </w:tc>
        <w:tc>
          <w:tcPr>
            <w:tcW w:w="9620" w:type="dxa"/>
            <w:vAlign w:val="bottom"/>
          </w:tcPr>
          <w:p>
            <w:pPr>
              <w:ind w:left="220"/>
              <w:spacing w:after="0"/>
              <w:rPr>
                <w:sz w:val="20"/>
                <w:szCs w:val="20"/>
                <w:color w:val="auto"/>
              </w:rPr>
            </w:pPr>
            <w:r>
              <w:rPr>
                <w:rFonts w:ascii="Arial" w:cs="Arial" w:eastAsia="Arial" w:hAnsi="Arial"/>
                <w:sz w:val="18"/>
                <w:szCs w:val="18"/>
                <w:color w:val="auto"/>
                <w:w w:val="91"/>
              </w:rPr>
              <w:t>Amended and Restated Executive Employment Agreement, dated September 13, 2012, by and between NN, Inc. and William C.</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w w:val="97"/>
              </w:rPr>
              <w:t>Kelly, Jr. (incorporated by reference to Exhibit 10.1 to the Company’s Current Report on Form 8-K filed on April 19, 2012)</w:t>
            </w:r>
          </w:p>
        </w:tc>
      </w:tr>
      <w:tr>
        <w:trPr>
          <w:trHeight w:val="318"/>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10.5</w:t>
            </w:r>
          </w:p>
        </w:tc>
        <w:tc>
          <w:tcPr>
            <w:tcW w:w="9620" w:type="dxa"/>
            <w:vAlign w:val="bottom"/>
          </w:tcPr>
          <w:p>
            <w:pPr>
              <w:ind w:left="220"/>
              <w:spacing w:after="0"/>
              <w:rPr>
                <w:sz w:val="20"/>
                <w:szCs w:val="20"/>
                <w:color w:val="auto"/>
              </w:rPr>
            </w:pPr>
            <w:r>
              <w:rPr>
                <w:rFonts w:ascii="Arial" w:cs="Arial" w:eastAsia="Arial" w:hAnsi="Arial"/>
                <w:sz w:val="18"/>
                <w:szCs w:val="18"/>
                <w:color w:val="auto"/>
                <w:w w:val="92"/>
              </w:rPr>
              <w:t>Amended and Restated Executive Employment Agreement, dated September 13, 2012, by and between NN, Inc. and Jeffrey H.</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w w:val="99"/>
              </w:rPr>
              <w:t>Hodge (incorporated by reference to Exhibit 10.1 to the Company’s Current Report on Form 8-K filed on April 19, 2012)</w:t>
            </w:r>
          </w:p>
        </w:tc>
      </w:tr>
      <w:tr>
        <w:trPr>
          <w:trHeight w:val="318"/>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10.6</w:t>
            </w:r>
          </w:p>
        </w:tc>
        <w:tc>
          <w:tcPr>
            <w:tcW w:w="9620" w:type="dxa"/>
            <w:vAlign w:val="bottom"/>
          </w:tcPr>
          <w:p>
            <w:pPr>
              <w:ind w:left="220"/>
              <w:spacing w:after="0"/>
              <w:rPr>
                <w:sz w:val="20"/>
                <w:szCs w:val="20"/>
                <w:color w:val="auto"/>
              </w:rPr>
            </w:pPr>
            <w:r>
              <w:rPr>
                <w:rFonts w:ascii="Arial" w:cs="Arial" w:eastAsia="Arial" w:hAnsi="Arial"/>
                <w:sz w:val="18"/>
                <w:szCs w:val="18"/>
                <w:color w:val="auto"/>
                <w:w w:val="89"/>
              </w:rPr>
              <w:t>Amended and Restated Executive Employment Agreement, dated September 13, 2012, by and between Whirlaway Corporation and</w:t>
            </w:r>
          </w:p>
        </w:tc>
      </w:tr>
      <w:tr>
        <w:trPr>
          <w:trHeight w:val="222"/>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20" w:type="dxa"/>
            <w:vAlign w:val="bottom"/>
          </w:tcPr>
          <w:p>
            <w:pPr>
              <w:ind w:left="220"/>
              <w:spacing w:after="0"/>
              <w:rPr>
                <w:sz w:val="20"/>
                <w:szCs w:val="20"/>
                <w:color w:val="auto"/>
              </w:rPr>
            </w:pPr>
            <w:r>
              <w:rPr>
                <w:rFonts w:ascii="Arial" w:cs="Arial" w:eastAsia="Arial" w:hAnsi="Arial"/>
                <w:sz w:val="18"/>
                <w:szCs w:val="18"/>
                <w:color w:val="auto"/>
                <w:w w:val="90"/>
              </w:rPr>
              <w:t>James R. Widders (incorporated by reference to Exhibit 10.1 to the Company’s Current Report on Form 8-K filed on April 19, 2012)</w:t>
            </w:r>
          </w:p>
        </w:tc>
      </w:tr>
      <w:tr>
        <w:trPr>
          <w:trHeight w:val="324"/>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31.1</w:t>
            </w:r>
          </w:p>
        </w:tc>
        <w:tc>
          <w:tcPr>
            <w:tcW w:w="9620" w:type="dxa"/>
            <w:vAlign w:val="bottom"/>
          </w:tcPr>
          <w:p>
            <w:pPr>
              <w:ind w:left="220"/>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tc>
      </w:tr>
      <w:tr>
        <w:trPr>
          <w:trHeight w:val="324"/>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31.2</w:t>
            </w:r>
          </w:p>
        </w:tc>
        <w:tc>
          <w:tcPr>
            <w:tcW w:w="9620" w:type="dxa"/>
            <w:vAlign w:val="bottom"/>
          </w:tcPr>
          <w:p>
            <w:pPr>
              <w:ind w:left="220"/>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tc>
      </w:tr>
      <w:tr>
        <w:trPr>
          <w:trHeight w:val="324"/>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32.1</w:t>
            </w:r>
          </w:p>
        </w:tc>
        <w:tc>
          <w:tcPr>
            <w:tcW w:w="962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906 of Sarbanes-Oxley Act.</w:t>
            </w:r>
          </w:p>
        </w:tc>
      </w:tr>
      <w:tr>
        <w:trPr>
          <w:trHeight w:val="324"/>
        </w:trPr>
        <w:tc>
          <w:tcPr>
            <w:tcW w:w="5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32.2</w:t>
            </w:r>
          </w:p>
        </w:tc>
        <w:tc>
          <w:tcPr>
            <w:tcW w:w="962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906 of Sarbanes-Oxley Act.</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101.INS</w:t>
            </w:r>
          </w:p>
        </w:tc>
        <w:tc>
          <w:tcPr>
            <w:tcW w:w="96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101.SCH</w:t>
            </w:r>
          </w:p>
        </w:tc>
        <w:tc>
          <w:tcPr>
            <w:tcW w:w="9620" w:type="dxa"/>
            <w:vAlign w:val="bottom"/>
          </w:tcPr>
          <w:p>
            <w:pPr>
              <w:ind w:left="2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101.CAL</w:t>
            </w:r>
          </w:p>
        </w:tc>
        <w:tc>
          <w:tcPr>
            <w:tcW w:w="9620" w:type="dxa"/>
            <w:vAlign w:val="bottom"/>
          </w:tcPr>
          <w:p>
            <w:pPr>
              <w:ind w:left="2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101.LAB</w:t>
            </w:r>
          </w:p>
        </w:tc>
        <w:tc>
          <w:tcPr>
            <w:tcW w:w="9620" w:type="dxa"/>
            <w:vAlign w:val="bottom"/>
          </w:tcPr>
          <w:p>
            <w:pPr>
              <w:ind w:left="22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101.PRE</w:t>
            </w:r>
          </w:p>
        </w:tc>
        <w:tc>
          <w:tcPr>
            <w:tcW w:w="9620" w:type="dxa"/>
            <w:vAlign w:val="bottom"/>
          </w:tcPr>
          <w:p>
            <w:pPr>
              <w:ind w:left="2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320" w:type="dxa"/>
            <w:vAlign w:val="bottom"/>
            <w:gridSpan w:val="2"/>
          </w:tcPr>
          <w:p>
            <w:pPr>
              <w:ind w:left="460"/>
              <w:spacing w:after="0"/>
              <w:rPr>
                <w:sz w:val="20"/>
                <w:szCs w:val="20"/>
                <w:color w:val="auto"/>
              </w:rPr>
            </w:pPr>
            <w:r>
              <w:rPr>
                <w:rFonts w:ascii="Arial" w:cs="Arial" w:eastAsia="Arial" w:hAnsi="Arial"/>
                <w:sz w:val="18"/>
                <w:szCs w:val="18"/>
                <w:color w:val="auto"/>
              </w:rPr>
              <w:t>101.DEF</w:t>
            </w:r>
          </w:p>
        </w:tc>
        <w:tc>
          <w:tcPr>
            <w:tcW w:w="9620" w:type="dxa"/>
            <w:vAlign w:val="bottom"/>
          </w:tcPr>
          <w:p>
            <w:pPr>
              <w:ind w:left="22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20" w:type="dxa"/>
            <w:vAlign w:val="bottom"/>
          </w:tcPr>
          <w:p>
            <w:pPr>
              <w:ind w:left="43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940"/>
          </w:cols>
          <w:pgMar w:left="24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285750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232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232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Senior Vice President – Corporate Development and Chief Financial</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232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6"/>
          <w:szCs w:val="16"/>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William C. Kelly, Jr.,</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Vice President and Chief Administrative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232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Thomas C. Burwell, Jr.</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Vice President, Chief Accounting Officer and Corporate Controller</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60" w:val="left"/>
          <w:tab w:leader="none" w:pos="63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60" w:val="left"/>
          <w:tab w:leader="none" w:pos="63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Section 13(a) or 15(d) of the Securities Exchange Act of 1934, and (2) 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tabs>
          <w:tab w:leader="none" w:pos="560" w:val="left"/>
          <w:tab w:leader="none" w:pos="63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Section 13(a) or 15(d) of the Securities Exchange Act of 1934, and (2) 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tabs>
          <w:tab w:leader="none" w:pos="560" w:val="left"/>
          <w:tab w:leader="none" w:pos="63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2019-12-09T10:40:12Z</dcterms:created>
  <dcterms:modified xsi:type="dcterms:W3CDTF">2019-12-09T10:40:12Z</dcterms:modified>
</cp:coreProperties>
</file>