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424815</wp:posOffset>
            </wp:positionV>
            <wp:extent cx="737235"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723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6210 Ardrey Kell Road, Suite 120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28277</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024"/>
          </w:cols>
          <w:pgMar w:left="436" w:top="376" w:right="439" w:bottom="1440" w:gutter="0" w:footer="0" w:header="0"/>
          <w:type w:val="continuous"/>
        </w:sectPr>
      </w:pPr>
    </w:p>
    <w:p>
      <w:pPr>
        <w:spacing w:after="0" w:line="1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239395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76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On March 15, 2024, NN, Inc., a Delaware corporation (the “Company”), closed its </w:t>
      </w:r>
      <w:r>
        <w:rPr>
          <w:rFonts w:ascii="Times New Roman" w:cs="Times New Roman" w:eastAsia="Times New Roman" w:hAnsi="Times New Roman"/>
          <w:sz w:val="18"/>
          <w:szCs w:val="18"/>
          <w:u w:val="single" w:color="auto"/>
          <w:color w:val="auto"/>
        </w:rPr>
        <w:t>previously-announced</w:t>
      </w:r>
      <w:r>
        <w:rPr>
          <w:rFonts w:ascii="Times New Roman" w:cs="Times New Roman" w:eastAsia="Times New Roman" w:hAnsi="Times New Roman"/>
          <w:sz w:val="18"/>
          <w:szCs w:val="18"/>
          <w:color w:val="auto"/>
        </w:rPr>
        <w:t xml:space="preserve"> sale leaseback transactions (the “Sale Leaseback Transactions”) with Tenet Equity Funding SPE III, LLC, a Delaware limited liability company (the “Buyer”), pursuant to which the Company sold certain facilitates owned by subsidiaries of the Company (the “Properties”) to the Buyer for an aggregate purchase of $16.8 million. The transactions closed in accordance with the Purchase and Sale and Escrow Agreement dated March 5, 2024, between the Company and the Buyer (the “Agreement”), which was previously disclosed in the Company’s Current Report on Form 8-K filed by the Company on March 8, 2024.</w:t>
      </w:r>
    </w:p>
    <w:p>
      <w:pPr>
        <w:spacing w:after="0" w:line="183"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Under the Agreement, the Company also entered into a Master Lease with the Buyer (the “Master Lease”) under which the Company leases each of the Properties. The Master Lease became effective upon the closing of the Sale Leaseback Transactions and has an initial term of 20 years. The Company used the Net Cash Proceeds (as defined in the Term Loan Credit Agreement) generated from the Sale Leaseback Transactions to repay a portion of the outstanding borrowings under the Company’s credit facilities.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TLCA Amendment</w:t>
      </w:r>
    </w:p>
    <w:p>
      <w:pPr>
        <w:spacing w:after="0" w:line="119"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the Sale Leaseback Transactions, on March 15, 2024, the Company, certain subsidiaries of the Company named therein, the lenders party thereto and Oaktree Fund Administration, LLC (“Oaktree”), as administrative agent, entered into that certain Amendment No. 3 to Term Loan Credit Agreement (the “TLCA Amendment”), which amended the Company’s existing Term Loan Credit Agreement, dated as of March 22, 2021 (as previously amended and as amended by the TLCA Amendment, the “Term Loan Credit Agreement”), by and among the Company, the lenders party thereto from time to time, and Oaktree, as administrative agent.</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TLCA Amendment, among other things, (i) requires the Company to use the net cash proceeds from the Sale Leaseback Transactions, or certain other dispositions prior to June 30, 2024, to prepay any outstanding indebtedness under the Term Loan Credit Agreement and (ii) amends certain definitions and other terms under the Term Loan Credit Agreement relating to the Sale Leaseback Transactions.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Amendment</w:t>
      </w:r>
    </w:p>
    <w:p>
      <w:pPr>
        <w:spacing w:after="0" w:line="11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Additionally, in connection with the Sale Leaseback Transactions and the TLCA Amendment, on March 15, 2024, the Company, certain subsidiaries of the Company named therein, the lenders party thereto and JPMorgan Chase Bank, N.A., as administrative agent, entered into that certain Amendment No. 2 to Credit Agreement (the “ABL Amendment” and together with the TLCA Amendment, the “Loan Amendments”), which amended the Company’s existing Credit Agreement, dated as of March 22, 2021 (as previously amended and as amended by the ABL Amendment, the “ABL Credit Agreement”), by and among the Company, the lenders party thereto and JPMorgan Chase Bank, N.A., as administrative agent. The ABL Amendment amends certain definitions and other terms under the ABL Credit Agreement relating to the Sale Leaseback Transactions.</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foregoing summaries of the Agreement, TLCA Amendment and ABL Amendment are qualified in their entirety by reference to the full text of (i) the Agreement, a copy of which was filed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to the Company’s Current Report on Form 8-K, filed by the Company on March 8, 2024; (i) the TLCA Amendment, a copy of which is filed as Exhibit 10.1 to this Current Report on Form 8-K; and (iii) the ABL Amendment, a copy of which is filed as Exhibit 10.2 to this Current Report on Form 8-K, each of which is incorporated herein by reference.</w:t>
      </w:r>
    </w:p>
    <w:p>
      <w:pPr>
        <w:spacing w:after="0" w:line="324" w:lineRule="exact"/>
        <w:rPr>
          <w:sz w:val="20"/>
          <w:szCs w:val="20"/>
          <w:color w:val="auto"/>
        </w:rPr>
      </w:pPr>
    </w:p>
    <w:p>
      <w:pPr>
        <w:ind w:left="1200" w:right="520" w:hanging="1199"/>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 xml:space="preserve">(d) </w:t>
        <w:tab/>
        <w:t>Exhibits.</w:t>
      </w:r>
    </w:p>
    <w:p>
      <w:pPr>
        <w:sectPr>
          <w:pgSz w:w="11900" w:h="16838" w:orient="portrait"/>
          <w:cols w:equalWidth="0" w:num="1">
            <w:col w:w="10980"/>
          </w:cols>
          <w:pgMar w:left="440" w:top="293" w:right="47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325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-308610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0000EE"/>
        </w:rPr>
        <w:t>Amendment No. 3 to Term Loan Credit Agreement, dated March 15, 2024, by and among NN, Inc., certain subsidiaries of NN, Inc., the lenders party thereto and Oaktree Fund Administration, LLC, as administrative agent.</w:t>
      </w:r>
    </w:p>
    <w:p>
      <w:pPr>
        <w:spacing w:after="0" w:line="40" w:lineRule="exact"/>
        <w:rPr>
          <w:sz w:val="20"/>
          <w:szCs w:val="20"/>
          <w:color w:val="auto"/>
        </w:rPr>
      </w:pPr>
    </w:p>
    <w:p>
      <w:pPr>
        <w:sectPr>
          <w:pgSz w:w="11900" w:h="16838" w:orient="portrait"/>
          <w:cols w:equalWidth="0" w:num="2">
            <w:col w:w="480" w:space="560"/>
            <w:col w:w="9900"/>
          </w:cols>
          <w:pgMar w:left="440" w:top="290" w:right="519" w:bottom="1440" w:gutter="0" w:footer="0" w:header="0"/>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Amendment No. 2 to Credit Agreement, dated as of March 15, 2024, by and among NN, Inc., certain subsidiaries of NN, Inc., the lenders</w:t>
            </w:r>
          </w:p>
        </w:tc>
      </w:tr>
      <w:tr>
        <w:trPr>
          <w:trHeight w:val="196"/>
        </w:trPr>
        <w:tc>
          <w:tcPr>
            <w:tcW w:w="1040" w:type="dxa"/>
            <w:vAlign w:val="bottom"/>
          </w:tcPr>
          <w:p>
            <w:pPr>
              <w:spacing w:after="0"/>
              <w:rPr>
                <w:sz w:val="17"/>
                <w:szCs w:val="17"/>
                <w:color w:val="auto"/>
              </w:rPr>
            </w:pPr>
          </w:p>
        </w:tc>
        <w:tc>
          <w:tcPr>
            <w:tcW w:w="51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party thereto and JPMorgan Chase Bank, N.A., as administrative agent.</w:t>
            </w:r>
          </w:p>
        </w:tc>
        <w:tc>
          <w:tcPr>
            <w:tcW w:w="4760" w:type="dxa"/>
            <w:vAlign w:val="bottom"/>
          </w:tcPr>
          <w:p>
            <w:pPr>
              <w:spacing w:after="0"/>
              <w:rPr>
                <w:sz w:val="17"/>
                <w:szCs w:val="17"/>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40"/>
          </w:cols>
          <w:pgMar w:left="440" w:top="290" w:right="519" w:bottom="1440" w:gutter="0" w:footer="0" w:header="0"/>
          <w:type w:val="continuous"/>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C. Felcher</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and Chief Financial Officer</w:t>
      </w:r>
    </w:p>
    <w:p>
      <w:pPr>
        <w:sectPr>
          <w:pgSz w:w="11900" w:h="16838" w:orient="portrait"/>
          <w:cols w:equalWidth="0" w:num="1">
            <w:col w:w="10780"/>
          </w:cols>
          <w:pgMar w:left="440" w:top="293"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3 TO TERM LOAN CREDIT AGREEMENT</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AMENDMENT NO. 3 TO TERM LOAN CREDIT AGREEMENT, dated as of March 15, 2024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by and among NN,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other Loan Party party hereto, each Lender (as defined below) party hereto, and Oaktree Fund Administration, LLC, as administrative agent and collateral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WHEREAS, the Borrower, the lenders party thereto from time to time (collectively,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and, individually, each a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and the Administrative Agent are parties to that certain Term Loan Credit Agreement, dated as of March 22, 2021 and amended by that certain Amendment No. 1 to Term Loan Credit Agreement, dated as of March 3, 2022, and by that certain Amendment No. 2 to Term Loan Credit Agreement, dated as of March 3, 2023 (and as further amended, restated, amended and restated, supplemented or otherwise modified from time to time prior to the date hereof,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and the Credit Agreement, after giving effect to the effectiveness of this Amendment, the “</w:t>
      </w:r>
      <w:r>
        <w:rPr>
          <w:rFonts w:ascii="Times New Roman" w:cs="Times New Roman" w:eastAsia="Times New Roman" w:hAnsi="Times New Roman"/>
          <w:sz w:val="17"/>
          <w:szCs w:val="17"/>
          <w:u w:val="single" w:color="auto"/>
          <w:color w:val="auto"/>
        </w:rPr>
        <w:t>Amended Credit Agreement</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the Borrower desires to enter into a sale and leaseback transaction with respect to its facilities located at (a) 42 &amp; 48 Frank Mossberg Drive, Attleboro, MA 02703 and (b) 16 Extension Street, Attleboro, MA 02703, pursuant to that certain Letter of Intent for Sale-Leaseback Transaction, dated as of December 18, 2023, from Tenet Equity, LP to the Borrower (the “</w:t>
      </w:r>
      <w:r>
        <w:rPr>
          <w:rFonts w:ascii="Times New Roman" w:cs="Times New Roman" w:eastAsia="Times New Roman" w:hAnsi="Times New Roman"/>
          <w:sz w:val="18"/>
          <w:szCs w:val="18"/>
          <w:u w:val="single" w:color="auto"/>
          <w:color w:val="auto"/>
        </w:rPr>
        <w:t>2024 Sale and Leaseback Transaction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the Borrower has requested that the Lenders agree to amend certain provisions of the Credit Agreement as provided for herein with respect to the 2024 Sale and Leaseback Transaction;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Lenders are willing to agree to such amendment to the Credit Agreement.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contained herein, as well as other good and valuable consideration, the receipt and sufficiency of which are hereby acknowledged, the parties hereto hereby agree as follows:</w:t>
      </w:r>
    </w:p>
    <w:p>
      <w:pPr>
        <w:spacing w:after="0" w:line="54"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but not defined herein shall have the meanings assigned to such terms in the Credit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61" w:lineRule="auto"/>
        <w:tabs>
          <w:tab w:leader="none" w:pos="1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Loan Parties, the Lenders and the Administrative Agent agrees that the Credit Agreement shall be amended on the Amendment No. 3 Effective Date (as hereinafter defined) to delete from the Credit Agreement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add to the Credit Agreement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attached hereto.</w:t>
      </w:r>
    </w:p>
    <w:p>
      <w:pPr>
        <w:spacing w:after="0" w:line="179"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Agreement, as amended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is hereby ratified, approved and confirmed in each and every respect by all parties hereto. The rights and obligations of the parties to the Credit Agreement with respect to the period prior to the Amendment No. 3 Effective Date shall not be affected by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-553085</wp:posOffset>
            </wp:positionV>
            <wp:extent cx="1036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 w:name="page6"/>
    <w:bookmarkEnd w:id="5"/>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shall become effective upon satisfaction (or effective waiver) of the following conditions precedent (such date, the “</w:t>
      </w:r>
      <w:r>
        <w:rPr>
          <w:rFonts w:ascii="Times New Roman" w:cs="Times New Roman" w:eastAsia="Times New Roman" w:hAnsi="Times New Roman"/>
          <w:sz w:val="18"/>
          <w:szCs w:val="18"/>
          <w:u w:val="single" w:color="auto"/>
          <w:color w:val="auto"/>
        </w:rPr>
        <w:t>Amendment No. 3 Effective Date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80" w:firstLine="987"/>
        <w:spacing w:after="0" w:line="266"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the Borrower, each other Loan Party, and each Lender an executed counterpart of this Amendment (or photocopies thereof sent by fax, pdf or other electronic means, each of which shall be enforceable with the same effect as a signed original).</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the Borrower an executed copy of that certain Amendment No. 2 to Credit Agreement, dated as of the date hereof (the “</w:t>
      </w:r>
      <w:r>
        <w:rPr>
          <w:rFonts w:ascii="Times New Roman" w:cs="Times New Roman" w:eastAsia="Times New Roman" w:hAnsi="Times New Roman"/>
          <w:sz w:val="18"/>
          <w:szCs w:val="18"/>
          <w:u w:val="single" w:color="auto"/>
          <w:color w:val="auto"/>
        </w:rPr>
        <w:t>ABL Amendment</w:t>
      </w:r>
      <w:r>
        <w:rPr>
          <w:rFonts w:ascii="Times New Roman" w:cs="Times New Roman" w:eastAsia="Times New Roman" w:hAnsi="Times New Roman"/>
          <w:sz w:val="18"/>
          <w:szCs w:val="18"/>
          <w:color w:val="auto"/>
        </w:rPr>
        <w:t>”), duly executed by the Borrower, each other loan party thereto, and the ABL Administrative Agent, which such ABL Amendment shall be in form and substance reasonably satisfactory to the Administrative Agent.</w:t>
      </w:r>
    </w:p>
    <w:p>
      <w:pPr>
        <w:spacing w:after="0" w:line="175"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this Amendment, the representations and warranties contained in each of the Loan Documents are true and correct in all material respects on and as of the Amendment No. 3 Effective Date (or to the extent such representations and warranties specifically relate to an earlier date, on and as of such earlier date).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after giving effect to this Amendment.</w:t>
      </w:r>
    </w:p>
    <w:p>
      <w:pPr>
        <w:spacing w:after="0" w:line="225"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reimbursement or payment of all fees and expenses required to be reimbursed or paid hereunder or under any other Loan Document or otherwise agreed to in writing to be paid (including the reasonable and documented fees, charges and disbursements of Proskauer Rose LLP, as counsel to the Administrative Agent), in each case, on or prior to the Amendment No. 3 Effective Date, in the case of reimbursement of expenses, to the extent invoiced at least three (3) Business Days prior to the Amendment No. 3 Effective Date (or such later date as the Borrower may agree).</w:t>
      </w:r>
    </w:p>
    <w:p>
      <w:pPr>
        <w:spacing w:after="0" w:line="183"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Consent to ABL Amendment</w:t>
      </w:r>
      <w:r>
        <w:rPr>
          <w:rFonts w:ascii="Times New Roman" w:cs="Times New Roman" w:eastAsia="Times New Roman" w:hAnsi="Times New Roman"/>
          <w:sz w:val="18"/>
          <w:szCs w:val="18"/>
          <w:color w:val="auto"/>
        </w:rPr>
        <w:t>. Notwithstanding anything in the Amended Credit Agreement or the ABL Intercreditor Agreement to the contrary, the Administrative Agent hereby consents to the amendment, supplementation, and modification of the ABL Credit Agreement pursuant to the ABL Amendment.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Effects on Loan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1"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Amendment No. 3 Effective Date, each reference in the Amended Credit Agreement to “this Agreement,” “hereunder,” “hereof” or words of like import shall, unless expressly provided otherwise, mean and be a reference to the Amended Credit Agreement and each reference in each other Loan Document to the Credit Agreement (including by means of words like “thereunder,” “thereof” and words of like import) shall, unless expressly provided otherwise, mean and be a reference to the Amended Credit Agreement.</w:t>
      </w:r>
    </w:p>
    <w:p>
      <w:pPr>
        <w:spacing w:after="0" w:line="179"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each and every term, condition, obligation, covenant and agreement contained in the Credit Agreement or any other provision of either such agreement or any other Loan Document is hereby ratified and re-affirmed in all respects and shall continue in full force and effect and each Loan Party reaffirms its obligations under each of the Loan Documents to which it is party (including, for the avoidance of doubt, the Guaranty Agreement), and confirms that all obligations of such Loan Party under the Loan Documents to which such Loan Party is a party shall continue to apply to the Amended Credit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ind w:left="-20" w:right="340" w:firstLine="987"/>
        <w:spacing w:after="0" w:line="282" w:lineRule="auto"/>
        <w:tabs>
          <w:tab w:leader="none" w:pos="12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expressly amended hereby, all Loan Documents shall continue to be in full force and effect and are hereby in all respects ratified and confirmed.</w:t>
      </w:r>
    </w:p>
    <w:p>
      <w:pPr>
        <w:spacing w:after="0" w:line="161" w:lineRule="exact"/>
        <w:rPr>
          <w:rFonts w:ascii="Times New Roman" w:cs="Times New Roman" w:eastAsia="Times New Roman" w:hAnsi="Times New Roman"/>
          <w:sz w:val="18"/>
          <w:szCs w:val="18"/>
          <w:color w:val="auto"/>
        </w:rPr>
      </w:pPr>
    </w:p>
    <w:p>
      <w:pPr>
        <w:ind w:left="-20" w:right="100" w:firstLine="987"/>
        <w:spacing w:after="0" w:line="261" w:lineRule="auto"/>
        <w:tabs>
          <w:tab w:leader="none" w:pos="12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operate as a waiver of any right, power or remedy of any Lender, the Administrative Agent or any other Secured Party under any of the Loan Documents, nor constitute a waiver of any provision of the Loan Documents or in any way limit, impair or otherwise affect the rights and remedies of the Administrative Agent, the Lenders or any of the other Secured Parties under the Loan Documents.</w:t>
      </w:r>
    </w:p>
    <w:p>
      <w:pPr>
        <w:spacing w:after="0" w:line="179" w:lineRule="exact"/>
        <w:rPr>
          <w:rFonts w:ascii="Times New Roman" w:cs="Times New Roman" w:eastAsia="Times New Roman" w:hAnsi="Times New Roman"/>
          <w:sz w:val="18"/>
          <w:szCs w:val="18"/>
          <w:color w:val="auto"/>
        </w:rPr>
      </w:pPr>
    </w:p>
    <w:p>
      <w:pPr>
        <w:ind w:left="-20" w:right="340" w:firstLine="987"/>
        <w:spacing w:after="0" w:line="282" w:lineRule="auto"/>
        <w:tabs>
          <w:tab w:leader="none" w:pos="12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parties hereto hereby acknowledge and agree that, from and after the Amendment No. 3 Effective Date, this Amendment shall constitute a Loan Document for all purposes of the Amended Credit Agreement.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20" w:hanging="253"/>
        <w:spacing w:after="0"/>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binding and enforceable as of the date hereof against each party hereto and its successors and permitted assigns.</w:t>
      </w:r>
    </w:p>
    <w:p>
      <w:pPr>
        <w:spacing w:after="0" w:line="225" w:lineRule="exact"/>
        <w:rPr>
          <w:rFonts w:ascii="Times New Roman" w:cs="Times New Roman" w:eastAsia="Times New Roman" w:hAnsi="Times New Roman"/>
          <w:sz w:val="18"/>
          <w:szCs w:val="18"/>
          <w:color w:val="auto"/>
        </w:rPr>
      </w:pPr>
    </w:p>
    <w:p>
      <w:pPr>
        <w:ind w:left="-20" w:right="40" w:firstLine="987"/>
        <w:spacing w:after="0" w:line="272" w:lineRule="auto"/>
        <w:tabs>
          <w:tab w:leader="none" w:pos="122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may be executed in one or more counterparts, each of which shall be deemed an original, but all of which together shall constitute one and the same instrument. Delivery of an executed signature page of this Amendment by facsimile or other electronic mail transmission shall be effective as delivery of a manually executed counterpart hereof. A set of the copies of this Amendment signed by all the parties shall be lodged with the Administrative Agent. Each party hereto agrees that the words “execution,” “signed,” “signature,” “delivery,” and words of like import in or relating to this Amendment shall be deemed to include electronic signatures or the keeping of electronic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1" w:lineRule="exact"/>
        <w:rPr>
          <w:rFonts w:ascii="Times New Roman" w:cs="Times New Roman" w:eastAsia="Times New Roman" w:hAnsi="Times New Roman"/>
          <w:sz w:val="17"/>
          <w:szCs w:val="17"/>
          <w:color w:val="auto"/>
        </w:rPr>
      </w:pPr>
    </w:p>
    <w:p>
      <w:pPr>
        <w:ind w:left="-20" w:firstLine="987"/>
        <w:spacing w:after="0" w:line="258" w:lineRule="auto"/>
        <w:tabs>
          <w:tab w:leader="none" w:pos="12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Amendment is held to be illegal, invalid or unenforceable, (x) the legality, validity and enforceability of the remaining provisions of this Amendment shall not be affected or impaired thereby and (y)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3" w:lineRule="exact"/>
        <w:rPr>
          <w:rFonts w:ascii="Times New Roman" w:cs="Times New Roman" w:eastAsia="Times New Roman" w:hAnsi="Times New Roman"/>
          <w:sz w:val="18"/>
          <w:szCs w:val="18"/>
          <w:color w:val="auto"/>
        </w:rPr>
      </w:pPr>
    </w:p>
    <w:p>
      <w:pPr>
        <w:ind w:left="-20" w:right="220" w:firstLine="987"/>
        <w:spacing w:after="0" w:line="282" w:lineRule="auto"/>
        <w:tabs>
          <w:tab w:leader="none" w:pos="12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agrees that Sections 10.14 and 10.15 of the Credit Agreement are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shall have the same force and effect with respect to this Amendment as if originally set forth herein.</w:t>
      </w:r>
    </w:p>
    <w:p>
      <w:pPr>
        <w:spacing w:after="0" w:line="161" w:lineRule="exact"/>
        <w:rPr>
          <w:rFonts w:ascii="Times New Roman" w:cs="Times New Roman" w:eastAsia="Times New Roman" w:hAnsi="Times New Roman"/>
          <w:sz w:val="18"/>
          <w:szCs w:val="18"/>
          <w:color w:val="auto"/>
        </w:rPr>
      </w:pPr>
    </w:p>
    <w:p>
      <w:pPr>
        <w:ind w:left="-20" w:right="520" w:firstLine="987"/>
        <w:spacing w:after="0" w:line="282" w:lineRule="auto"/>
        <w:tabs>
          <w:tab w:leader="none" w:pos="12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are included herein for convenience of reference only and shall not constitute a part hereof for any other purpose or be given any substantive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7" w:name="page8"/>
    <w:bookmarkEnd w:id="7"/>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be duly executed and delivered by their respective proper and duly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r>
        <w:rPr>
          <w:rFonts w:ascii="Times New Roman" w:cs="Times New Roman" w:eastAsia="Times New Roman" w:hAnsi="Times New Roman"/>
          <w:sz w:val="18"/>
          <w:szCs w:val="18"/>
          <w:color w:val="auto"/>
        </w:rPr>
        <w:t>., as the Borrower</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Felcher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Felcher</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8" w:name="page9"/>
    <w:bookmarkEnd w:id="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other Loan Parties: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Industrial Molding Corporation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Whirlaway 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PNC Acquisition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PMC USA Acquisition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PMC Acquisition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NN Precision Plastics,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Caprock Manufacturing,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Caprock Enclosures,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Brainin-Advance Industries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Wauconda Tool &amp; Engineering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General Metal Finishing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Advanced Precision Products,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HowesTemco,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Premco,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Profiles, Incorporated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Holmed,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Southern California Technical Arts,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Autocam 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Autocam-Pax,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Polymetallurgical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NN Power Solutions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NN Power Solutions, LLC</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Felcher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Felcher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37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70" w:right="439" w:bottom="1440" w:gutter="0" w:footer="0" w:header="0"/>
        </w:sectPr>
      </w:pPr>
    </w:p>
    <w:bookmarkStart w:id="9" w:name="page10"/>
    <w:bookmarkEnd w:id="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OAKTREE FUND ADMINISTRATION, LLC,</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Stewart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9240"/>
          </w:cols>
          <w:pgMar w:left="1440" w:top="266" w:right="1219"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OAKTREE GILEAD INVESTMENT FUND AIF</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(DELAWARE), L.P.</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Fund AIF Series, L.P. – Series 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Fund GP AIF, LLC</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Fund GP III,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OAKTREE GCP FUND DELAWARE HOLDINGS, L.P.</w:t>
      </w:r>
    </w:p>
    <w:p>
      <w:pPr>
        <w:spacing w:after="0" w:line="241"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Global Credit Plus Fund GP,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Global Credit Plus Fund GP Ltd.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Capital Management,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OAKTREE HUNTINGTON-GCF INVESTMENT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FUND (DIRECT LENDING AIF), L.P.</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Huntington-GCF Investment Fund (Direct</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Lending AIF) GP,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Huntington-GCF Investment Fund (Direct</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Lending AIF) GP, LLC</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Fund GP III,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OSI 2 SENIOR LENDING SPV,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Specialty Lending Corporation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Fund Advisors, LLC</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Manager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EXELON STRATEGIC CREDIT HOLDINGS,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Capital Management,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OAKTREE-NGP STRATEGIC CREDIT,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Capital Management,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OAKTREE-FORREST MULTI-STRATEGY,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Capital Management,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OAKTREE-TBMR STRATEGIC CREDIT FUND 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Capital Management,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OAKTREE-TBMR STRATEGIC CREDIT FUND F,</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Capital Management,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OAKTREE-TBMR STRATEGIC CREDIT FUND 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Capital Management,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OAKTREE-MINN STRATEGIC CREDIT,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Capital Management,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INPRS STRATEGIC CREDIT HOLDINGS,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Capital Management,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OAKTREE-TCDRS STRATEGIC CREDIT,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Capital Management,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OAKTREE-TSE 16 STRATEGIC CREDIT,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Capital Management, L.P.</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OAKTREE SPECIALTY LENDING CORPORATION</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Oaktree Fund Advisors, LLC</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Advisor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Stewart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Stewart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Mary Gallegly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Mary Gallegly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Term Loan Credit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Conformed through Amendment No. </w:t>
      </w: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to Credit Agreement dated as of March </w:t>
      </w:r>
      <w:r>
        <w:rPr>
          <w:rFonts w:ascii="Times New Roman" w:cs="Times New Roman" w:eastAsia="Times New Roman" w:hAnsi="Times New Roman"/>
          <w:sz w:val="18"/>
          <w:szCs w:val="18"/>
          <w:color w:val="FF0000"/>
          <w:strike w:val="1"/>
        </w:rPr>
        <w:t>3</w:t>
      </w:r>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2023</w:t>
      </w:r>
      <w:r>
        <w:rPr>
          <w:rFonts w:ascii="Times New Roman" w:cs="Times New Roman" w:eastAsia="Times New Roman" w:hAnsi="Times New Roman"/>
          <w:sz w:val="18"/>
          <w:szCs w:val="18"/>
          <w:u w:val="single" w:color="auto"/>
          <w:color w:val="0000FF"/>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14605</wp:posOffset>
            </wp:positionV>
            <wp:extent cx="59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14605</wp:posOffset>
            </wp:positionV>
            <wp:extent cx="111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14605</wp:posOffset>
            </wp:positionV>
            <wp:extent cx="2311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t>Annex I</w:t>
      </w:r>
    </w:p>
    <w:p>
      <w:pPr>
        <w:spacing w:after="0" w:line="11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AMENDED CREDIT AGREEMENT</w:t>
      </w:r>
    </w:p>
    <w:p>
      <w:pPr>
        <w:spacing w:after="0" w:line="11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70"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TERM LOAN CREDIT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March 22, 2021 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the Borrower and</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OAKTREE FUND ADMINISTRATION, LLC,</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024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360" w:type="dxa"/>
            <w:vAlign w:val="bottom"/>
          </w:tcPr>
          <w:p>
            <w:pPr>
              <w:spacing w:after="0"/>
              <w:rPr>
                <w:sz w:val="24"/>
                <w:szCs w:val="24"/>
                <w:color w:val="auto"/>
              </w:rPr>
            </w:pPr>
          </w:p>
        </w:tc>
        <w:tc>
          <w:tcPr>
            <w:tcW w:w="10240" w:type="dxa"/>
            <w:vAlign w:val="bottom"/>
          </w:tcPr>
          <w:p>
            <w:pPr>
              <w:spacing w:after="0"/>
              <w:rPr>
                <w:sz w:val="24"/>
                <w:szCs w:val="24"/>
                <w:color w:val="auto"/>
              </w:rPr>
            </w:pPr>
          </w:p>
        </w:tc>
        <w:tc>
          <w:tcPr>
            <w:tcW w:w="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89"/>
        </w:trPr>
        <w:tc>
          <w:tcPr>
            <w:tcW w:w="360" w:type="dxa"/>
            <w:vAlign w:val="bottom"/>
          </w:tcPr>
          <w:p>
            <w:pPr>
              <w:spacing w:after="0"/>
              <w:rPr>
                <w:sz w:val="24"/>
                <w:szCs w:val="24"/>
                <w:color w:val="auto"/>
              </w:rPr>
            </w:pPr>
          </w:p>
        </w:tc>
        <w:tc>
          <w:tcPr>
            <w:tcW w:w="102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ARTICLE 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2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1.01</w:t>
            </w:r>
          </w:p>
        </w:tc>
        <w:tc>
          <w:tcPr>
            <w:tcW w:w="10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95"/>
              </w:rPr>
              <w:t>1.02</w:t>
            </w:r>
          </w:p>
        </w:tc>
        <w:tc>
          <w:tcPr>
            <w:tcW w:w="102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Other Interpretive Provisions</w:t>
            </w: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88"/>
              </w:rPr>
              <w:t>45</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Accounting Terms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44</w:t>
            </w: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Rounding</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Times of Day; Rates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Currency Equivalents Generally</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1.07</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Effect of Benchmark Transition Event</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Divisions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02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9"/>
              </w:rPr>
              <w:t>ARTICLE II</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60" w:type="dxa"/>
            <w:vAlign w:val="bottom"/>
          </w:tcPr>
          <w:p>
            <w:pPr>
              <w:spacing w:after="0"/>
              <w:rPr>
                <w:sz w:val="23"/>
                <w:szCs w:val="23"/>
                <w:color w:val="auto"/>
              </w:rPr>
            </w:pPr>
          </w:p>
        </w:tc>
        <w:tc>
          <w:tcPr>
            <w:tcW w:w="102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2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COMMITMENTS AND BORROWINGS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2.01</w:t>
            </w:r>
          </w:p>
        </w:tc>
        <w:tc>
          <w:tcPr>
            <w:tcW w:w="10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Loans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49</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2.02</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49</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2.03</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2.04</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2.05</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Prepayments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49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2.06</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2.07</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Repayment of Loans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2.08</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2.09</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2.10</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Computation of Interest and Fees; Retroactive Adjustments of Applicable Rate</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2.11</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Evidence of Debt</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2.12</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2.13</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Sharing of Payments by Lenders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2.14</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2.15</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Defaulting Lenders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2.16</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Incremental Credit Extensions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62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024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ARTICLE III</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60" w:type="dxa"/>
            <w:vAlign w:val="bottom"/>
          </w:tcPr>
          <w:p>
            <w:pPr>
              <w:spacing w:after="0"/>
              <w:rPr>
                <w:sz w:val="23"/>
                <w:szCs w:val="23"/>
                <w:color w:val="auto"/>
              </w:rPr>
            </w:pPr>
          </w:p>
        </w:tc>
        <w:tc>
          <w:tcPr>
            <w:tcW w:w="102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2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TAXES, YIELD PROTECTION AND ILLEGALITY</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3.01</w:t>
            </w:r>
          </w:p>
        </w:tc>
        <w:tc>
          <w:tcPr>
            <w:tcW w:w="10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65</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3.02</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Illegality</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70</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3.03</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Inability to Determine Rates</w:t>
            </w: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0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33"/>
        </w:trPr>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3.04</w:t>
            </w:r>
          </w:p>
        </w:tc>
        <w:tc>
          <w:tcPr>
            <w:tcW w:w="10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Increased Costs; Reserves on Adjusted Term SOFR Rate Loans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88"/>
              </w:rPr>
              <w:t>71</w:t>
            </w: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line="20" w:lineRule="exact"/>
              <w:rPr>
                <w:sz w:val="1"/>
                <w:szCs w:val="1"/>
                <w:color w:val="auto"/>
              </w:rPr>
            </w:pPr>
          </w:p>
        </w:tc>
      </w:tr>
      <w:tr>
        <w:trPr>
          <w:trHeight w:val="174"/>
        </w:trPr>
        <w:tc>
          <w:tcPr>
            <w:tcW w:w="360" w:type="dxa"/>
            <w:vAlign w:val="bottom"/>
            <w:vMerge w:val="continue"/>
          </w:tcPr>
          <w:p>
            <w:pPr>
              <w:spacing w:after="0"/>
              <w:rPr>
                <w:sz w:val="15"/>
                <w:szCs w:val="15"/>
                <w:color w:val="auto"/>
              </w:rPr>
            </w:pPr>
          </w:p>
        </w:tc>
        <w:tc>
          <w:tcPr>
            <w:tcW w:w="102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3.05</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Compensation for Losses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72</w:t>
            </w: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3.06</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024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8"/>
              </w:rPr>
              <w:t>ARTICLE IV</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60" w:type="dxa"/>
            <w:vAlign w:val="bottom"/>
          </w:tcPr>
          <w:p>
            <w:pPr>
              <w:spacing w:after="0"/>
              <w:rPr>
                <w:sz w:val="23"/>
                <w:szCs w:val="23"/>
                <w:color w:val="auto"/>
              </w:rPr>
            </w:pPr>
          </w:p>
        </w:tc>
        <w:tc>
          <w:tcPr>
            <w:tcW w:w="102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2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CONDITIONS PRECEDENT TO CLOSING AND BORROWING</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4.01</w:t>
            </w:r>
          </w:p>
        </w:tc>
        <w:tc>
          <w:tcPr>
            <w:tcW w:w="10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of Closing and Initial Borrowing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02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8"/>
              </w:rPr>
              <w:t>ARTICLE V</w:t>
            </w: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60" w:type="dxa"/>
            <w:vAlign w:val="bottom"/>
          </w:tcPr>
          <w:p>
            <w:pPr>
              <w:spacing w:after="0"/>
              <w:rPr>
                <w:sz w:val="23"/>
                <w:szCs w:val="23"/>
                <w:color w:val="auto"/>
              </w:rPr>
            </w:pPr>
          </w:p>
        </w:tc>
        <w:tc>
          <w:tcPr>
            <w:tcW w:w="102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2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5.01</w:t>
            </w:r>
          </w:p>
        </w:tc>
        <w:tc>
          <w:tcPr>
            <w:tcW w:w="10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Existence; Subsidiaries; Foreign Qualification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78</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77</w:t>
            </w: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5.02</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Corporate Authority</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5.03</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Governmental Authorization; Other Consents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5.04</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Litigation and Administrative Proceedings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5.05</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Title to Assets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5.06</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Liens and Security Interests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5.07</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Tax Returns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5.08</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Environmental Laws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5.09</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Locations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5.10</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5.11</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Employee Benefits Plans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5.12</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Consents or Approvals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5.13</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5.14</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5.15</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Regulations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5.16</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5.17</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Intellectual Property</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5.18</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5.19</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5.20</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Labor Matters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5.21</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Sanctions; Anti-Money Laundering Laws; Anti-Corruption Laws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5.22</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Certain Treasury Regulation Matters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5.23</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5.24</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Accurate and Complete Statements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5.25</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Investment Company</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5.26</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Defaults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5.27</w:t>
            </w:r>
          </w:p>
        </w:tc>
        <w:tc>
          <w:tcPr>
            <w:tcW w:w="102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Senior Debt Status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0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57" w:right="4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00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ARTICLE VI</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0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6.01</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84</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6.02</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Certificates; Other Information</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85</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6.03</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Notices</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6.04</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Payment of Taxes and Other Obligations</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6.05</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Preservation of Existence, Etc.</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6.06</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6.07</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Maintenance of Insurance</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6.08</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Compliance with Laws</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6.09</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Books and Records</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6.10</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Inspection Rights</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6.11</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6.12</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Covenant to Guarantee Obligations and Give Security</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6.13</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Compliance with Environmental Laws</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6.14</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Regarding Collateral</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6.16</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Further Assurances</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6.17</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Post-Closing Matters</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00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8"/>
              </w:rPr>
              <w:t>ARTICLE VII</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60" w:type="dxa"/>
            <w:vAlign w:val="bottom"/>
          </w:tcPr>
          <w:p>
            <w:pPr>
              <w:spacing w:after="0"/>
              <w:rPr>
                <w:sz w:val="23"/>
                <w:szCs w:val="23"/>
                <w:color w:val="auto"/>
              </w:rPr>
            </w:pPr>
          </w:p>
        </w:tc>
        <w:tc>
          <w:tcPr>
            <w:tcW w:w="100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00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c>
          <w:tcPr>
            <w:tcW w:w="10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Liens</w:t>
            </w:r>
          </w:p>
        </w:tc>
        <w:tc>
          <w:tcPr>
            <w:tcW w:w="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96</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7.02</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Indebtedness</w:t>
            </w:r>
          </w:p>
        </w:tc>
        <w:tc>
          <w:tcPr>
            <w:tcW w:w="180" w:type="dxa"/>
            <w:vAlign w:val="bottom"/>
            <w:vMerge w:val="restart"/>
          </w:tcPr>
          <w:p>
            <w:pPr>
              <w:spacing w:after="0"/>
              <w:rPr>
                <w:sz w:val="2"/>
                <w:szCs w:val="2"/>
                <w:color w:val="auto"/>
              </w:rPr>
            </w:pPr>
          </w:p>
        </w:tc>
        <w:tc>
          <w:tcPr>
            <w:tcW w:w="1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99</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7.03</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Investments and Acquisitions</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rPr>
              <w:t>101</w:t>
            </w: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7.04</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Fundamental Changes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7.05</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Dispositions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7.06</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Restricted Payments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107</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7.07</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Changes in the Nature of Business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107</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7.08</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107</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7.09</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Burdensome Agreements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108</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7.10</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108</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7.11  Amendments to Organization Documents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108</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Accounting Changes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109</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7.13</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Sanctions; Anti-Corruption Laws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109</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7.14</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Financial Covenants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109</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7.15</w:t>
            </w:r>
          </w:p>
        </w:tc>
        <w:tc>
          <w:tcPr>
            <w:tcW w:w="100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Restrictions Pertaining to Certain Indebtedness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110</w:t>
            </w: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1004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270" w:right="5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9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ARTICLE VIII</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EVENTS OF DEFAULT AND REMEDIES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8.01</w:t>
            </w:r>
          </w:p>
        </w:tc>
        <w:tc>
          <w:tcPr>
            <w:tcW w:w="9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110</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108</w:t>
            </w: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8.02</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Remedies upon Event of Default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113</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8.03</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Application of Funds</w:t>
            </w:r>
          </w:p>
        </w:tc>
        <w:tc>
          <w:tcPr>
            <w:tcW w:w="3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113</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8.04</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Cure Right</w:t>
            </w:r>
          </w:p>
        </w:tc>
        <w:tc>
          <w:tcPr>
            <w:tcW w:w="3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114</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9940" w:type="dxa"/>
            <w:vAlign w:val="bottom"/>
            <w:vMerge w:val="restart"/>
          </w:tcPr>
          <w:p>
            <w:pPr>
              <w:jc w:val="center"/>
              <w:ind w:right="550"/>
              <w:spacing w:after="0"/>
              <w:rPr>
                <w:sz w:val="20"/>
                <w:szCs w:val="20"/>
                <w:color w:val="auto"/>
              </w:rPr>
            </w:pPr>
            <w:r>
              <w:rPr>
                <w:rFonts w:ascii="Times New Roman" w:cs="Times New Roman" w:eastAsia="Times New Roman" w:hAnsi="Times New Roman"/>
                <w:sz w:val="18"/>
                <w:szCs w:val="18"/>
                <w:color w:val="auto"/>
                <w:w w:val="98"/>
              </w:rPr>
              <w:t>ARTICLE IX</w:t>
            </w: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0" w:type="dxa"/>
            <w:vAlign w:val="bottom"/>
          </w:tcPr>
          <w:p>
            <w:pPr>
              <w:spacing w:after="0"/>
              <w:rPr>
                <w:sz w:val="23"/>
                <w:szCs w:val="23"/>
                <w:color w:val="auto"/>
              </w:rPr>
            </w:pPr>
          </w:p>
        </w:tc>
        <w:tc>
          <w:tcPr>
            <w:tcW w:w="994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ADMINISTRATIVE AGENT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9.01</w:t>
            </w:r>
          </w:p>
        </w:tc>
        <w:tc>
          <w:tcPr>
            <w:tcW w:w="9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of the Administrative Agent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115</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1"/>
              </w:rPr>
              <w:t>113</w:t>
            </w: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9.02</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Nature of Duties of the Administrative Agent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115</w:t>
            </w:r>
          </w:p>
        </w:tc>
        <w:tc>
          <w:tcPr>
            <w:tcW w:w="2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9.03</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Lack of Reliance on the Administrative Agent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9.04</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Certain Rights of the Administrative Agent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9.05</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Reliance by the Administrative Agent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117</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9.06</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The Administrative Agent in its Individual Capacity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117</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9.07</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Successor Administrative Agent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117</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9.08</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Withholding Tax</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9.09</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The Administrative Agent May File Proofs of Claim; Credit Bidding</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9.10</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Authorization to Execute Other Loan Documents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9.11</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Collateral and Guaranty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120</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9.12</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121</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9.13</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Right to Realize on Collateral and Enforce Guarantee</w:t>
            </w:r>
          </w:p>
        </w:tc>
        <w:tc>
          <w:tcPr>
            <w:tcW w:w="3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121</w:t>
            </w: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99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8"/>
              </w:rPr>
              <w:t>ARTICLE X</w:t>
            </w: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0" w:type="dxa"/>
            <w:vAlign w:val="bottom"/>
          </w:tcPr>
          <w:p>
            <w:pPr>
              <w:spacing w:after="0"/>
              <w:rPr>
                <w:sz w:val="23"/>
                <w:szCs w:val="23"/>
                <w:color w:val="auto"/>
              </w:rPr>
            </w:pPr>
          </w:p>
        </w:tc>
        <w:tc>
          <w:tcPr>
            <w:tcW w:w="994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9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MISCELLANEOUS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10.01</w:t>
            </w:r>
          </w:p>
        </w:tc>
        <w:tc>
          <w:tcPr>
            <w:tcW w:w="9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Etc.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121</w:t>
            </w:r>
          </w:p>
        </w:tc>
        <w:tc>
          <w:tcPr>
            <w:tcW w:w="2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1"/>
              </w:rPr>
              <w:t>119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10.02</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Notices; Effectiveness; Electronic Communications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124</w:t>
            </w:r>
          </w:p>
        </w:tc>
        <w:tc>
          <w:tcPr>
            <w:tcW w:w="40" w:type="dxa"/>
            <w:vAlign w:val="bottom"/>
            <w:gridSpan w:val="2"/>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10.03</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 Waiver; Cumulative Remedies; Enforcement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10.04</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Expenses; Indemnity; Damage Waiver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10.05</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Payments Set Aside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10.06</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10.07</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10.08</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Right of Setoff</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10.09</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Interest Rate Limitation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Counterparts; Integration; Effectiveness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94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Replacement of Lenders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tcPr>
          <w:p>
            <w:pPr>
              <w:spacing w:after="0"/>
              <w:rPr>
                <w:sz w:val="2"/>
                <w:szCs w:val="2"/>
                <w:color w:val="auto"/>
              </w:rPr>
            </w:pPr>
          </w:p>
        </w:tc>
        <w:tc>
          <w:tcPr>
            <w:tcW w:w="9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270" w:right="5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33"/>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9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136</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134</w:t>
            </w:r>
          </w:p>
        </w:tc>
        <w:tc>
          <w:tcPr>
            <w:tcW w:w="0" w:type="dxa"/>
            <w:vAlign w:val="bottom"/>
          </w:tcPr>
          <w:p>
            <w:pPr>
              <w:spacing w:after="0" w:line="20" w:lineRule="exact"/>
              <w:rPr>
                <w:sz w:val="1"/>
                <w:szCs w:val="1"/>
                <w:color w:val="auto"/>
              </w:rPr>
            </w:pPr>
          </w:p>
        </w:tc>
      </w:tr>
      <w:tr>
        <w:trPr>
          <w:trHeight w:val="174"/>
        </w:trPr>
        <w:tc>
          <w:tcPr>
            <w:tcW w:w="460" w:type="dxa"/>
            <w:vAlign w:val="bottom"/>
            <w:vMerge w:val="continue"/>
          </w:tcPr>
          <w:p>
            <w:pPr>
              <w:spacing w:after="0"/>
              <w:rPr>
                <w:sz w:val="15"/>
                <w:szCs w:val="15"/>
                <w:color w:val="auto"/>
              </w:rPr>
            </w:pPr>
          </w:p>
        </w:tc>
        <w:tc>
          <w:tcPr>
            <w:tcW w:w="994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940" w:type="dxa"/>
            <w:vAlign w:val="bottom"/>
            <w:gridSpan w:val="2"/>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WAIVER OF JURY TRIAL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138</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940" w:type="dxa"/>
            <w:vAlign w:val="bottom"/>
            <w:gridSpan w:val="2"/>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 Advisory or Fiduciary Responsibility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940" w:type="dxa"/>
            <w:vAlign w:val="bottom"/>
            <w:gridSpan w:val="2"/>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940" w:type="dxa"/>
            <w:vAlign w:val="bottom"/>
            <w:gridSpan w:val="2"/>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USA PATRIOT Act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940" w:type="dxa"/>
            <w:vAlign w:val="bottom"/>
            <w:gridSpan w:val="2"/>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Inconsistencies with Other Documents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940" w:type="dxa"/>
            <w:vAlign w:val="bottom"/>
            <w:gridSpan w:val="2"/>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Acknowledgment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940" w:type="dxa"/>
            <w:vAlign w:val="bottom"/>
            <w:gridSpan w:val="2"/>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994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SCHEDULES</w:t>
            </w: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104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Material Real Property</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 D Preferred Stock</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2.01</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Applicable Percentages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5.01</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Existence; Subsidiaries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5.04</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 and Administrative Procedures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5.05</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Property</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5.09</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Locations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5.17</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5.18</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5.23</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Deposit Accounts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6.17</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Post-Closing Matters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7.01</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Existing Liens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7.02</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Existing Indebtedness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7.03</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Existing Investments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10.02</w:t>
            </w:r>
          </w:p>
        </w:tc>
        <w:tc>
          <w:tcPr>
            <w:tcW w:w="9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p>
      <w:pPr>
        <w:spacing w:after="0" w:line="121" w:lineRule="exact"/>
        <w:rPr>
          <w:sz w:val="20"/>
          <w:szCs w:val="20"/>
          <w:color w:val="auto"/>
        </w:rPr>
      </w:pPr>
    </w:p>
    <w:p>
      <w:pPr>
        <w:ind w:left="860" w:hanging="50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Loan Notice</w:t>
      </w:r>
    </w:p>
    <w:p>
      <w:pPr>
        <w:spacing w:after="0" w:line="27" w:lineRule="exact"/>
        <w:rPr>
          <w:sz w:val="20"/>
          <w:szCs w:val="20"/>
          <w:color w:val="auto"/>
        </w:rPr>
      </w:pPr>
    </w:p>
    <w:p>
      <w:pPr>
        <w:ind w:left="860" w:hanging="504"/>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and Assumption</w:t>
      </w:r>
    </w:p>
    <w:p>
      <w:pPr>
        <w:spacing w:after="0" w:line="9"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7"/>
          <w:szCs w:val="17"/>
          <w:color w:val="auto"/>
        </w:rPr>
        <w:t>Term Note</w:t>
      </w:r>
    </w:p>
    <w:p>
      <w:pPr>
        <w:spacing w:after="0" w:line="9"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DCompliance Certificate</w:t>
      </w:r>
    </w:p>
    <w:p>
      <w:pPr>
        <w:spacing w:after="0" w:line="9"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7"/>
          <w:szCs w:val="17"/>
          <w:color w:val="auto"/>
        </w:rPr>
        <w:t>ABL Intercreditor Agreement</w:t>
      </w:r>
    </w:p>
    <w:p>
      <w:pPr>
        <w:spacing w:after="0" w:line="9" w:lineRule="exact"/>
        <w:rPr>
          <w:rFonts w:ascii="Times New Roman" w:cs="Times New Roman" w:eastAsia="Times New Roman" w:hAnsi="Times New Roman"/>
          <w:sz w:val="18"/>
          <w:szCs w:val="18"/>
          <w:color w:val="auto"/>
        </w:rPr>
      </w:pPr>
    </w:p>
    <w:p>
      <w:pPr>
        <w:ind w:left="360" w:right="48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F-1 U.S. Tax Compliance Certificate (Non-Partnership Foreign Lenders) F-2 U.S. Tax Compliance Certificate (Non-Partnership Foreign Participants) F-3 U.S. Tax Compliance Certificate (Foreign Participant Partnerships)</w:t>
      </w:r>
    </w:p>
    <w:p>
      <w:pPr>
        <w:spacing w:after="0" w:line="1"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F-4   U.S. Tax Compliance Certificate (Foreign Lender Partnerships)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40"/>
          </w:cols>
          <w:pgMar w:left="440" w:top="257" w:right="519" w:bottom="1440" w:gutter="0" w:footer="0" w:header="0"/>
        </w:sectPr>
      </w:pPr>
    </w:p>
    <w:bookmarkStart w:id="26" w:name="page27"/>
    <w:bookmarkEnd w:id="26"/>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w:t>
      </w:r>
    </w:p>
    <w:p>
      <w:pPr>
        <w:spacing w:after="0" w:line="225"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This TERM LOAN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March 22, 2021, among NN,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OAKTREE FUND ADMINISTRATION, LLC,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PRELIMINARY STATEMENTS:</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the Borrower has request that, upon the satisfaction in full of the applicable conditions precedent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below, the applicable Lenders make term loans to the Borrower in an aggregate principal amount of $150,000,000 on the Closing Date (as hereinafter defined), the proceeds of which shall be used to repay, redeem, defease, discharge or terminate the Borrower’s outstanding obligations under the Existing Credit Agreement (as hereinafter defined);</w:t>
      </w:r>
    </w:p>
    <w:p>
      <w:pPr>
        <w:spacing w:after="0" w:line="18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WHEREAS, each Loan Party (as hereinafter defined) desires to secure all of the Obligations (as hereinafter defined) under the Loan Documents (as hereinafter defined) by granting to the Administrative Agent, for the benefit of the Lenders, a security interest in certain property of such Loan Party, subject to the limitations described herein and in the Collateral Documents (as hereinafter defined); and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Lenders are willing to extend such credit to the Borrower on the terms and subject to the conditions set forth herein.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“2024 Sale and Leaseback Transaction” means that certain sale and leaseback transaction with respect to the Loan Parties’ facilities located at</w:t>
      </w:r>
    </w:p>
    <w:p>
      <w:pPr>
        <w:spacing w:after="0" w:line="27" w:lineRule="exact"/>
        <w:rPr>
          <w:sz w:val="20"/>
          <w:szCs w:val="20"/>
          <w:color w:val="auto"/>
        </w:rPr>
      </w:pPr>
    </w:p>
    <w:p>
      <w:pPr>
        <w:ind w:left="4" w:right="80" w:hanging="4"/>
        <w:spacing w:after="0" w:line="260" w:lineRule="auto"/>
        <w:tabs>
          <w:tab w:leader="none" w:pos="249" w:val="left"/>
        </w:tabs>
        <w:numPr>
          <w:ilvl w:val="0"/>
          <w:numId w:val="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42 &amp; 48 Frank Mossberg Drive, Attleboro, MA 02703 and (b) 16 Extension Street, Attleboro, MA 02703 pursuant to that certain Letter of Intent for Sale-Leaseback Transaction, dated as of December 18, 2023, from Tenet Equity, LP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-275590</wp:posOffset>
            </wp:positionV>
            <wp:extent cx="64808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-138430</wp:posOffset>
            </wp:positionV>
            <wp:extent cx="6926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46120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61"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Administrative Agent</w:t>
      </w:r>
      <w:r>
        <w:rPr>
          <w:rFonts w:ascii="Times New Roman" w:cs="Times New Roman" w:eastAsia="Times New Roman" w:hAnsi="Times New Roman"/>
          <w:sz w:val="18"/>
          <w:szCs w:val="18"/>
          <w:color w:val="auto"/>
        </w:rPr>
        <w:t>” means JPMorgan Chase Bank, N.A., in its capacity as administrative agent under the ABL Credit Agreement, and any applicable successors or assigns in such capacity.</w:t>
      </w:r>
    </w:p>
    <w:p>
      <w:pPr>
        <w:spacing w:after="0" w:line="162"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Agreement</w:t>
      </w:r>
      <w:r>
        <w:rPr>
          <w:rFonts w:ascii="Times New Roman" w:cs="Times New Roman" w:eastAsia="Times New Roman" w:hAnsi="Times New Roman"/>
          <w:sz w:val="18"/>
          <w:szCs w:val="18"/>
          <w:color w:val="auto"/>
        </w:rPr>
        <w:t>” means the Credit Agreement dated as of the Closing Date, by and among the Borrower, the ABL Lenders and the ABL Administrative Agent, as the same may be amended, restated, supplemented, refinanced, replaced or otherwise modified from time to time in accordance with the ABL Intercreditor Agreement.</w:t>
      </w:r>
    </w:p>
    <w:p>
      <w:pPr>
        <w:sectPr>
          <w:pgSz w:w="11900" w:h="16838" w:orient="portrait"/>
          <w:cols w:equalWidth="0" w:num="1">
            <w:col w:w="10984"/>
          </w:cols>
          <w:pgMar w:left="436" w:top="270" w:right="47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ABL Facility</w:t>
      </w:r>
      <w:r>
        <w:rPr>
          <w:rFonts w:ascii="Times New Roman" w:cs="Times New Roman" w:eastAsia="Times New Roman" w:hAnsi="Times New Roman"/>
          <w:sz w:val="18"/>
          <w:szCs w:val="18"/>
          <w:color w:val="auto"/>
        </w:rPr>
        <w:t>” means any “ABL Facility” under and as defined in the ABL Intercreditor Agreement.</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Intercreditor Agreement</w:t>
      </w:r>
      <w:r>
        <w:rPr>
          <w:rFonts w:ascii="Times New Roman" w:cs="Times New Roman" w:eastAsia="Times New Roman" w:hAnsi="Times New Roman"/>
          <w:sz w:val="18"/>
          <w:szCs w:val="18"/>
          <w:color w:val="auto"/>
        </w:rPr>
        <w:t xml:space="preserve">” means the intercreditor agreement dated as of the date hereof, between the Administrative Agent and the ABL Administrative Agent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Lenders</w:t>
      </w:r>
      <w:r>
        <w:rPr>
          <w:rFonts w:ascii="Times New Roman" w:cs="Times New Roman" w:eastAsia="Times New Roman" w:hAnsi="Times New Roman"/>
          <w:sz w:val="18"/>
          <w:szCs w:val="18"/>
          <w:color w:val="auto"/>
        </w:rPr>
        <w:t>” means the “Lenders” under and as defined in the ABL Credit Agreement.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Loan Documents</w:t>
      </w:r>
      <w:r>
        <w:rPr>
          <w:rFonts w:ascii="Times New Roman" w:cs="Times New Roman" w:eastAsia="Times New Roman" w:hAnsi="Times New Roman"/>
          <w:sz w:val="18"/>
          <w:szCs w:val="18"/>
          <w:color w:val="auto"/>
        </w:rPr>
        <w:t>” means the ABL Credit Agreement and all security and other collateral or other documents related thereto or entered into in connection therewith that are deemed to be “Loan Documents” under the ABL Credit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Obligations</w:t>
      </w:r>
      <w:r>
        <w:rPr>
          <w:rFonts w:ascii="Times New Roman" w:cs="Times New Roman" w:eastAsia="Times New Roman" w:hAnsi="Times New Roman"/>
          <w:sz w:val="18"/>
          <w:szCs w:val="18"/>
          <w:color w:val="auto"/>
        </w:rPr>
        <w:t>” means the Obligations, under and as defined in the ABL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Priority Collateral</w:t>
      </w:r>
      <w:r>
        <w:rPr>
          <w:rFonts w:ascii="Times New Roman" w:cs="Times New Roman" w:eastAsia="Times New Roman" w:hAnsi="Times New Roman"/>
          <w:sz w:val="18"/>
          <w:szCs w:val="18"/>
          <w:color w:val="auto"/>
        </w:rPr>
        <w:t>” has the meaning specified in the ABL Intercreditor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Revolving Credit Commitments</w:t>
      </w:r>
      <w:r>
        <w:rPr>
          <w:rFonts w:ascii="Times New Roman" w:cs="Times New Roman" w:eastAsia="Times New Roman" w:hAnsi="Times New Roman"/>
          <w:sz w:val="18"/>
          <w:szCs w:val="18"/>
          <w:color w:val="auto"/>
        </w:rPr>
        <w:t>” means the Commitments, under and as defined in the ABL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Revolving Loans</w:t>
      </w:r>
      <w:r>
        <w:rPr>
          <w:rFonts w:ascii="Times New Roman" w:cs="Times New Roman" w:eastAsia="Times New Roman" w:hAnsi="Times New Roman"/>
          <w:sz w:val="18"/>
          <w:szCs w:val="18"/>
          <w:color w:val="auto"/>
        </w:rPr>
        <w:t>” means the Loans, under and as defined in the ABL Credit Agreement.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series of related transactions for the purpose of or resulting, directly or indirectly, in (a) the acquisition of all or substantially all of the assets of any Person, or any business or division of any Person, (b) the acquisition of in excess of 50% of the Equity Interests of any Person, or (c) the acquisition of another Person by a merger, consolidation, amalgamation or any other combination with such Person.</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means, at any time, any bank, financial institution or other institutional lender or investor that, in any case, is not an existing Lender and that agrees to provide any portion of any Incremental Facility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Oaktree Fund Administration, LLC in its capacity as administrative agent under any of the Loan Documents, or any successor administrative agent.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means, for any Interest Period, the rate per annum equal to (a) Term SOFR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Term SOFR Adjustment for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Rate as so determined shall ever be less than 1.00%, then Adjusted Term SOFR Rate shall be deemed to be 1.00%.</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 Loan</w:t>
      </w:r>
      <w:r>
        <w:rPr>
          <w:rFonts w:ascii="Times New Roman" w:cs="Times New Roman" w:eastAsia="Times New Roman" w:hAnsi="Times New Roman"/>
          <w:sz w:val="18"/>
          <w:szCs w:val="18"/>
          <w:color w:val="auto"/>
        </w:rPr>
        <w:t xml:space="preserve">” means a Loan that bears interest at a rate determined by reference to the Adjusted Term SOFR Rate (other than by reason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the definition of “Base Rate”).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8" w:name="page29"/>
    <w:bookmarkEnd w:id="28"/>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or such other address or account as the Administrative Agent may from time to time notify to the Borrower and the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AHYDO Catch-up Payment</w:t>
      </w:r>
      <w:r>
        <w:rPr>
          <w:rFonts w:ascii="Times New Roman" w:cs="Times New Roman" w:eastAsia="Times New Roman" w:hAnsi="Times New Roman"/>
          <w:sz w:val="18"/>
          <w:szCs w:val="18"/>
          <w:color w:val="auto"/>
        </w:rPr>
        <w:t>”: with respect to Indebtedness that would constitute an applicable high yield debt obligation pursuant to</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163(i) of the Code but for such AHYDO Catch-Up Payment and solely with respect to any associated interest payment date occurring on or after the fifth anniversary of the issuance of such Indebtedness, and each interest payment date thereafter, excluding the interest payment date that falls on the maturity date of such Indebtedness, the amount of payment required for such Indebtedness not to be treated as having a “significant original issue discount” within the meaning of Section 163(i)(2) of the Code.</w:t>
      </w:r>
    </w:p>
    <w:p>
      <w:pPr>
        <w:spacing w:after="0" w:line="18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means that certain Amendment No. 1 to this Agreement, dated as of March 3, 2022 among the Borrower, each other Loan Party thereto, each Lender party thereto and Oaktree Fund Administration, LLC, as administrative agent and collateral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means March 3, 2022.</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means that certain Amendment No. 2 to this Agreement, dated as of March 3, 2023 among the Borrower, each other Loan Party thereto, each Lender party thereto and Oaktree Fund Administration, LLC, as administrative agent and collateral agent.</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 means the date in which all of the conditions precedent in Section 3 of Amendment No. 2 are satisfied or waived in accordance with the terms thereof.</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“Amendment No. 3” means that certain Amendment No. 3 to this Agreement, dated as of March 15, 2024 among the Borrower, each other Loan Party thereto, each Lender party thereto and Oaktree Fund Administration, LLC, 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008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7175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14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“Amendment No. 3 Effective Date” means the date in which all of the conditions precedent in Section 3 of Amendment No. 3 are satisfied or waived in accordance with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4547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0485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9" w:name="page30"/>
    <w:bookmarkEnd w:id="29"/>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U.S. Foreign Corrupt Practices Act of 1977, the UK Bribery Act 2010, and any other laws or regulations concerning or relating to bribery or corruption.</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the Bank Secrecy Act, as amended by the PATRIOT Act, and any other laws or regulations concerning or relating to money laundering or terrorism financing.</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in respect of the Term Facility, with respect to any Term Lender at any time, the percentage (carried out to the ninth decimal place) of the Term Facility represented by (i) such Term Lender’s Term Commitment at such time, subject to adjustment as provided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principal amount of such Term Lender’s Term Loans at such time. If the commitment of each Lender to make Loans has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Term Commitments have expired, then the Applicable Percentage of each Lender in respect of the Term Facility shall be determined based on the Applicable Percentage of such Lender in respect of the Term Facility most recently in effect, giving effect to any subsequent assignments. The initial Applicable Percentage of each Lender in respect of the Term Facility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18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at any time, in respect of the Term Loans (A) 5.875% per annum for Base Rate Loans and (B) 6.875% per annum for Adjusted Term SOFR Rate Loans.</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Lender</w:t>
      </w:r>
      <w:r>
        <w:rPr>
          <w:rFonts w:ascii="Times New Roman" w:cs="Times New Roman" w:eastAsia="Times New Roman" w:hAnsi="Times New Roman"/>
          <w:sz w:val="18"/>
          <w:szCs w:val="18"/>
          <w:color w:val="auto"/>
        </w:rPr>
        <w:t>” means, at any time, with respect to the Term Facility, a Lender that has a Commitment with respect to the Term Facility or holds a Loan under the Term Facility at such time.</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any other form (including electronic documentation generated by use of an electronic platform) approved by the Administrative Agent.</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Financing Lease Obligations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Financing Lease Obligations and (c) all Synthetic Debt of such Person.</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70" w:right="539" w:bottom="1440" w:gutter="0" w:footer="0" w:header="0"/>
        </w:sectPr>
      </w:pPr>
    </w:p>
    <w:bookmarkStart w:id="30" w:name="page31"/>
    <w:bookmarkEnd w:id="30"/>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1.07(d)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Agent</w:t>
      </w:r>
      <w:r>
        <w:rPr>
          <w:rFonts w:ascii="Times New Roman" w:cs="Times New Roman" w:eastAsia="Times New Roman" w:hAnsi="Times New Roman"/>
          <w:sz w:val="18"/>
          <w:szCs w:val="18"/>
          <w:color w:val="auto"/>
        </w:rPr>
        <w:t xml:space="preserve">” means (a) the Administrative Agent or (b) any other financial institution or advisor employed by the Borrower (whether or not an Affiliate of the Administrative Agent) to act as an arranger in connection with any Dutch Auction;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neither the Borrower nor any of its Affiliates may act as the Auction Agent.</w:t>
      </w:r>
    </w:p>
    <w:p>
      <w:pPr>
        <w:spacing w:after="0" w:line="183"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Borrower and its Subsidiaries for the fiscal years ended December 31, 2018, December 31, 2019 and December 31, 2020, and the related consolidated statements of income or operations, shareholders’ equity and cash flows for such fiscal year of the Borrower and its Subsidiaries, including the notes thereto.</w:t>
      </w:r>
    </w:p>
    <w:p>
      <w:pPr>
        <w:spacing w:after="0" w:line="176"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the highest of (i) the prime commercial lending rate published by the Wall Street Journal as the “</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right="120" w:hanging="4"/>
        <w:spacing w:after="0" w:line="253"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Funds Rate, as in effect from time to time (which in no event shall be less than zero),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one-half of one percent (0.50%)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and (iii) Adjusted Term SOFR Rate determined on a daily basis for an Interest Period of one (1) month,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one percent (1.00%)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(any changes in such rates to be effective as of the date of any change in such rate). The Administrative Agent may make commercial loans or other loans at rates of interest at, above, or below the Administrative Agent’s prime lending rate.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1.07(a)</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112" w:lineRule="exact"/>
        <w:rPr>
          <w:sz w:val="20"/>
          <w:szCs w:val="20"/>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Daily Simple SOFR and (b) the related Benchmark Replacement Adjustment;</w:t>
      </w:r>
    </w:p>
    <w:p>
      <w:pPr>
        <w:spacing w:after="0" w:line="130" w:lineRule="exact"/>
        <w:rPr>
          <w:rFonts w:ascii="Times New Roman" w:cs="Times New Roman" w:eastAsia="Times New Roman" w:hAnsi="Times New Roman"/>
          <w:sz w:val="18"/>
          <w:szCs w:val="18"/>
          <w:color w:val="auto"/>
        </w:rPr>
      </w:pPr>
    </w:p>
    <w:p>
      <w:pPr>
        <w:ind w:left="960" w:right="160" w:hanging="532"/>
        <w:spacing w:after="0" w:line="25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or bilateral credit facilities at such time and (b) the related Benchmark Replacement Adjustment;</w:t>
      </w:r>
    </w:p>
    <w:p>
      <w:pPr>
        <w:spacing w:after="0" w:line="75" w:lineRule="exact"/>
        <w:rPr>
          <w:sz w:val="20"/>
          <w:szCs w:val="20"/>
          <w:color w:val="auto"/>
        </w:rPr>
      </w:pPr>
    </w:p>
    <w:p>
      <w:pPr>
        <w:ind w:left="440" w:right="48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Benchmark Replacement as determined pursuant to clause (1) or (2)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or bilateral credit facilities at such time.</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32" w:name="page33"/>
    <w:bookmarkEnd w:id="32"/>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117" w:lineRule="exact"/>
        <w:rPr>
          <w:sz w:val="20"/>
          <w:szCs w:val="20"/>
          <w:color w:val="auto"/>
        </w:rPr>
      </w:pPr>
    </w:p>
    <w:p>
      <w:pPr>
        <w:ind w:right="20" w:firstLine="436"/>
        <w:spacing w:after="0" w:line="266"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17" w:lineRule="exact"/>
        <w:rPr>
          <w:sz w:val="20"/>
          <w:szCs w:val="20"/>
          <w:color w:val="auto"/>
        </w:rPr>
      </w:pPr>
    </w:p>
    <w:p>
      <w:pPr>
        <w:ind w:right="80" w:firstLine="436"/>
        <w:spacing w:after="0" w:line="261"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FRB,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3" w:name="page34"/>
    <w:bookmarkEnd w:id="33"/>
    <w:p>
      <w:pPr>
        <w:ind w:left="4" w:right="560" w:firstLine="436"/>
        <w:spacing w:after="0" w:line="266" w:lineRule="auto"/>
        <w:tabs>
          <w:tab w:leader="none" w:pos="6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the period (if any) (x) beginning at the time that a Benchmark Replacement Date pursuant to clauses</w:t>
      </w:r>
    </w:p>
    <w:p>
      <w:pPr>
        <w:spacing w:after="0" w:line="27" w:lineRule="exact"/>
        <w:rPr>
          <w:sz w:val="20"/>
          <w:szCs w:val="20"/>
          <w:color w:val="auto"/>
        </w:rPr>
      </w:pPr>
    </w:p>
    <w:p>
      <w:pPr>
        <w:ind w:left="4" w:right="260" w:hanging="4"/>
        <w:spacing w:after="0" w:line="255"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 of that definition has occurred if, at such time, no Benchmark Replacement has replaced the then-current Benchmark for all purposes hereunder and under any Loan Document in accordance with Section 1.07 and (y) ending at the time that a Benchmark Replacement has replaced the then-current Benchmark for all purposes hereunder and under any Loan Document in accordance with Section 1.07.</w:t>
      </w:r>
    </w:p>
    <w:p>
      <w:pPr>
        <w:spacing w:after="0" w:line="186"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shall mean an “affiliate” (as such term is defined under, and interpreted in accordance with, 12 U.S.C. 1841(k)) of such party.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Interim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means materials and/or information provided by or on behalf of the Borrower to the Administrative Agent and the Lenders in connection with this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Pro Forma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4.01(a)(xi)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Term Borrowing.</w:t>
      </w:r>
    </w:p>
    <w:p>
      <w:pPr>
        <w:spacing w:after="0" w:line="225"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or required to close under the Laws of, or are in fact closed in, the state of New York; provided that, in addition to the foregoing, a Business Day shall be, in relation to Loans referencing Adjusted Term SOFR Rate and any interest rate settings, fundings, disbursements, settlements or payments of any such Loans referencing Adjusted Term SOFR or any other dealings of such Loans referencing Adjusted Term SOFR Rate, any such day that is only a U.S. Government Securities Business Day.</w:t>
      </w:r>
    </w:p>
    <w:p>
      <w:pPr>
        <w:spacing w:after="0" w:line="183"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Distribution</w:t>
      </w:r>
      <w:r>
        <w:rPr>
          <w:rFonts w:ascii="Times New Roman" w:cs="Times New Roman" w:eastAsia="Times New Roman" w:hAnsi="Times New Roman"/>
          <w:sz w:val="18"/>
          <w:szCs w:val="18"/>
          <w:color w:val="auto"/>
        </w:rPr>
        <w:t>” means a payment made, liability incurred or other consideration given by the Borrower or any of its Subsidiaries, for the purchase, acquisition, redemption, repurchase, payment, defeasance, cancellation, termination or retirement of any capital stock or other Equity Interest of the Borrower or such Subsidiary, as applicable, or as a dividend, return of capital or other distribution (other than any stock dividend, stock split or other equity distribution payable only in its common capital stock or other Equity Interests (other than Disqualified Equity Interests)) in respect of the Borrower’s or such Subsidiary’s (as the case may be) capital stock or other Equity Interest.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34" w:name="page35"/>
    <w:bookmarkEnd w:id="34"/>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Person for any period, any expenditure in respect of the purchase or other acquisition of any fixed or capital asset (excluding normal replacements and maintenance that are properly charged to current operations).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xml:space="preserve">” means any type of Investment permitted pursuant to </w:t>
      </w:r>
      <w:r>
        <w:rPr>
          <w:rFonts w:ascii="Times New Roman" w:cs="Times New Roman" w:eastAsia="Times New Roman" w:hAnsi="Times New Roman"/>
          <w:sz w:val="18"/>
          <w:szCs w:val="18"/>
          <w:u w:val="single" w:color="auto"/>
          <w:color w:val="auto"/>
        </w:rPr>
        <w:t>Section 7.03(a)(ii)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Code in which any Loan Party is a United States shareholder within the meaning of Section 951(b) of the Code or from which any Loan Party directly or indirectly would reasonably be expected to receive income under Sections 951 through 965 of the Code.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440" w:right="120" w:firstLine="419"/>
        <w:spacing w:after="0" w:line="261"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the Borrower;</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56"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w:t>
      </w:r>
    </w:p>
    <w:p>
      <w:pPr>
        <w:spacing w:after="0" w:line="79"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cease to own, directly or indirectly, one hundred percent (100%) of the record and beneficial ownership of each other Loan Party;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or other similar provision, as defined in the ABL Credit Agreement.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as amended</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of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collectively, the Security Agreement, the Intellectual Property Security Agreements, the Mortgages, each of the mortgages, collateral assignments, Security Agreement Supplement, security agreements, pledge agreements or other similar agreements delivered to the Administrative Agent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 each of the other agreements, instruments or documents that creates or purports to create a Lien in favor of the Administrative Agent for the benefit of the Secured Parties.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any Term Commitment.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xml:space="preserve">” means a notice of (a) a Borrowing, (b) a conversion of Loans from one Type to the other, or (c) a continuation of Adjusted Term SOFR Rate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Commodity Exchange Act</w:t>
      </w:r>
      <w:r>
        <w:rPr>
          <w:rFonts w:ascii="Times New Roman" w:cs="Times New Roman" w:eastAsia="Times New Roman" w:hAnsi="Times New Roman"/>
          <w:sz w:val="17"/>
          <w:szCs w:val="17"/>
          <w:color w:val="auto"/>
        </w:rPr>
        <w:t xml:space="preserve">” means the Commodity Exchange Act (7 U.S.C. § 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as amended from time to time, and any successor statute.</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Charges</w:t>
      </w:r>
      <w:r>
        <w:rPr>
          <w:rFonts w:ascii="Times New Roman" w:cs="Times New Roman" w:eastAsia="Times New Roman" w:hAnsi="Times New Roman"/>
          <w:sz w:val="18"/>
          <w:szCs w:val="18"/>
          <w:color w:val="auto"/>
        </w:rPr>
        <w:t>” means, for any period, the aggregate of all depreciation and amortization charges for fixed assets, leasehold improvements and general intangibles (specifically including goodwill) of the Borrower and its Subsidiaries for such period, as determined on a consolidated basis and in accordance with GAAP.</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6" w:name="page37"/>
    <w:bookmarkEnd w:id="36"/>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as determined on a consolidated basis, Consolidated Net Earnings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without duplication, the aggregate amounts deducted in determining such Consolidated Net Earnings in respect of: (i) Consolidated Interest Expense, (ii) Consolidated Income Tax Expense and distributions therefor, (iii) Consolidated Depreciation and Amortization Charges, (iv) non-cash charges, expenses, losses or other items;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non-cash charges, expenses, losses or other items represent an accrual or reserve for potential cash items in any future period, the cash payment in respect thereof in such future period shall be subtracted from Consolidated Net Earnings, (v) (1) unusual non-cash gains not incurred in the ordinary course of business in an amount not to exceed $5,000,000 for the applicable period and/or (2) actual non- recurring non-cash restructuring charges in an amount not to exceed $7,500,000 in the aggregate over all periods, (vi) non-cash foreign exchange gains and losses with respect to intercompany loans, (vii) restructuring costs, charges and related items, integration costs, costs of strategic initiatives, business optimization expenses or costs (including relating to systems design, upgrade and implementation costs), retention, recruiting, relocation, signing and stay bonuses and expenses including payments made to employees or others who are subject to non-compete agreements, facility opening, pre-opening, closing and consolidation costs, contract termination costs and severance costs, (viii)(1) pro forma adjustments, including pro forma “run rate” cost savings, operating expense reductions and other synergies (in each case, net of amounts actually realized) related to the Transactions that are reasonably identifiable (as determined by the Borrower in good faith) and projected by the Borrower in good faith to result from actions (x) that have been taken or (y) with respect to which substantial steps have been taken or that are expected to be taken (in the good faith determination of the Borrower) within 12 months after the Closing Date and/or (2) pro forma adjustments, including pro forma “run rate” cost savings, operating expense reductions, operating improvements and other synergies (in each case net of amounts actually realized) related to any Acquisition or Disposition permitted pursuant to this Agreement or related to restructuring initiatives, cost savings initiatives, new projects and other initiatives that are reasonably identifiable (as determined by the Borrower in good faith) and projected by the Borrower in good faith to result from actions that have either been taken, with respect to which substantial steps have been taken or are that are expected to be taken within 12 months after the date of consummation of such Acquisition or Disposition or the commencement of such initiative, (ix) adjustments consistent with Regulation S-X, (x) other non-recurring or one-time expenses, accruals, payments and expenses (including rationalization, legal, tax, structuring and other costs and expenses) related to the Transactions, acquisitions, investments, dividends, restricted payments, dispositions, refinancings or issuances of debt or equity or related to any amendment, negotiation, forbearance, extension, modification or waiver in respect of the documentation (including the Loan Documents) governing such transactions (in each case, whether or not consummated), (xi) costs related to implementation of operational and reporting systems and technology initiatives,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that the amounts added to Consolidated EBITDA pursuant to the foregoing </w:t>
      </w:r>
      <w:r>
        <w:rPr>
          <w:rFonts w:ascii="Times New Roman" w:cs="Times New Roman" w:eastAsia="Times New Roman" w:hAnsi="Times New Roman"/>
          <w:sz w:val="18"/>
          <w:szCs w:val="18"/>
          <w:u w:val="single" w:color="auto"/>
          <w:color w:val="auto"/>
        </w:rPr>
        <w:t>clauses (vii</w:t>
      </w:r>
      <w:r>
        <w:rPr>
          <w:rFonts w:ascii="Times New Roman" w:cs="Times New Roman" w:eastAsia="Times New Roman" w:hAnsi="Times New Roman"/>
          <w:sz w:val="18"/>
          <w:szCs w:val="18"/>
          <w:color w:val="auto"/>
        </w:rPr>
        <w:t>) through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in any such period (other than with respect to (a) stock option and other equity based compensation expenses, (b) Transaction Costs and (c) Settlement Costs) shall not exceed, in the aggregate, 25% of Consolidated EBITDA for such period (calculated before giving effect to the adjustments set forth in </w:t>
      </w:r>
      <w:r>
        <w:rPr>
          <w:rFonts w:ascii="Times New Roman" w:cs="Times New Roman" w:eastAsia="Times New Roman" w:hAnsi="Times New Roman"/>
          <w:sz w:val="18"/>
          <w:szCs w:val="18"/>
          <w:u w:val="single" w:color="auto"/>
          <w:color w:val="auto"/>
        </w:rPr>
        <w:t>clauses (vii</w:t>
      </w:r>
      <w:r>
        <w:rPr>
          <w:rFonts w:ascii="Times New Roman" w:cs="Times New Roman" w:eastAsia="Times New Roman" w:hAnsi="Times New Roman"/>
          <w:sz w:val="18"/>
          <w:szCs w:val="18"/>
          <w:color w:val="auto"/>
        </w:rPr>
        <w:t>) through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ind w:left="4" w:right="240" w:hanging="4"/>
        <w:spacing w:after="0" w:line="253" w:lineRule="auto"/>
        <w:tabs>
          <w:tab w:leader="none" w:pos="3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losses or expenses to the extent paid for, reimbursed, indemnified or insured by a third party (or reasonably expected to be so paid or reimbursed within one (1) year after the end of such period), (xiii) proceeds of business interruption insurance to the extent not included in the calculation of Consolidated Net Earnings, (xiv) income attributable to non-controlling interest, (xv) letter of credit and other financing fees, (xvi) any non-cash increase in expenses (1) resulting from the revaluation of inventory (including any impact of changes to inventory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37" w:name="page38"/>
    <w:bookmarkEnd w:id="37"/>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valuation policy methods including changes in capitalization of variances) or other inventory adjustments, or any other acquisition or (2) due to purchase accounting and (xvii) earnout obligations with respect to any Acquisition or Investment paid or accrued during the applicable period. For purposes of this Agreement, Consolidated EBITDA shall be adjusted pursuant to </w:t>
      </w:r>
      <w:r>
        <w:rPr>
          <w:rFonts w:ascii="Times New Roman" w:cs="Times New Roman" w:eastAsia="Times New Roman" w:hAnsi="Times New Roman"/>
          <w:sz w:val="17"/>
          <w:szCs w:val="17"/>
          <w:u w:val="single" w:color="auto"/>
          <w:color w:val="auto"/>
        </w:rPr>
        <w:t>Section 1.03(c)</w:t>
      </w:r>
      <w:r>
        <w:rPr>
          <w:rFonts w:ascii="Times New Roman" w:cs="Times New Roman" w:eastAsia="Times New Roman" w:hAnsi="Times New Roman"/>
          <w:sz w:val="17"/>
          <w:szCs w:val="17"/>
          <w:color w:val="auto"/>
        </w:rPr>
        <w:t>. Notwithstanding anything to the contrary contained herein, for purposes of determining Consolidated EBITDA for each such period that includes: for the fiscal quarters ended June 30, 2020, September 30, 2020 and December 31, 2020, Consolidated EBITDA for such fiscal quarters shall be deemed to be $4,853,000, $14,660,000 and $16,845,000 respectively.</w:t>
      </w:r>
    </w:p>
    <w:p>
      <w:pPr>
        <w:spacing w:after="0" w:line="168"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means, at any date, all Indebtedness (including, but not limited to, current, long-term and Subordinated Indebtedness, if any) of the Borrower and its Subsidiaries, as determined on a consolidated basis and in accordance with GAAP; provided that in no event shall any preferred Equity Interests be included as indebtedness so long as such preferred Equity Interests does not have any mandatory redemption date, and in no event shall the Series D Preferred Stock constitute Consolidated Funded Indebtedness.</w:t>
      </w:r>
    </w:p>
    <w:p>
      <w:pPr>
        <w:spacing w:after="0" w:line="180"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Income Tax Expense</w:t>
      </w:r>
      <w:r>
        <w:rPr>
          <w:rFonts w:ascii="Times New Roman" w:cs="Times New Roman" w:eastAsia="Times New Roman" w:hAnsi="Times New Roman"/>
          <w:sz w:val="18"/>
          <w:szCs w:val="18"/>
          <w:color w:val="auto"/>
        </w:rPr>
        <w:t>” means, for any period, all provisions for taxes based on the gross or net income of the Borrower and its Subsidiaries (including, without limitation, any additions to such taxes, and any penalties and interest with respect thereto), as determined on a consolidated basis and in accordance with GAAP.</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the interest expense of the Borrower and its Subsidiaries for such period, as determined on a consolidated basis and in accordance with GAAP.</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Earnings</w:t>
      </w:r>
      <w:r>
        <w:rPr>
          <w:rFonts w:ascii="Times New Roman" w:cs="Times New Roman" w:eastAsia="Times New Roman" w:hAnsi="Times New Roman"/>
          <w:sz w:val="18"/>
          <w:szCs w:val="18"/>
          <w:color w:val="auto"/>
        </w:rPr>
        <w:t xml:space="preserve">” means, for any period, the net income (or loss) of the Borrower, its Subsidiaries, and Borrower’s equity in the net income (or loss) for such period of any Person if such Person is not a Subsidiary for such period, as determined on a consolidated basis and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Net Earnings shall exclude the net income of any Subsidiary or Person, during such period to the extent that the declaration or payment of dividends or similar distributions by such Subsidiary or Person of such income is not permitted by operation of the terms of its Organization Documents or any agreement, instrument or Law applicable to such Subsidiary during such period, except that the Borrower’s equity in any net loss of any such Subsidiary or Person for such period shall be included in determining Consolidated Net Earnings.</w:t>
      </w:r>
    </w:p>
    <w:p>
      <w:pPr>
        <w:spacing w:after="0" w:line="18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means, as of any date, determined on a consolidated basis, the ratio of (a) Consolidated Funded Indebtedness (as of such date) minus the aggregate amount equal to 100% of the Unrestricted Cash and Cash Equivalents subject to control agreements (as of such date) of the Loan Parties to (b) Consolidated EBITDA for the period of four consecutive fiscal quarters of the Borrower then ended (in the case of any determination as of the last day of a fiscal quarter) or for the most recently completed four fiscal quarters of the Borrower for which financials are required to be delivered hereunder (in the case of any determination of such ratio on a pro forma basis hereunder).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Leverage Ratio Covenant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8" w:name="page39"/>
    <w:bookmarkEnd w:id="38"/>
    <w:p>
      <w:pPr>
        <w:ind w:left="4" w:right="2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Consolidated Secured Net Leverage Ratio</w:t>
      </w:r>
      <w:r>
        <w:rPr>
          <w:rFonts w:ascii="Times New Roman" w:cs="Times New Roman" w:eastAsia="Times New Roman" w:hAnsi="Times New Roman"/>
          <w:sz w:val="17"/>
          <w:szCs w:val="17"/>
          <w:color w:val="auto"/>
        </w:rPr>
        <w:t>” means, as of any date, determined on a consolidated basis, the ratio of (a) Consolidated Funded Indebtedness (as of such date) that is secured by Liens on assets or property of the Borrower and the Subsidiaries as of such date minus the aggregate amount equal to 100% of the Unrestricted Cash and Cash Equivalents subject to control agreements (as of such date) of the Loan Parties to</w:t>
      </w:r>
    </w:p>
    <w:p>
      <w:pPr>
        <w:spacing w:after="0" w:line="2" w:lineRule="exact"/>
        <w:rPr>
          <w:sz w:val="20"/>
          <w:szCs w:val="20"/>
          <w:color w:val="auto"/>
        </w:rPr>
      </w:pPr>
    </w:p>
    <w:p>
      <w:pPr>
        <w:ind w:left="4" w:right="600" w:hanging="4"/>
        <w:spacing w:after="0" w:line="260"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(for the most recently completed four fiscal quarters of the Borrower for which financials are required to be delivered hereunder).</w:t>
      </w:r>
    </w:p>
    <w:p>
      <w:pPr>
        <w:spacing w:after="0" w:line="181"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has the meaning correlative thereto.</w:t>
      </w:r>
    </w:p>
    <w:p>
      <w:pPr>
        <w:spacing w:after="0" w:line="162"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382.2(b).</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a Borrowing.</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shall have the meaning provided in Section 8.04.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shall have the meaning provided in Section 8.04.</w:t>
      </w:r>
    </w:p>
    <w:p>
      <w:pPr>
        <w:spacing w:after="0" w:line="225"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unless cured or waived, would be an Event of Default.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39" w:name="page40"/>
    <w:bookmarkEnd w:id="39"/>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an interest rate equal to (i)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 Adjusted Term SOFR Rate Loan, the Default Rate shall be an interest rate equal to the interest rate (including any Applicable Rate) otherwise applicable to such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any Lender that (a) has failed to (i) fund all or any portion of its Loans within two</w:t>
      </w:r>
    </w:p>
    <w:p>
      <w:pPr>
        <w:spacing w:after="0" w:line="27" w:lineRule="exact"/>
        <w:rPr>
          <w:sz w:val="20"/>
          <w:szCs w:val="20"/>
          <w:color w:val="auto"/>
        </w:rPr>
      </w:pPr>
    </w:p>
    <w:p>
      <w:pPr>
        <w:ind w:left="4" w:hanging="4"/>
        <w:spacing w:after="0" w:line="265" w:lineRule="auto"/>
        <w:tabs>
          <w:tab w:leader="none" w:pos="25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1" w:lineRule="exact"/>
        <w:rPr>
          <w:rFonts w:ascii="Times New Roman" w:cs="Times New Roman" w:eastAsia="Times New Roman" w:hAnsi="Times New Roman"/>
          <w:sz w:val="17"/>
          <w:szCs w:val="17"/>
          <w:color w:val="auto"/>
        </w:rPr>
      </w:pPr>
    </w:p>
    <w:p>
      <w:pPr>
        <w:ind w:left="4" w:right="1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and the Borrower), or (d) has, or has a direct or indirect parent company that has other than via an Undisclosed Administration,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Borrower and each other Lender promptly following such determination.</w:t>
      </w:r>
    </w:p>
    <w:p>
      <w:pPr>
        <w:spacing w:after="0" w:line="19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 Control Agreement</w:t>
      </w:r>
      <w:r>
        <w:rPr>
          <w:rFonts w:ascii="Times New Roman" w:cs="Times New Roman" w:eastAsia="Times New Roman" w:hAnsi="Times New Roman"/>
          <w:sz w:val="18"/>
          <w:szCs w:val="18"/>
          <w:color w:val="auto"/>
        </w:rPr>
        <w:t>” has the meaning assigned thereto in the Security Agreement.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region or territory that is the subject of comprehensive Sanctions.</w:t>
      </w:r>
    </w:p>
    <w:p>
      <w:pPr>
        <w:spacing w:after="0" w:line="225"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xml:space="preserve">” means, with respect to any Person, any Equity Interest that by its terms (or by the terms of any security into which it is convertible or for which it is exchangeable at the option of the holder) or upon the happening of any event: (a) matures or is mandatorily redeemable (other than redeemable only for Equity Interests of such Person that are not themselves Equity Interests described in this definition) pursuant to a sinking fund obligation or otherwise; (b) is convertible or exchangeable at the option of the holder for Indebtedness or Equity Interests described in this definition (excluding Equity Interests that are convertible or exchangeable solely at the option of the Borrower or a Subsidiary); or (c) is mandatorily redeemable or must be purchased upon the occurrence of certain events or otherwise, in whole or in part; in each case, in the case of the Borrower, on or prior to the ninety-first day following the final maturity date of the then issued Term Loans, as extended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Equity Interests that would not constitute Equity Interests described in this definition but for provisions thereof giving holders thereof the right to require such Person to purchase or redeem such Equity Interests upon the occurrence of an “asset sale” or “change of control” occurring prior to the ninety-first day following the final maturity date of the then-existing Term Loans shall not constitute Disqualified Equity Interests if any such requirement only becomes operative after payment in full of all amounts owing under this Agreement and the other Loan Documents and the termination in full of the Commitments; provided, further, that in no event will the term “Disqualified Equity Interest” include the Series D Preferred Stock. The amount of any Disqualified Equity Interests that do not have a fixed redemption, repayment or repurchase price will be calculated in accordance with the terms of such Disqualified Equity Interests as if such Disqualified Equity Interests were redeemed, repaid or repurchased on any date on which the amount of such Disqualified Equity Interests is to be determined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Disqualified Equity Interests could not be required to be redeemed, repaid or repurchased at the time of such determination, the redemption, repayment or repurchase price will be the book value of such Disqualified Equity Interests as reflected in the most recent financial statements of such Person.</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Liquidity</w:t>
      </w:r>
      <w:r>
        <w:rPr>
          <w:rFonts w:ascii="Times New Roman" w:cs="Times New Roman" w:eastAsia="Times New Roman" w:hAnsi="Times New Roman"/>
          <w:sz w:val="18"/>
          <w:szCs w:val="18"/>
          <w:color w:val="auto"/>
        </w:rPr>
        <w:t>” means, as of any date of determination, the sum of (a) Unrestricted Cash and Cash Equivalents of the Borrower and its Domestic Subsidiaries and (b) the aggregate amount of ABL Revolving Credit Commitments available to be drawn by the Borrower.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any political subdivision of the United States.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1" w:name="page42"/>
    <w:bookmarkEnd w:id="41"/>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Dutch Auction</w:t>
      </w:r>
      <w:r>
        <w:rPr>
          <w:rFonts w:ascii="Times New Roman" w:cs="Times New Roman" w:eastAsia="Times New Roman" w:hAnsi="Times New Roman"/>
          <w:sz w:val="18"/>
          <w:szCs w:val="18"/>
          <w:color w:val="auto"/>
        </w:rPr>
        <w:t>” means an auction (an “</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conducted by the Borrower or one of its Subsidiaries in order to purchase Term Loans of any tranche in accordance with the following procedures or such other procedures as may be agreed to between the Auction Agent and the Borrower:</w:t>
      </w:r>
    </w:p>
    <w:p>
      <w:pPr>
        <w:spacing w:after="0" w:line="52" w:lineRule="exact"/>
        <w:rPr>
          <w:sz w:val="20"/>
          <w:szCs w:val="20"/>
          <w:color w:val="auto"/>
        </w:rPr>
      </w:pPr>
    </w:p>
    <w:p>
      <w:pPr>
        <w:ind w:left="440" w:right="100" w:firstLine="419"/>
        <w:spacing w:after="0" w:line="257" w:lineRule="auto"/>
        <w:tabs>
          <w:tab w:leader="none" w:pos="11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Procedures</w:t>
      </w:r>
      <w:r>
        <w:rPr>
          <w:rFonts w:ascii="Times New Roman" w:cs="Times New Roman" w:eastAsia="Times New Roman" w:hAnsi="Times New Roman"/>
          <w:sz w:val="18"/>
          <w:szCs w:val="18"/>
          <w:color w:val="auto"/>
        </w:rPr>
        <w:t>. In connection with any Auction, the Borrower shall provide notification to the Auction Agent (for distribution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Lenders and the Administrative Agent) of the Tranche of Term Loans that will be the subject of the Auction (an “</w:t>
      </w:r>
      <w:r>
        <w:rPr>
          <w:rFonts w:ascii="Times New Roman" w:cs="Times New Roman" w:eastAsia="Times New Roman" w:hAnsi="Times New Roman"/>
          <w:sz w:val="18"/>
          <w:szCs w:val="18"/>
          <w:u w:val="single" w:color="auto"/>
          <w:color w:val="auto"/>
        </w:rPr>
        <w:t>Auction Notice</w:t>
      </w:r>
      <w:r>
        <w:rPr>
          <w:rFonts w:ascii="Times New Roman" w:cs="Times New Roman" w:eastAsia="Times New Roman" w:hAnsi="Times New Roman"/>
          <w:sz w:val="18"/>
          <w:szCs w:val="18"/>
          <w:color w:val="auto"/>
        </w:rPr>
        <w:t>”). Each Auction Notice shall be in a form reasonably acceptable to the Auction Agent and shall specify (i) the total cash value of the bid, in a minimum amount of $5,000,000 with minimum increments of $1,000,000 in excess thereof (the “</w:t>
      </w:r>
      <w:r>
        <w:rPr>
          <w:rFonts w:ascii="Times New Roman" w:cs="Times New Roman" w:eastAsia="Times New Roman" w:hAnsi="Times New Roman"/>
          <w:sz w:val="18"/>
          <w:szCs w:val="18"/>
          <w:u w:val="single" w:color="auto"/>
          <w:color w:val="auto"/>
        </w:rPr>
        <w:t>Auction Amount</w:t>
      </w:r>
      <w:r>
        <w:rPr>
          <w:rFonts w:ascii="Times New Roman" w:cs="Times New Roman" w:eastAsia="Times New Roman" w:hAnsi="Times New Roman"/>
          <w:sz w:val="18"/>
          <w:szCs w:val="18"/>
          <w:color w:val="auto"/>
        </w:rPr>
        <w:t>”) and (ii) the discounts to par, which shall be expressed as a range of percentages (the “</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representing the range of purchase prices (expressed as discounts to par) that could be paid in the Auction for such Term Loans at issue.</w:t>
      </w:r>
    </w:p>
    <w:p>
      <w:pPr>
        <w:spacing w:after="0" w:line="74"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Reply Procedures</w:t>
      </w:r>
      <w:r>
        <w:rPr>
          <w:rFonts w:ascii="Times New Roman" w:cs="Times New Roman" w:eastAsia="Times New Roman" w:hAnsi="Times New Roman"/>
          <w:sz w:val="18"/>
          <w:szCs w:val="18"/>
          <w:color w:val="auto"/>
        </w:rPr>
        <w:t>. In connection with any Auction, each applicable Lender may, in its sole discretion, participate in such Auction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the Auction Agent with a notice of participation (the “</w:t>
      </w:r>
      <w:r>
        <w:rPr>
          <w:rFonts w:ascii="Times New Roman" w:cs="Times New Roman" w:eastAsia="Times New Roman" w:hAnsi="Times New Roman"/>
          <w:sz w:val="18"/>
          <w:szCs w:val="18"/>
          <w:u w:val="single" w:color="auto"/>
          <w:color w:val="auto"/>
        </w:rPr>
        <w:t>Return Bid</w:t>
      </w:r>
      <w:r>
        <w:rPr>
          <w:rFonts w:ascii="Times New Roman" w:cs="Times New Roman" w:eastAsia="Times New Roman" w:hAnsi="Times New Roman"/>
          <w:sz w:val="18"/>
          <w:szCs w:val="18"/>
          <w:color w:val="auto"/>
        </w:rPr>
        <w:t>”) which shall be in a form reasonably acceptable to the Auction Agent and shall specify (i) a discount to par (such discount being the “</w:t>
      </w:r>
      <w:r>
        <w:rPr>
          <w:rFonts w:ascii="Times New Roman" w:cs="Times New Roman" w:eastAsia="Times New Roman" w:hAnsi="Times New Roman"/>
          <w:sz w:val="18"/>
          <w:szCs w:val="18"/>
          <w:u w:val="single" w:color="auto"/>
          <w:color w:val="auto"/>
        </w:rPr>
        <w:t>Reply Discount</w:t>
      </w:r>
      <w:r>
        <w:rPr>
          <w:rFonts w:ascii="Times New Roman" w:cs="Times New Roman" w:eastAsia="Times New Roman" w:hAnsi="Times New Roman"/>
          <w:sz w:val="18"/>
          <w:szCs w:val="18"/>
          <w:color w:val="auto"/>
        </w:rPr>
        <w:t>”) that must be expressed as a price, which must be within the Discount Range, and (ii) a principal amount of the applicable Term Loans such Lender is willing to sell, which must be in increments of $1,000,000 or in an amount equal to such Lender’s entire remaining amount of the applicable Term Loans (the “</w:t>
      </w:r>
      <w:r>
        <w:rPr>
          <w:rFonts w:ascii="Times New Roman" w:cs="Times New Roman" w:eastAsia="Times New Roman" w:hAnsi="Times New Roman"/>
          <w:sz w:val="18"/>
          <w:szCs w:val="18"/>
          <w:u w:val="single" w:color="auto"/>
          <w:color w:val="auto"/>
        </w:rPr>
        <w:t>Reply Amount</w:t>
      </w:r>
      <w:r>
        <w:rPr>
          <w:rFonts w:ascii="Times New Roman" w:cs="Times New Roman" w:eastAsia="Times New Roman" w:hAnsi="Times New Roman"/>
          <w:sz w:val="18"/>
          <w:szCs w:val="18"/>
          <w:color w:val="auto"/>
        </w:rPr>
        <w:t>”). Lenders may only submit one Return Bid per Auction. In addition to the Return Bid, each Lender wishing to participate in such Auction must execute and deliver, to be held in escrow by the Auction Agent, an assignment and acceptance agreement in a form reasonably acceptable to the Auction Agent (and shall authorize the Auction Agent to adjust the same to reflect any ratable treatment required by clause (c) below).</w:t>
      </w:r>
    </w:p>
    <w:p>
      <w:pPr>
        <w:spacing w:after="0" w:line="76" w:lineRule="exact"/>
        <w:rPr>
          <w:rFonts w:ascii="Times New Roman" w:cs="Times New Roman" w:eastAsia="Times New Roman" w:hAnsi="Times New Roman"/>
          <w:sz w:val="18"/>
          <w:szCs w:val="18"/>
          <w:color w:val="auto"/>
        </w:rPr>
      </w:pPr>
    </w:p>
    <w:p>
      <w:pPr>
        <w:ind w:left="440" w:firstLine="419"/>
        <w:spacing w:after="0" w:line="270" w:lineRule="auto"/>
        <w:tabs>
          <w:tab w:leader="none" w:pos="110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Acceptance Procedures</w:t>
      </w:r>
      <w:r>
        <w:rPr>
          <w:rFonts w:ascii="Times New Roman" w:cs="Times New Roman" w:eastAsia="Times New Roman" w:hAnsi="Times New Roman"/>
          <w:sz w:val="17"/>
          <w:szCs w:val="17"/>
          <w:color w:val="auto"/>
        </w:rPr>
        <w:t>. Based on the Reply Discounts and Reply Amounts received by the Auction Agent, the Auction Agent,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consultation with the Borrower, will determine the applicable discount with respect to all Term Loans (the “</w:t>
      </w:r>
      <w:r>
        <w:rPr>
          <w:rFonts w:ascii="Times New Roman" w:cs="Times New Roman" w:eastAsia="Times New Roman" w:hAnsi="Times New Roman"/>
          <w:sz w:val="17"/>
          <w:szCs w:val="17"/>
          <w:u w:val="single" w:color="auto"/>
          <w:color w:val="auto"/>
        </w:rPr>
        <w:t>Applicable Discount</w:t>
      </w:r>
      <w:r>
        <w:rPr>
          <w:rFonts w:ascii="Times New Roman" w:cs="Times New Roman" w:eastAsia="Times New Roman" w:hAnsi="Times New Roman"/>
          <w:sz w:val="17"/>
          <w:szCs w:val="17"/>
          <w:color w:val="auto"/>
        </w:rPr>
        <w:t xml:space="preserve">”) for the Auction, which shall be the highest Reply Discount for which the Borrower or its Subsidiary, as applicable, can complete the Auction at the Auction Amount;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that the Reply Amounts are insufficient to allow the Borrower or its Subsidiary, as applicable, to complete a purchase of the entire Auction Amount (any such Auction, a “</w:t>
      </w:r>
      <w:r>
        <w:rPr>
          <w:rFonts w:ascii="Times New Roman" w:cs="Times New Roman" w:eastAsia="Times New Roman" w:hAnsi="Times New Roman"/>
          <w:sz w:val="17"/>
          <w:szCs w:val="17"/>
          <w:u w:val="single" w:color="auto"/>
          <w:color w:val="auto"/>
        </w:rPr>
        <w:t>Failed Auction</w:t>
      </w:r>
      <w:r>
        <w:rPr>
          <w:rFonts w:ascii="Times New Roman" w:cs="Times New Roman" w:eastAsia="Times New Roman" w:hAnsi="Times New Roman"/>
          <w:sz w:val="17"/>
          <w:szCs w:val="17"/>
          <w:color w:val="auto"/>
        </w:rPr>
        <w:t>”), the Borrower or such Subsidiary shall either, at its election,</w:t>
      </w:r>
    </w:p>
    <w:p>
      <w:pPr>
        <w:ind w:left="440" w:right="100" w:hanging="4"/>
        <w:spacing w:after="0" w:line="25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the Auction or (ii) complete the Auction at an Applicable Discount equal to the lowest Reply Discount. The Borrower or its Subsidiary, as applicable, shall purchase the applicable Term Loans (or the respective portions thereof) from each applicable Lender with a Reply Discount that is equal to or greater than the Applicable Discount (“</w:t>
      </w:r>
      <w:r>
        <w:rPr>
          <w:rFonts w:ascii="Times New Roman" w:cs="Times New Roman" w:eastAsia="Times New Roman" w:hAnsi="Times New Roman"/>
          <w:sz w:val="18"/>
          <w:szCs w:val="18"/>
          <w:u w:val="single" w:color="auto"/>
          <w:color w:val="auto"/>
        </w:rPr>
        <w:t>Qualifying Bids</w:t>
      </w:r>
      <w:r>
        <w:rPr>
          <w:rFonts w:ascii="Times New Roman" w:cs="Times New Roman" w:eastAsia="Times New Roman" w:hAnsi="Times New Roman"/>
          <w:sz w:val="18"/>
          <w:szCs w:val="18"/>
          <w:color w:val="auto"/>
        </w:rPr>
        <w:t xml:space="preserve">”) at the Applicable Discount;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aggregate proceeds required to purchase all applicable Term Loans subject to Qualifying Bids would exceed the Auction Amount for such Auction, the Borrower or its Subsidiary, as applicable, shall purchase such Term Loans at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2" w:name="page43"/>
    <w:bookmarkEnd w:id="42"/>
    <w:p>
      <w:pPr>
        <w:ind w:left="444" w:right="1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Discount ratably based on the principal amounts of such Qualifying Bids (subject to adjustment for rounding as specified by the Auction Agent). Each participating Lender will receive notice of a Qualifying Bid as soon as reasonably practicable but in no case later than five</w:t>
      </w:r>
    </w:p>
    <w:p>
      <w:pPr>
        <w:spacing w:after="0" w:line="1" w:lineRule="exact"/>
        <w:rPr>
          <w:sz w:val="20"/>
          <w:szCs w:val="20"/>
          <w:color w:val="auto"/>
        </w:rPr>
      </w:pPr>
    </w:p>
    <w:p>
      <w:pPr>
        <w:ind w:left="704" w:hanging="264"/>
        <w:spacing w:after="0"/>
        <w:tabs>
          <w:tab w:leader="none" w:pos="7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from the date the Return Bid was due.</w:t>
      </w:r>
    </w:p>
    <w:p>
      <w:pPr>
        <w:spacing w:after="0" w:line="96" w:lineRule="exact"/>
        <w:rPr>
          <w:rFonts w:ascii="Times New Roman" w:cs="Times New Roman" w:eastAsia="Times New Roman" w:hAnsi="Times New Roman"/>
          <w:sz w:val="18"/>
          <w:szCs w:val="18"/>
          <w:color w:val="auto"/>
        </w:rPr>
      </w:pPr>
    </w:p>
    <w:p>
      <w:pPr>
        <w:jc w:val="both"/>
        <w:ind w:left="444" w:right="40" w:firstLine="419"/>
        <w:spacing w:after="0" w:line="267" w:lineRule="auto"/>
        <w:tabs>
          <w:tab w:leader="none" w:pos="112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Procedures</w:t>
      </w:r>
      <w:r>
        <w:rPr>
          <w:rFonts w:ascii="Times New Roman" w:cs="Times New Roman" w:eastAsia="Times New Roman" w:hAnsi="Times New Roman"/>
          <w:sz w:val="18"/>
          <w:szCs w:val="18"/>
          <w:color w:val="auto"/>
        </w:rPr>
        <w:t>. Once initiated by an Auction Notice, the Borrower or its Subsidiary, as applicable, may not withdraw an Auction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a Failed Auction. Furthermore, in connection with any Auction, upon submission by a Lender of a Qualifying Bid, such Lender will be obligated to sell the entirety or its allocable portion of the Reply Amount, as the case may be, at the Applicable Discount.</w:t>
      </w:r>
    </w:p>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Percentage</w:t>
      </w:r>
      <w:r>
        <w:rPr>
          <w:rFonts w:ascii="Times New Roman" w:cs="Times New Roman" w:eastAsia="Times New Roman" w:hAnsi="Times New Roman"/>
          <w:sz w:val="18"/>
          <w:szCs w:val="18"/>
          <w:color w:val="auto"/>
        </w:rPr>
        <w:t>” means, for any fiscal year ending on or after December 31, 2021:</w:t>
      </w:r>
    </w:p>
    <w:p>
      <w:pPr>
        <w:spacing w:after="0" w:line="117" w:lineRule="exact"/>
        <w:rPr>
          <w:sz w:val="20"/>
          <w:szCs w:val="20"/>
          <w:color w:val="auto"/>
        </w:rPr>
      </w:pPr>
    </w:p>
    <w:p>
      <w:pPr>
        <w:ind w:left="1104" w:hanging="241"/>
        <w:spacing w:after="0"/>
        <w:tabs>
          <w:tab w:leader="none" w:pos="11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if the Consolidated Net Leverage Ratio as of the last day of such fiscal year is greater than 3.00 to 1.00;</w:t>
      </w:r>
    </w:p>
    <w:p>
      <w:pPr>
        <w:spacing w:after="0" w:line="117" w:lineRule="exact"/>
        <w:rPr>
          <w:rFonts w:ascii="Times New Roman" w:cs="Times New Roman" w:eastAsia="Times New Roman" w:hAnsi="Times New Roman"/>
          <w:sz w:val="18"/>
          <w:szCs w:val="18"/>
          <w:color w:val="auto"/>
        </w:rPr>
      </w:pPr>
    </w:p>
    <w:p>
      <w:pPr>
        <w:ind w:left="444" w:right="320" w:firstLine="419"/>
        <w:spacing w:after="0" w:line="282" w:lineRule="auto"/>
        <w:tabs>
          <w:tab w:leader="none" w:pos="11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if the Consolidated Net Leverage Ratio as of the last day of such fiscal year is equal to or less than 3.00 to 1.00 but greater than 2.00 to 1.00; and</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if the Consolidated Net Leverage Ratio as of the last day of such fiscal year is equal to or less than 2.00 to 1.00.</w:t>
      </w:r>
    </w:p>
    <w:p>
      <w:pPr>
        <w:spacing w:after="0" w:line="225" w:lineRule="exact"/>
        <w:rPr>
          <w:sz w:val="20"/>
          <w:szCs w:val="20"/>
          <w:color w:val="auto"/>
        </w:rPr>
      </w:pPr>
    </w:p>
    <w:p>
      <w:pPr>
        <w:ind w:left="4" w:right="10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Financial Institution</w:t>
      </w:r>
      <w:r>
        <w:rPr>
          <w:rFonts w:ascii="Times New Roman" w:cs="Times New Roman" w:eastAsia="Times New Roman" w:hAnsi="Times New Roman"/>
          <w:sz w:val="17"/>
          <w:szCs w:val="17"/>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w:t>
      </w:r>
    </w:p>
    <w:p>
      <w:pPr>
        <w:spacing w:after="0" w:line="1" w:lineRule="exact"/>
        <w:rPr>
          <w:sz w:val="20"/>
          <w:szCs w:val="20"/>
          <w:color w:val="auto"/>
        </w:rPr>
      </w:pPr>
    </w:p>
    <w:p>
      <w:pPr>
        <w:ind w:left="244" w:hanging="244"/>
        <w:spacing w:after="0"/>
        <w:tabs>
          <w:tab w:leader="none" w:pos="2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definition, or (c) any financial institution established in an EEA Member Country that is a subsidiary of an institution described in </w:t>
      </w:r>
      <w:r>
        <w:rPr>
          <w:rFonts w:ascii="Times New Roman" w:cs="Times New Roman" w:eastAsia="Times New Roman" w:hAnsi="Times New Roman"/>
          <w:sz w:val="18"/>
          <w:szCs w:val="18"/>
          <w:u w:val="single" w:color="auto"/>
          <w:color w:val="auto"/>
        </w:rPr>
        <w:t>clause</w:t>
      </w:r>
    </w:p>
    <w:p>
      <w:pPr>
        <w:spacing w:after="0" w:line="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means ambient air, indoor air, surface water, groundwater, drinking water, soil, surface and subsurface strata, and natural resources such as wetland, flora and fauna.</w:t>
      </w:r>
    </w:p>
    <w:p>
      <w:pPr>
        <w:spacing w:after="0" w:line="162"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43" w:name="page44"/>
    <w:bookmarkEnd w:id="43"/>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Permit</w:t>
      </w:r>
      <w:r>
        <w:rPr>
          <w:rFonts w:ascii="Times New Roman" w:cs="Times New Roman" w:eastAsia="Times New Roman" w:hAnsi="Times New Roman"/>
          <w:sz w:val="17"/>
          <w:szCs w:val="17"/>
          <w:color w:val="auto"/>
        </w:rPr>
        <w:t>” means any permit, approval, identification number, license or other authorization required under any Environmental Law.</w:t>
      </w:r>
    </w:p>
    <w:p>
      <w:pPr>
        <w:spacing w:after="0" w:line="23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Section 4001(14) of ERISA 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solely for purposes of Section 302 of ERISA and Section 412 of the Code, is treated as a single employer under Section 414 of the Code.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insolvency; (d) the filing of a notice of intent to terminate or the treatment of a Pension Plan amendment as a termination under Section 4041 or 4041A of ERISA; (e) the institution by the PBGC of proceedings to terminate a Pension Plan; (f) any event or condition that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44" w:name="page45"/>
    <w:bookmarkEnd w:id="44"/>
    <w:p>
      <w:pPr>
        <w:jc w:val="both"/>
        <w:ind w:left="4" w:right="1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Code or Sections 303, 304 and 305 of ERISA; (h) the imposition of any liability under Title IV of ERISA, other than for PBGC premiums due but not delinquent under Section 4007 of ERISA, upon the Borrower or any ERISA Affiliate;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 or (j) any event similar to the events set forth in </w:t>
      </w:r>
      <w:r>
        <w:rPr>
          <w:rFonts w:ascii="Times New Roman" w:cs="Times New Roman" w:eastAsia="Times New Roman" w:hAnsi="Times New Roman"/>
          <w:sz w:val="17"/>
          <w:szCs w:val="17"/>
          <w:u w:val="single" w:color="auto"/>
          <w:color w:val="auto"/>
        </w:rPr>
        <w:t>subsections (a)</w:t>
      </w:r>
      <w:r>
        <w:rPr>
          <w:rFonts w:ascii="Times New Roman" w:cs="Times New Roman" w:eastAsia="Times New Roman" w:hAnsi="Times New Roman"/>
          <w:sz w:val="17"/>
          <w:szCs w:val="17"/>
          <w:color w:val="auto"/>
        </w:rPr>
        <w:t xml:space="preserve"> through</w:t>
      </w:r>
    </w:p>
    <w:p>
      <w:pPr>
        <w:spacing w:after="0" w:line="3" w:lineRule="exact"/>
        <w:rPr>
          <w:sz w:val="20"/>
          <w:szCs w:val="20"/>
          <w:color w:val="auto"/>
        </w:rPr>
      </w:pPr>
    </w:p>
    <w:p>
      <w:pPr>
        <w:ind w:left="224" w:hanging="224"/>
        <w:spacing w:after="0"/>
        <w:tabs>
          <w:tab w:leader="none" w:pos="224"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with respect to a Foreign Pension Plan.</w:t>
      </w:r>
    </w:p>
    <w:p>
      <w:pPr>
        <w:spacing w:after="0" w:line="207"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Excess Cash Flow</w:t>
      </w:r>
      <w:r>
        <w:rPr>
          <w:rFonts w:ascii="Times New Roman" w:cs="Times New Roman" w:eastAsia="Times New Roman" w:hAnsi="Times New Roman"/>
          <w:sz w:val="17"/>
          <w:szCs w:val="17"/>
          <w:color w:val="auto"/>
        </w:rPr>
        <w:t xml:space="preserve">” means, for any fiscal year of the Borrower, the excess (if any) of (a) Consolidated EBITDA for such fiscal year (determined without giving effect to </w:t>
      </w:r>
      <w:r>
        <w:rPr>
          <w:rFonts w:ascii="Times New Roman" w:cs="Times New Roman" w:eastAsia="Times New Roman" w:hAnsi="Times New Roman"/>
          <w:sz w:val="17"/>
          <w:szCs w:val="17"/>
          <w:u w:val="single" w:color="auto"/>
          <w:color w:val="auto"/>
        </w:rPr>
        <w:t>clause (a)(viii)</w:t>
      </w:r>
      <w:r>
        <w:rPr>
          <w:rFonts w:ascii="Times New Roman" w:cs="Times New Roman" w:eastAsia="Times New Roman" w:hAnsi="Times New Roman"/>
          <w:sz w:val="17"/>
          <w:szCs w:val="17"/>
          <w:color w:val="auto"/>
        </w:rPr>
        <w:t xml:space="preserve"> thereof and any adjustments thereto pursuant to </w:t>
      </w:r>
      <w:r>
        <w:rPr>
          <w:rFonts w:ascii="Times New Roman" w:cs="Times New Roman" w:eastAsia="Times New Roman" w:hAnsi="Times New Roman"/>
          <w:sz w:val="17"/>
          <w:szCs w:val="17"/>
          <w:u w:val="single" w:color="auto"/>
          <w:color w:val="auto"/>
        </w:rPr>
        <w:t>Section 1.03(c)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over</w:t>
      </w:r>
      <w:r>
        <w:rPr>
          <w:rFonts w:ascii="Times New Roman" w:cs="Times New Roman" w:eastAsia="Times New Roman" w:hAnsi="Times New Roman"/>
          <w:sz w:val="17"/>
          <w:szCs w:val="17"/>
          <w:color w:val="auto"/>
        </w:rPr>
        <w:t xml:space="preserve"> (b) the sum (for such fiscal year) of</w:t>
      </w:r>
    </w:p>
    <w:p>
      <w:pPr>
        <w:spacing w:after="0" w:line="1" w:lineRule="exact"/>
        <w:rPr>
          <w:sz w:val="20"/>
          <w:szCs w:val="20"/>
          <w:color w:val="auto"/>
        </w:rPr>
      </w:pPr>
    </w:p>
    <w:p>
      <w:pPr>
        <w:ind w:left="4" w:right="120" w:hanging="4"/>
        <w:spacing w:after="0" w:line="251" w:lineRule="auto"/>
        <w:tabs>
          <w:tab w:leader="none" w:pos="2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Interest Expense actually paid in cash by the Borrower and its Subsidiaries, (ii) scheduled principal repayments, to the extent actually made in cash, of the Term Loans pursuant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(iii) all Consolidated Income Tax Expense actually paid in cash by the Borrower and its Subsidiaries, (iv) Capital Expenditures actually made by the Borrower and its Subsidiaries in cash, (v) Transaction Costs actually paid by the Borrower and its Subsidiaries in cash (vi) Settlement Costs actually paid by the Borrower and its Subsidiaries in cash, (vi) purchase price adjustment (including reasonable fees and expenses related thereto) in connection with the sale of Borrower’s Life Sciences division actually paid in cash and (vii) tax payments and customary transactions costs and expenses related to the issuance of the Series B preferred Equity Interests paid in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such payment was not made with proceeds of any Indebtedness, Disposition, equity issuance, Extraordinary Receipts or other proceeds that would not be included in calculating Consolidated EBITDA for the applicable fiscal year.</w:t>
      </w:r>
    </w:p>
    <w:p>
      <w:pPr>
        <w:spacing w:after="0" w:line="194"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Assets</w:t>
      </w:r>
      <w:r>
        <w:rPr>
          <w:rFonts w:ascii="Times New Roman" w:cs="Times New Roman" w:eastAsia="Times New Roman" w:hAnsi="Times New Roman"/>
          <w:sz w:val="17"/>
          <w:szCs w:val="17"/>
          <w:color w:val="auto"/>
        </w:rPr>
        <w:t>” means (i) any property to the extent that the grant of a security interest therein would violate applicable laws, require a consent not obtained of any Governmental Authority, or constitute a breach of or default under, or result in the termination of or require a consent not obtained under, any contract, lease, license or other agreement evidencing or giving rise to such property, or result in the invalidation thereof or provide any party thereto with a right of termination (other than to the extent that any such term would be rendered ineffective pursuant to Section 9-406, 9-407, 9-408 or</w:t>
      </w:r>
    </w:p>
    <w:p>
      <w:pPr>
        <w:spacing w:after="0" w:line="3"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9-409 of the applicable UCC or any other applicable Law or principles of equity), except in each case with respect to any such contract, lease, license or other agreement evidencing or giving rise to such property, the provision resulting in such prohibition, breach, default, right of termination or consent was entered into in contemplation thereof or for the purposes of circumventing the requirements of the Loan Documents (ii) any permit, license, contract or lease to the extent that (and in each case only for so long as) such grant of a security interest is prohibited by any anti-assignment provision therein or the anti-assignment provisions of the UCC (other than proceeds and receivables thereof, the assignment of which is expressly deemed effective under the UCC notwithstanding such prohibition) or any applicable laws or is prohibited by, or constitutes a breach or default under or results in the termination of or gives rise to a right on the part of the parties thereto other than the Loan Parties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45" w:name="page46"/>
    <w:bookmarkEnd w:id="45"/>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their Subsidiaries to terminate such permit, license, contract or lease (or requires the consent of any party thereto other than the Loan Parties and their Subsidiaries), except in each case to the extent that (x) with respect to any such contract or lease, the provision resulting in such prohibition, breach, default, right of termination or consent was entered into in contemplation thereof or for the purposes of circumventing the requirements of the Loan Documents and (y) such anti-assignment provisions or such laws or the term in such permit, license, contract or lease providing for such prohibition, breach, default, right of termination or consent are ineffective or rendered unenforceable under the applicable anti-assignment provisions of the UCC, (iii) any property owned by a Loan Party on the date hereof or hereafter acquired that is subject to a Lien securing a purchase money or capital or finance lease obligation permitted to be incurred hereunder if (and in each case only for so long as) the contract or other agreement in which such Lien is granted (or the documentation providing for such purchase money, project financing or capital or finance lease obligation) prohibits the creation of any other Lien on such property or would give rise to a right to termination with respect thereto except to the extent that the term in such contract or other agreement providing for such prohibition is ineffective or rendered unenforceable under the applicable anti-assignment provisions of the UCC other than proceeds and receivables thereof, the assignment of which is expressly deemed effective under the UCC notwithstanding such prohibition,</w:t>
      </w:r>
    </w:p>
    <w:p>
      <w:pPr>
        <w:spacing w:after="0" w:line="2" w:lineRule="exact"/>
        <w:rPr>
          <w:sz w:val="20"/>
          <w:szCs w:val="20"/>
          <w:color w:val="auto"/>
        </w:rPr>
      </w:pPr>
    </w:p>
    <w:p>
      <w:pPr>
        <w:ind w:left="4" w:right="20" w:hanging="4"/>
        <w:spacing w:after="0" w:line="250" w:lineRule="auto"/>
        <w:tabs>
          <w:tab w:leader="none" w:pos="3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solely with respect to each first-tier Foreign Subsidiary that is a CFC and each Foreign Subsidiary Holding Company, voting equity securities in excess of 65% of the voting equity securities thereof and (B) any equity interests of a Subsidiary that is owned by a Subsidiary that is a CFC or a Foreign Subsidiary Holding Company, (v) any Trust Account, (vi) any intent-to-use United States trademark applications for which an amendment to allege use or statement of use has not been filed under 15 U.S.C. § 1051(c) or 15 U.S.C. § 1051(d), respectively, or if filed, has not been deemed in conformance with 15 U.S.C. § 1051(a) or examined and accepted, respectively, by the United States Patent and Trademark Office solely to the extent and during the period, if any, that, the grant of such security interest would impair the validity or enforceability of such intent-to-use United States trademark application under applicable federal law; provided, that, upon such filing and acceptance, such intent-to-use applications shall be included as Collateral, (vii) all assets of Foreign Subsidiaries, (viii) all leasehold real property, (ix) fee owned real property that does not constitute Material Real Property (other than any Mortgaged Property), (x) interests in partnerships, joint ventures and non-wholly owned subsidiaries, (xi) margin stock,</w:t>
      </w:r>
    </w:p>
    <w:p>
      <w:pPr>
        <w:spacing w:after="0" w:line="3" w:lineRule="exact"/>
        <w:rPr>
          <w:rFonts w:ascii="Times New Roman" w:cs="Times New Roman" w:eastAsia="Times New Roman" w:hAnsi="Times New Roman"/>
          <w:sz w:val="18"/>
          <w:szCs w:val="18"/>
          <w:color w:val="auto"/>
        </w:rPr>
      </w:pPr>
    </w:p>
    <w:p>
      <w:pPr>
        <w:ind w:left="4" w:right="60" w:hanging="4"/>
        <w:spacing w:after="0" w:line="251" w:lineRule="auto"/>
        <w:tabs>
          <w:tab w:leader="none" w:pos="3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security interests to the extent the same would result in adverse tax consequences (including as a result of any law or regulation in any applicable jurisdiction similar to Section 956 of the Internal Revenue Code) (in each case,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as reasonably determined by the Borrower and Required Lenders, and (xiii) those assets as to which the Borrower and the Required Lenders reasonably agree that the cost of obtaining such a security interest or perfection thereof are excessive in relation to the benefit to the Lenders of the security to be afforded thereby (including, for the avoidance of doubt, motor vehicles and other assets subject to certificates of title); provided, further, that, notwithstanding the foregoing, a security interest shall be, and is hereby, granted in (A) any property immediately upon such property ceasing to be an Excluded Asset and (B) any and all proceeds, products, substitutions and replacements of Excluded Assets to the extent such proceeds, products, substitutions and replacements do not themselves constitute Excluded Assets; provided, however, if any Excluded Asset does not constitute an Excluded Asset (as defined in the ABL Credit Agreement), it shall not constitute an Excluded Asset hereunder.</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46" w:name="page47"/>
    <w:bookmarkEnd w:id="46"/>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Deposit Accounts</w:t>
      </w:r>
      <w:r>
        <w:rPr>
          <w:rFonts w:ascii="Times New Roman" w:cs="Times New Roman" w:eastAsia="Times New Roman" w:hAnsi="Times New Roman"/>
          <w:sz w:val="18"/>
          <w:szCs w:val="18"/>
          <w:color w:val="auto"/>
        </w:rPr>
        <w:t>” means any Deposit Account of a Loan Party (and all cash, Cash Equivalents and other securities or investments credited thereto or deposited therein) (a) that is a Trust Account, (b) that does not have an individual ending balance in excess of $100,000 or in the aggregate with each other account described in this clause (b), in excess of $500,000, or (c) to the extent that it is cash collateral for letters of credit to the extent permitted hereunder.</w:t>
      </w:r>
    </w:p>
    <w:p>
      <w:pPr>
        <w:spacing w:after="0" w:line="180" w:lineRule="exact"/>
        <w:rPr>
          <w:sz w:val="20"/>
          <w:szCs w:val="20"/>
          <w:color w:val="auto"/>
        </w:rPr>
      </w:pPr>
    </w:p>
    <w:p>
      <w:pPr>
        <w:ind w:right="1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Subsidiaries</w:t>
      </w:r>
      <w:r>
        <w:rPr>
          <w:rFonts w:ascii="Times New Roman" w:cs="Times New Roman" w:eastAsia="Times New Roman" w:hAnsi="Times New Roman"/>
          <w:sz w:val="18"/>
          <w:szCs w:val="18"/>
          <w:color w:val="auto"/>
        </w:rPr>
        <w:t xml:space="preserve">” means (i) any Subsidiary to the extent a Guaranty by such Subsidiary would be prohibited or restricted by law, rule or regulation, or by any restriction in any contract or constituent document existing on the Closing Date or at the time such Subsidiary becomes a Subsidiary (including any requirement to obtain the consent of any Governmental Authority or third party) solely to the extent that such prohibition or restriction was not entered into in contemplation of its financing arrangements or for the purpose of circumventing the requirements of the Loan Documents, (ii) any Subsidiary that is a Foreign Subsidiary or a Foreign Subsidiary Holding Company, (iii) any direct or indirect Subsidiary of any Foreign Subsidiary or any Foreign Subsidiary Holding Company set forth in clause (ii), (iv) any Subsidiary that is an Immaterial Subsidiary, (v) any Subsidiary where the Required Lenders and the Borrower reasonably determine that would reasonably be expected to result in adverse tax, accounting or regulatory consequences (in each case,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(vi) (h) special purpose entities (including, without limitation, entities formed for the purpose of (i) securitization facilities and (ii) purchasing, improving or financing real estate), (vii) not-for- profit subsidiaries, if any, and (vii) captive insurance companies, if any.</w:t>
      </w:r>
    </w:p>
    <w:p>
      <w:pPr>
        <w:spacing w:after="0" w:line="194"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3.01(a)(ii)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amounts with respect to such Taxes were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7" w:name="page48"/>
    <w:bookmarkEnd w:id="47"/>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and (d) any U.S. Federal withholding Taxes imposed under FATCA.</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Second Amended and Restated Credit Agreement, dated as of December 19, 2019 (as amended prior to the Closing Date), by and between (i) the Borrower, (ii) the guarantors from time to time party thereto, (iii) the lenders from time to time party thereto and (iv) Truist Bank, as successor by merger to SunTrust Bank, as administrative agent and collateral agent.</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 Indebtedness</w:t>
      </w:r>
      <w:r>
        <w:rPr>
          <w:rFonts w:ascii="Times New Roman" w:cs="Times New Roman" w:eastAsia="Times New Roman" w:hAnsi="Times New Roman"/>
          <w:sz w:val="18"/>
          <w:szCs w:val="18"/>
          <w:color w:val="auto"/>
        </w:rPr>
        <w:t>” means all Indebtedness evidenced by the Existing Credit Agreement and the other loan documents thereunder.</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Indebtedness</w:t>
      </w:r>
      <w:r>
        <w:rPr>
          <w:rFonts w:ascii="Times New Roman" w:cs="Times New Roman" w:eastAsia="Times New Roman" w:hAnsi="Times New Roman"/>
          <w:sz w:val="18"/>
          <w:szCs w:val="18"/>
          <w:color w:val="auto"/>
        </w:rPr>
        <w:t xml:space="preserve">” means all existing Indebtedness of the Borrower and its Subsidiaries, including, without limitation, the Existing Credit Agreement Indebtedness but excluding Indebtedness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Extraordinary Receipt</w:t>
      </w:r>
      <w:r>
        <w:rPr>
          <w:rFonts w:ascii="Times New Roman" w:cs="Times New Roman" w:eastAsia="Times New Roman" w:hAnsi="Times New Roman"/>
          <w:sz w:val="18"/>
          <w:szCs w:val="18"/>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Term Facility.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the rate per annum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letter agreement, dated February 19, 2021, among the Borrower and Oaktree.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any of the following officers: chief executive officer, president, chief financial officer, chief administrative officer, treasurer or controller. Unless otherwise qualified, all references to a Financial Officer in this Agreement shall refer to a Financial Officer of the Borrower.</w:t>
      </w:r>
    </w:p>
    <w:p>
      <w:pPr>
        <w:spacing w:after="0" w:line="176"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financing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Disposition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2.05(b)(viii)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Excess Cash Flow</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2.05(b)(viii)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 For purposes of this definition, the United States, each State thereof and the District of Columbia shall be deemed to constitute a single jurisdiction.</w:t>
      </w:r>
    </w:p>
    <w:p>
      <w:pPr>
        <w:spacing w:after="0" w:line="162"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Pension Plan</w:t>
      </w:r>
      <w:r>
        <w:rPr>
          <w:rFonts w:ascii="Times New Roman" w:cs="Times New Roman" w:eastAsia="Times New Roman" w:hAnsi="Times New Roman"/>
          <w:sz w:val="17"/>
          <w:szCs w:val="17"/>
          <w:color w:val="auto"/>
        </w:rPr>
        <w:t>” means a pension plan required to be registered under the law of a jurisdiction other than the United States (or a state or local government thereof), that is maintained or contributed to by the Borrower or any of its Subsidiaries for their employees or former employees.</w:t>
      </w:r>
    </w:p>
    <w:p>
      <w:pPr>
        <w:spacing w:after="0" w:line="14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organized under the laws of any political subdivision other than any political subdivision of the United States.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any Subsidiary of the Borrower all of the assets of which constitute the Equity Interests and/or Indebtedness of one or more CFCs and other Foreign Subsidiary Holding Companies.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49" w:name="page50"/>
    <w:bookmarkEnd w:id="49"/>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means, as to any Person, (a)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17"/>
          <w:szCs w:val="17"/>
          <w:u w:val="single" w:color="auto"/>
          <w:color w:val="auto"/>
        </w:rPr>
        <w:t>Primary Obligor</w:t>
      </w:r>
      <w:r>
        <w:rPr>
          <w:rFonts w:ascii="Times New Roman" w:cs="Times New Roman" w:eastAsia="Times New Roman" w:hAnsi="Times New Roman"/>
          <w:sz w:val="17"/>
          <w:szCs w:val="17"/>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ind w:left="4" w:right="100" w:hanging="4"/>
        <w:spacing w:after="0" w:line="252"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as a verb has a corresponding meaning.</w:t>
      </w:r>
    </w:p>
    <w:p>
      <w:pPr>
        <w:spacing w:after="0" w:line="19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collectively, the Domestic Subsidiaries of the Borrower (other than Immaterial Subsidiaries) listed on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xml:space="preserve"> as of the Amendment No. 1 Effective Date and each other Domestic Subsidiary of the Borrower that shall be required to execute and deliver a Guaranty or guaranty supplement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50" w:name="page51"/>
    <w:bookmarkEnd w:id="50"/>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collectively, the Guaranty made by the Guarantors in favor of the Secured Parties, together with each other guaranty and guaranty supplement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in each case, regulated pursuant to any Environmental Law.</w:t>
      </w:r>
    </w:p>
    <w:p>
      <w:pPr>
        <w:spacing w:after="0" w:line="180"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international accounting standards within the meaning of IAS Regulation 1606/2002 to the extent applicable to the relevant financial statements delivered under or referred to herein.</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any Subsidiary of the Borrower that, (a) together with all other such Subsidiaries in the aggregate, (i) contributed less than 5% of the Consolidated EBITDA of the Borrower and its Subsidiaries, taken as a whole, during the most recently-ended four fiscal quarter period (taken as a single period) and (ii) as of any applicable date of determination has assets that constitute less than 5% aggregate net book value of the assets of the Borrower and its Subsidiaries, taken as a whole,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(d) does not own any other Subsidiaries (other than Immaterial Subsidiaries) and (e) has not been designated to be a Loan Party pursuant to </w:t>
      </w:r>
      <w:r>
        <w:rPr>
          <w:rFonts w:ascii="Times New Roman" w:cs="Times New Roman" w:eastAsia="Times New Roman" w:hAnsi="Times New Roman"/>
          <w:sz w:val="18"/>
          <w:szCs w:val="18"/>
          <w:u w:val="single" w:color="auto"/>
          <w:color w:val="auto"/>
        </w:rPr>
        <w:t>Section 6.12(g)</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Arranger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Closing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Lenders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 Request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Commitments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Increase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54" w:lineRule="exact"/>
        <w:rPr>
          <w:sz w:val="20"/>
          <w:szCs w:val="20"/>
          <w:color w:val="auto"/>
        </w:rPr>
      </w:pPr>
    </w:p>
    <w:p>
      <w:pPr>
        <w:ind w:left="440" w:right="520" w:firstLine="419"/>
        <w:spacing w:after="0" w:line="282" w:lineRule="auto"/>
        <w:tabs>
          <w:tab w:leader="none" w:pos="11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pacing w:after="0" w:line="53" w:lineRule="exact"/>
        <w:rPr>
          <w:rFonts w:ascii="Times New Roman" w:cs="Times New Roman" w:eastAsia="Times New Roman" w:hAnsi="Times New Roman"/>
          <w:sz w:val="18"/>
          <w:szCs w:val="18"/>
          <w:color w:val="auto"/>
        </w:rPr>
      </w:pPr>
    </w:p>
    <w:p>
      <w:pPr>
        <w:jc w:val="center"/>
        <w:ind w:left="440" w:firstLine="419"/>
        <w:spacing w:after="0" w:line="312" w:lineRule="auto"/>
        <w:tabs>
          <w:tab w:leader="none" w:pos="111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amount of all direct or contingent obligations of such Person arising under letters of credit (including standby and commercial and limited to drawn but unreimbursed letters of credit), bankers’ acceptances, bank guaranties, surety bonds and similar instruments;</w:t>
      </w:r>
    </w:p>
    <w:p>
      <w:pPr>
        <w:spacing w:after="0" w:line="31" w:lineRule="exact"/>
        <w:rPr>
          <w:rFonts w:ascii="Times New Roman" w:cs="Times New Roman" w:eastAsia="Times New Roman" w:hAnsi="Times New Roman"/>
          <w:sz w:val="17"/>
          <w:szCs w:val="17"/>
          <w:color w:val="auto"/>
        </w:rPr>
      </w:pPr>
    </w:p>
    <w:p>
      <w:pPr>
        <w:ind w:left="1100" w:hanging="241"/>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Swap Contract;</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trade accounts payable in the ordinary course of business and current liabilities in the form of expenses that are not the result of the borrowing of money or the extension of credit and that are listed on the financial statements of the Borrower as “other current liabilities”);</w:t>
      </w:r>
    </w:p>
    <w:p>
      <w:pPr>
        <w:spacing w:after="0" w:line="67" w:lineRule="exact"/>
        <w:rPr>
          <w:rFonts w:ascii="Times New Roman" w:cs="Times New Roman" w:eastAsia="Times New Roman" w:hAnsi="Times New Roman"/>
          <w:sz w:val="18"/>
          <w:szCs w:val="18"/>
          <w:color w:val="auto"/>
        </w:rPr>
      </w:pPr>
    </w:p>
    <w:p>
      <w:pPr>
        <w:jc w:val="both"/>
        <w:ind w:left="440" w:right="260" w:firstLine="419"/>
        <w:spacing w:after="0" w:line="266" w:lineRule="auto"/>
        <w:tabs>
          <w:tab w:leader="none" w:pos="11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0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Indebtedness in respect of Financing Lease Obligations and Synthetic Lease Obligations of such Person and all Synthetic Debt of such Person;</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of such Person to mandatorily purchase, redeem, retire or defease any Equity Interest in such Person or any other Person or any warrant, right or option to mandatorily acquire such Equity Interest (other than an acquisition solely with such Person’s common capital stock or other Equity Interests (other than Disqualified Equity Interests)), valued, in the case of a mandatorily redeemable preferred interest, at the greater of its voluntary or involuntary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dividends (other than dividends payable only in such Person’s common capital stock or other Equity Interests (other than Disqualified Equity Interests));</w:t>
      </w:r>
    </w:p>
    <w:p>
      <w:pPr>
        <w:spacing w:after="0" w:line="75"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with respect to asset securitization financing programs to the extent that there is recourse against such Person or such Person is liable (contingent or otherwise) under any such program;</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 and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52" w:name="page53"/>
    <w:bookmarkEnd w:id="52"/>
    <w:p>
      <w:pPr>
        <w:ind w:left="440" w:right="40" w:firstLine="419"/>
        <w:spacing w:after="0" w:line="258" w:lineRule="auto"/>
        <w:tabs>
          <w:tab w:leader="none" w:pos="10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Disqualified Equity Interests issued by such Person with the amount of Indebtedness represented by such Disqualified Equity Interests being equal to the greater of its voluntary or involuntary liquidation preference and its maximum fixed repurchase price or, with respect to any Subsidiary, any preferred Equity Interests (but excluding, in each case, accrued dividends,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preferred Equity Interests be included as Indebtedness so long as such preferred Equity Interests do not have a mandatory redemption date applicable thereto and are not subject to any covenants.</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For the avoidance of doubt and notwithstanding anything herein to the contrary, the Series D Preferred Stock shall not constitute Indebtedness hereunder.</w:t>
      </w:r>
    </w:p>
    <w:p>
      <w:pPr>
        <w:spacing w:after="0" w:line="183"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or its Lender Parent, (c) a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 (c),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(d) a Loan Party or a Subsidiary or other Affiliate of a Loan Party (excluding, however, any assignment thereto as the result of a Dutch Auction, if at all) or (e) direct operating competitors of a Loan Party or an Affiliate of any such competitor, in each case identified in writing by the Borrower to the Administrative Agent from time to time.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in intellectual property, whether arising under United States, Canadian, multinational or foreign laws, including copyrights, patents, industrial designs, trademarks and all goodwill associated therewith, domain names, and trade secrets, and all rights to sue at Law or in equity for any Infringement thereof, including the right to receive all proceeds and damages therefrom.</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4.01(a)(iv)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53" w:name="page54"/>
    <w:bookmarkEnd w:id="5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Adjusted Term SOFR Rate Loan, the last day of each Interest Period applicable to such Loan and the Maturity Date of the Facility under which such Loan was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an Adjusted Term SOFR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 of the Facility under which such Loan was made.</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Adjusted Term SOFR Rate Loan, the period commencing on the date such Adjusted Term SOFR Rate Loan is disbursed or converted to or continued as an Adjusted Term SOFR Rate Loan and ending on the date one, three or six months thereafter (in each case, subject to availability), as selected by the Borrower in its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jc w:val="both"/>
        <w:ind w:left="440" w:right="160" w:firstLine="419"/>
        <w:spacing w:after="0" w:line="266" w:lineRule="auto"/>
        <w:tabs>
          <w:tab w:leader="none" w:pos="10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 the case of an Adjusted Term SOFR Rate Loan, such Business Day falls in another calendar month, in which case such Interest Period shall end on the next preceding Business Day;</w:t>
      </w:r>
    </w:p>
    <w:p>
      <w:pPr>
        <w:spacing w:after="0" w:line="67" w:lineRule="exact"/>
        <w:rPr>
          <w:rFonts w:ascii="Times New Roman" w:cs="Times New Roman" w:eastAsia="Times New Roman" w:hAnsi="Times New Roman"/>
          <w:sz w:val="18"/>
          <w:szCs w:val="18"/>
          <w:color w:val="auto"/>
        </w:rPr>
      </w:pPr>
    </w:p>
    <w:p>
      <w:pPr>
        <w:jc w:val="both"/>
        <w:ind w:left="440" w:right="200" w:firstLine="419"/>
        <w:spacing w:after="0" w:line="266" w:lineRule="auto"/>
        <w:tabs>
          <w:tab w:leader="none" w:pos="11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an Adjusted Term SOFR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of the following: (a) creating, acquiring or holding any Subsidiary, (b) making or holding any investment in any stocks, bonds or securities of any kind, (c) being or becoming a party to any joint venture or other partnership, (d) making or keeping outstanding any advance or loan to any Person or assumption or acquisition of any debt of another Person, or (e) any Guarantee (other than the Guaranty). For purposes of covenant compliance, the amount of any Investment shall be the amount actually invested, without adjustment for subsequent increases or decreases in the value of such Investment.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Capital Condition</w:t>
      </w:r>
      <w:r>
        <w:rPr>
          <w:rFonts w:ascii="Times New Roman" w:cs="Times New Roman" w:eastAsia="Times New Roman" w:hAnsi="Times New Roman"/>
          <w:sz w:val="18"/>
          <w:szCs w:val="18"/>
          <w:color w:val="auto"/>
        </w:rPr>
        <w:t>” means the means the issuance by the Borrower of preferred Equity Interests with an aggregate liquidation preference equal to or greater than $10,000,000, which preferred Equity Interests have no mandatory redemption date, require dividends to the holders thereof to be paid in kind until the Obligations have been paid in full (other than contingent indemnification obligations not then due) (and do not permit or require payment of cash dividends to the holders thereof until the Obligations have been paid in full (other than contingent indemnification obligations not then due)), on or before June 30, 2023.</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Junior Indebtedness</w:t>
      </w:r>
      <w:r>
        <w:rPr>
          <w:rFonts w:ascii="Times New Roman" w:cs="Times New Roman" w:eastAsia="Times New Roman" w:hAnsi="Times New Roman"/>
          <w:sz w:val="18"/>
          <w:szCs w:val="18"/>
          <w:color w:val="auto"/>
        </w:rPr>
        <w:t xml:space="preserve">” means Indebtedness incurred pursuant to </w:t>
      </w:r>
      <w:r>
        <w:rPr>
          <w:rFonts w:ascii="Times New Roman" w:cs="Times New Roman" w:eastAsia="Times New Roman" w:hAnsi="Times New Roman"/>
          <w:sz w:val="18"/>
          <w:szCs w:val="18"/>
          <w:u w:val="single" w:color="auto"/>
          <w:color w:val="auto"/>
        </w:rPr>
        <w:t>Section 7.02(k)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7.02(l)</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incurrence of any Indebtedness, the latest maturity or expiration date applicable to any Loan or Commitment hereunder at such time, including the latest maturity or expiration of any Term Loan or any applicable Commitment in respect thereof, in each case then outstanding and as extended in accordance with this Agreement from time to time.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Term Loan.</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(a) this Agreement, (b) [reserved], (c) the ABL Intercreditor Agreement, (d) the Collateral Documents, (e) the Guaranty and (f) the Fee Letter.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 and each Guarantor.</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Amount</w:t>
      </w:r>
      <w:r>
        <w:rPr>
          <w:rFonts w:ascii="Times New Roman" w:cs="Times New Roman" w:eastAsia="Times New Roman" w:hAnsi="Times New Roman"/>
          <w:sz w:val="18"/>
          <w:szCs w:val="18"/>
          <w:color w:val="auto"/>
        </w:rPr>
        <w:t>” means the present value at the prepayment date of (i) 2.0% of the outstanding principal amount of the Term Loans so prepaid, plus (ii) all remaining scheduled interest payments due on such Term Loans through the first anniversary of the Closing Date (excluding accrued but unpaid interest to, but not including, the prepayment date), computed using a discount rate equal to the Treasury Rate (determined as of the Business Day prior to such date of prepayment) plus 50 basis points.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70" w:right="519" w:bottom="1440" w:gutter="0" w:footer="0" w:header="0"/>
        </w:sectPr>
      </w:pPr>
    </w:p>
    <w:bookmarkStart w:id="55" w:name="page56"/>
    <w:bookmarkEnd w:id="55"/>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liabilities (actual or contingent), operations, or condition (financial or otherwise) of the Borrower, (b) the business, assets, liabilities (actual or contingent), operations, or condition (financial or otherwise) of the Borrower and its Subsidiaries, taken as a whole, (c) the ability of any Loan Party to perform its obligations under any Loan Document to which it is a party, or (d) the legality, validity, binding effect or enforceability against any Loan Party of any Loan Document to which it is a party.</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 Agreement</w:t>
      </w:r>
      <w:r>
        <w:rPr>
          <w:rFonts w:ascii="Times New Roman" w:cs="Times New Roman" w:eastAsia="Times New Roman" w:hAnsi="Times New Roman"/>
          <w:sz w:val="18"/>
          <w:szCs w:val="18"/>
          <w:color w:val="auto"/>
        </w:rPr>
        <w:t>” means any debt instrument, Financing Lease Obligation, guaranty, contract, commitment, agreement or other arrangement evidencing or entered into in connection with any Indebtedness of the Borrower or any Subsidiary, other than the Loans or the ABL Obligations, having a stated principal amount in excess of $10,000,000.</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means any Intellectual Property of the Borrower and its Subsidiaries that is included in the Collateral and the loss of which would have a Material Adverse Effect on the business, results of operations or financial condition of the Borrower and its Subsidiaries (taken as a whole).</w:t>
      </w:r>
    </w:p>
    <w:p>
      <w:pPr>
        <w:spacing w:after="0" w:line="176"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xml:space="preserve">” means any real property owned by a Loan Party in fee simple that (a) as of the Closing Date is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w:t>
      </w:r>
      <w:r>
        <w:rPr>
          <w:rFonts w:ascii="Times New Roman" w:cs="Times New Roman" w:eastAsia="Times New Roman" w:hAnsi="Times New Roman"/>
          <w:sz w:val="18"/>
          <w:szCs w:val="18"/>
          <w:color w:val="auto"/>
        </w:rPr>
        <w:t xml:space="preserve">, (b) if acquired after the Closing Date, has a fair market value of $2,000,000 or (c) is designated by the Borrower in accordance with </w:t>
      </w:r>
      <w:r>
        <w:rPr>
          <w:rFonts w:ascii="Times New Roman" w:cs="Times New Roman" w:eastAsia="Times New Roman" w:hAnsi="Times New Roman"/>
          <w:sz w:val="18"/>
          <w:szCs w:val="18"/>
          <w:u w:val="single" w:color="auto"/>
          <w:color w:val="auto"/>
        </w:rPr>
        <w:t>Section 6.12(f)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7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September 22,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maturity is extended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such maturity date as determined pursuant to such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each case, if such date is not a Business Day, the Maturity Date shall be the next preceding Business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Liquidity Covenant</w:t>
      </w:r>
      <w:r>
        <w:rPr>
          <w:rFonts w:ascii="Times New Roman" w:cs="Times New Roman" w:eastAsia="Times New Roman" w:hAnsi="Times New Roman"/>
          <w:sz w:val="18"/>
          <w:szCs w:val="18"/>
          <w:color w:val="auto"/>
        </w:rPr>
        <w:t xml:space="preserve">” has the meaning specified in has the meaning specified in </w:t>
      </w:r>
      <w:r>
        <w:rPr>
          <w:rFonts w:ascii="Times New Roman" w:cs="Times New Roman" w:eastAsia="Times New Roman" w:hAnsi="Times New Roman"/>
          <w:sz w:val="18"/>
          <w:szCs w:val="18"/>
          <w:u w:val="single" w:color="auto"/>
          <w:color w:val="auto"/>
        </w:rPr>
        <w:t>Section 7.14(b)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any Material Real Property owned in fee simple by any Loan Party which real property is or is intended under the terms hereof to be subject to a Lien in favor of the Administrative Agent for the benefit of the Secured Parties.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means deeds of trust, trust deeds, deeds to secure debt, mortgages, leasehold mortgages and leasehold deeds of trust or other equivalent document (together with related fixture filings and assignments of leases and rents) now or hereafter encumbering any Mortgaged Property of any Loan Party in favor of the Administrative Agent, on behalf of the Secured Parties, as security for any of the Obligations, each of which shall be in form and substance satisfactory to the Administrative Agent.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56" w:name="page57"/>
    <w:bookmarkEnd w:id="56"/>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4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that has two or more contributing sponsors (including the Borrower or any ERISA Affiliate) at least two of whom are not under common control, as such a plan is described in Section 4064 of ERISA.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firstLine="419"/>
        <w:spacing w:after="0" w:line="253" w:lineRule="auto"/>
        <w:tabs>
          <w:tab w:leader="none" w:pos="110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Disposition by the Borrower or any of its Subsidiaries, or any Extraordinary Receipt received or paid to the account of the Borrower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fees and expenses incurred by the Borrower or such Subsidiary in connection with such transaction (including reasonable and customary fees of attorneys, accountants, consultants and investment advisers, reasonable and customary out-of-pocket costs associated with title insurance policies, surveys, lien and judgment searching, recording documents, and transaction and recording taxes),</w:t>
      </w:r>
    </w:p>
    <w:p>
      <w:pPr>
        <w:ind w:left="440" w:hanging="4"/>
        <w:spacing w:after="0" w:line="265" w:lineRule="auto"/>
        <w:tabs>
          <w:tab w:leader="none" w:pos="72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income taxes reasonably estimated to be actually payable within two years of the date of the relevant transaction as a result of any gain recognized in connection therewith;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amount of any estimated taxes pursuant to this </w:t>
      </w:r>
      <w:r>
        <w:rPr>
          <w:rFonts w:ascii="Times New Roman" w:cs="Times New Roman" w:eastAsia="Times New Roman" w:hAnsi="Times New Roman"/>
          <w:sz w:val="17"/>
          <w:szCs w:val="17"/>
          <w:u w:val="single" w:color="auto"/>
          <w:color w:val="auto"/>
        </w:rPr>
        <w:t>subclause (C)</w:t>
      </w:r>
      <w:r>
        <w:rPr>
          <w:rFonts w:ascii="Times New Roman" w:cs="Times New Roman" w:eastAsia="Times New Roman" w:hAnsi="Times New Roman"/>
          <w:sz w:val="17"/>
          <w:szCs w:val="17"/>
          <w:color w:val="auto"/>
        </w:rPr>
        <w:t xml:space="preserve"> exceeds the amount of taxes actually required to be paid in cash in respect of such Disposition, the aggregate amount of such excess shall constitute Net Cash Proceeds and</w:t>
      </w:r>
    </w:p>
    <w:p>
      <w:pPr>
        <w:ind w:left="440" w:hanging="4"/>
        <w:spacing w:after="0" w:line="269" w:lineRule="auto"/>
        <w:tabs>
          <w:tab w:leader="none" w:pos="7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held in any reserve created for escrow, holdback, indemnity or similar obligations of the Borrower or any of its Subsidiaries in connection with such Disposition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(1) such amounts held in such reserves shall not exceed 10% of the gross cash proceeds received with respect to such Disposition and (2) such amounts held in such reserves shall constitute Net Cash Proceeds upon release to, or receipt by, the Borrower or any of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such cash or Cash Equivalents received in connection with any Disposition </w:t>
      </w:r>
      <w:r>
        <w:rPr>
          <w:rFonts w:ascii="Times New Roman" w:cs="Times New Roman" w:eastAsia="Times New Roman" w:hAnsi="Times New Roman"/>
          <w:sz w:val="17"/>
          <w:szCs w:val="17"/>
          <w:u w:val="single" w:color="auto"/>
          <w:color w:val="0000FF"/>
        </w:rPr>
        <w:t>(other than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the 2024 Sale and Leaseback Transaction and any other Disposition consummated after the Amendment No. 3 Effective Date and before June 30, 2024, the proceeds of which are greater than $5,000,000)</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or Extraordinary Receipt shall only constitute Net Cash Proceeds under this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00"/>
        </w:rPr>
        <w:t>clause (a)</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any fiscal year to the extent that the aggregate amount of such cash and Cash Equivalents received in such fiscal year exceeds $5,000,000; and</w:t>
      </w:r>
    </w:p>
    <w:p>
      <w:pPr>
        <w:spacing w:after="0" w:line="67" w:lineRule="exact"/>
        <w:rPr>
          <w:rFonts w:ascii="Times New Roman" w:cs="Times New Roman" w:eastAsia="Times New Roman" w:hAnsi="Times New Roman"/>
          <w:sz w:val="17"/>
          <w:szCs w:val="17"/>
          <w:color w:val="auto"/>
        </w:rPr>
      </w:pPr>
    </w:p>
    <w:p>
      <w:pPr>
        <w:ind w:left="440" w:right="40" w:firstLine="419"/>
        <w:spacing w:after="0" w:line="266" w:lineRule="auto"/>
        <w:tabs>
          <w:tab w:leader="none" w:pos="111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6469380</wp:posOffset>
            </wp:positionH>
            <wp:positionV relativeFrom="paragraph">
              <wp:posOffset>-895985</wp:posOffset>
            </wp:positionV>
            <wp:extent cx="4972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-758825</wp:posOffset>
            </wp:positionV>
            <wp:extent cx="66522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-621665</wp:posOffset>
            </wp:positionV>
            <wp:extent cx="26403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57" w:name="page58"/>
    <w:bookmarkEnd w:id="5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(i)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(ii) has been approved by the Required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Non-Loan Party Debt Cap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Non-Loan Party Investments Cap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7.03(a)(v)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Term Note.</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Oaktree</w:t>
      </w:r>
      <w:r>
        <w:rPr>
          <w:rFonts w:ascii="Times New Roman" w:cs="Times New Roman" w:eastAsia="Times New Roman" w:hAnsi="Times New Roman"/>
          <w:sz w:val="18"/>
          <w:szCs w:val="18"/>
          <w:color w:val="auto"/>
        </w:rPr>
        <w:t>” means Oaktree Capital Management, L.P. and its Affiliates, acting solely in its capacity as an investment adviser on behalf of certain funds and accounts and wholly-owned entities of such funds and accounts.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all advances to, and debts, liabilities, obligations, covenants and duties of, any Loan Party arising under any Loan Document or otherwise with respect to any Loan,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shall exclude any Excluded Swap Obligations.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58" w:name="page59"/>
    <w:bookmarkEnd w:id="58"/>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with respect to Term Loans, on any date, the aggregate outstanding principal amount thereof after giving effect to any borrowings and prepayments or repayments of Term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Security Agreement</w:t>
      </w:r>
      <w:r>
        <w:rPr>
          <w:rFonts w:ascii="Times New Roman" w:cs="Times New Roman" w:eastAsia="Times New Roman" w:hAnsi="Times New Roman"/>
          <w:sz w:val="18"/>
          <w:szCs w:val="18"/>
          <w:color w:val="auto"/>
        </w:rPr>
        <w:t>” means a patent security agreement or notice of grant of security interest in patents, in each case in form and substance reasonably satisfactory to the Administrative Agent.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L.107-56 (signed into law October 26, 2001)).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means the Pension Protection Act of 2006, as amended from time to time.</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Cure Securities</w:t>
      </w:r>
      <w:r>
        <w:rPr>
          <w:rFonts w:ascii="Times New Roman" w:cs="Times New Roman" w:eastAsia="Times New Roman" w:hAnsi="Times New Roman"/>
          <w:sz w:val="18"/>
          <w:szCs w:val="18"/>
          <w:color w:val="auto"/>
        </w:rPr>
        <w:t>” means any Equity Interests (other than Disqualified Equity Interests) of the Borrower issued pursuant to the Cure Right.</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means interest that is paid in-kind and capitalized on, compounded on, added to and deemed part of each Loan on the applicable Interest Payment Date and, thereafter, (a) the principal amount of each Loan shall be treated as having been increased by the amount of such paid in-kind interest, (b) such increased principal amount shall be allocated ratably to the principal amount of each Loan held by each Lender and (c) each Loan shall bear interest on such increased principal amount, in each case.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440" w:top="270" w:right="519" w:bottom="1440" w:gutter="0" w:footer="0" w:header="0"/>
        </w:sectPr>
      </w:pPr>
    </w:p>
    <w:bookmarkStart w:id="59" w:name="page60"/>
    <w:bookmarkEnd w:id="59"/>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Intercompany Note</w:t>
      </w:r>
      <w:r>
        <w:rPr>
          <w:rFonts w:ascii="Times New Roman" w:cs="Times New Roman" w:eastAsia="Times New Roman" w:hAnsi="Times New Roman"/>
          <w:sz w:val="18"/>
          <w:szCs w:val="18"/>
          <w:color w:val="auto"/>
        </w:rPr>
        <w:t>” means any written promissory note made by any Subsidiary to the Borrower or a Loan Party, whether now owned or hereafter acquired by the Borrower or such Loan Party.</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Precious Metal Consignment Agreements</w:t>
      </w:r>
      <w:r>
        <w:rPr>
          <w:rFonts w:ascii="Times New Roman" w:cs="Times New Roman" w:eastAsia="Times New Roman" w:hAnsi="Times New Roman"/>
          <w:sz w:val="18"/>
          <w:szCs w:val="18"/>
          <w:color w:val="auto"/>
        </w:rPr>
        <w:t>” means, collectively, (a) the Consignment Agreement dated as of July 30, 2009, as amended, between Mitsubishi International Corporation and NN Power Solutions Holdings, LLC, successor in interest to Precision Engineered Products LLC and (b) the Consignment Agreement dated as of January 25, 2010, as amended, between Umicore Precious Metals NJ, LLC and NN Power Solutions Holdings, LLC, successor in interest to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Premium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shall have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Receivables Transaction</w:t>
      </w:r>
      <w:r>
        <w:rPr>
          <w:rFonts w:ascii="Times New Roman" w:cs="Times New Roman" w:eastAsia="Times New Roman" w:hAnsi="Times New Roman"/>
          <w:sz w:val="18"/>
          <w:szCs w:val="18"/>
          <w:color w:val="auto"/>
        </w:rPr>
        <w:t xml:space="preserve">” means any transaction or series of transactions entered into by Borrower or any Subsidiary pursuant to which Borrower or such Subsidiary sells, contributes, conveys or otherwise transfers to, or grants a security interest in for the benefit of, any other Person (other than Borrower or a Subsidiary), any Receivables (whether now existing or arising in the future) of Borrower or such Subsidiary, and any related assets, including, without limitation, all collateral securing such Receivables, all contracts and all guarantees or other obligations in respect of such Receivables, proceeds of such Receivables and other assets (including contract rights) that are customarily transferred or in respect of which security interests are customarily granted in connection with asset securitization transactions involving Receivables, in each case, to the extent permitted under the ABL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Qualified Receivables Transactions shall be made at fair market value (including after giving effect to any Receivables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all such Qualified Receivables Transactions shall not (x) be Guaranteed by Borrower or any Subsidiary (excluding Guarantees of obligations (other than the principal of, and interest on, Indebtedness) pursuant to representations, warranties, covenants, indemnities and performance Guarantees that are reasonably customary in an accounts receivables financings), (y) be recourse to or obligate Borrower or any Subsidiary in any way other than pursuant to representations, warranties, covenants, indemnities and performance Guarantees that are reasonably customary in accounts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60" w:name="page61"/>
    <w:bookmarkEnd w:id="60"/>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receivables financings, or (z) subject any property or asset of Borrower or any Subsidiary, directly or indirectly, contingently or otherwise, to the satisfaction thereof, other than pursuant to representations, warranties, covenants, indemnities and performance Guarantees reasonably customary in accounts receivables financings and other than any interest in the Receivables (whether in the form of an equity interest in such Receivables payable primarily from such Receivables) retained or acquired by Borrower or any Subsidiaries and (b) the fair market value of all Receivables sold, contributed conveyed or otherwise transferred, and all Receivables in which a security interest is granted by the Borrower or any Subsidiary, shall not exceed $30,000,000 in the aggregate for all Qualified Receivables Transactions at any time outstanding.</w:t>
      </w:r>
    </w:p>
    <w:p>
      <w:pPr>
        <w:spacing w:after="0" w:line="187"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Requirements</w:t>
      </w:r>
      <w:r>
        <w:rPr>
          <w:rFonts w:ascii="Times New Roman" w:cs="Times New Roman" w:eastAsia="Times New Roman" w:hAnsi="Times New Roman"/>
          <w:sz w:val="18"/>
          <w:szCs w:val="18"/>
          <w:color w:val="auto"/>
        </w:rPr>
        <w:t xml:space="preserve">” means, with respect to any Material Real Property, the documentation and other items of the type specified in Section 1 of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3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means any Indebtedness and other payment obligations owed to Borrower or any Subsidiary, whether constituting an account, chattel paper, payment intangible, instrument or general intangible, in each case arising in connection with (a) the sale of goods or the rendering of service or (b) the lease, license, rental or use of equipment, facilities or software, including the obligation to pay any finance charges, fees and other charges with respect thereto.</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Fees</w:t>
      </w:r>
      <w:r>
        <w:rPr>
          <w:rFonts w:ascii="Times New Roman" w:cs="Times New Roman" w:eastAsia="Times New Roman" w:hAnsi="Times New Roman"/>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 Person (other than Borrower or a Subsidiary) in connection with, any Qualified Receivables Transaction.</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or any other recipient of any payment to be made by or on account of any obligation of any Loan Party hereunder.</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Reference Rate, 5:00 a.m. (Chicago time) on the day that is two U.S. Government Securities Business Days preceding the date of such setting, (2) if such Benchmark is Daily Simple SOFR, then four U.S. Government Securities Business Days prior to such setting or (3) if such Benchmark is none of the Term SOFR Reference Rate or Daily Simple SOFR, the time determined by the Administrative Agent in its reasonable discretion.</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means, in respect of any security or Indebtedness, to refinance, extend, renew, refund, repay, prepay, redeem, defease or retire, or to issue a security or Indebtedness in exchange or replacement for, such security or Indebtedness in whole or in part. “</w:t>
      </w:r>
      <w:r>
        <w:rPr>
          <w:rFonts w:ascii="Times New Roman" w:cs="Times New Roman" w:eastAsia="Times New Roman" w:hAnsi="Times New Roman"/>
          <w:sz w:val="18"/>
          <w:szCs w:val="18"/>
          <w:u w:val="single" w:color="auto"/>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shall have correlative meanings.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61" w:name="page62"/>
    <w:bookmarkEnd w:id="61"/>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FRB or the Federal Reserve Bank of New York, or a committee officially endorsed or convened by the FRB or the Federal Reserve Bank of New York, or any successor thereto.</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 day notice period has been waived.</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holding more than 50% of the sum of the (a) Total Outstandings and (b) aggregate unused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Facility held or deemed held by, any Defaulting Lender shall be excluded for purposes of making a determination of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so long as Oaktree holds 51% of the Term Loans made on the Closing Date, Required Lenders shall include Oaktree.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chief financial officer, treasurer, assistant treasurer or controller of a Loan Party, solely for purposes of the delivery of incumbency certificates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secretary or any assistant secretary of a Loan Party and, solely for the purposes of notices given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9"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with respect to the Borrower or any of its Subsidiaries, (a) any Capital Distribution (provided, that in the case of the Series D Preferred Stock, only cash dividends or distributions payable in cash shall be considered Restricted Payments) and (b) any amount paid by the Borrower or any of its Subsidiaries in repayment, redemption, retirement or repurchase, directly or indirectly, of any Subordinated Indebtedness or any Junior Indebtedness.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(a) identified on any Sanctions-related list of designated Persons, including, without limitation, the Specially Designated Nationals and Blocked Persons List maintained by OFAC; (b) located, domiciled, organized or resident in, or the government or any agency or instrumentality of the government of, any Designated Jurisdiction; (c) owned or controlled by, or acting for or on behalf of, directly or indirectly, any Person described in the foregoing clause (a) or (b); or (d) otherwise the subject or target of Sanctions.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70" w:right="499" w:bottom="1440" w:gutter="0" w:footer="0" w:header="0"/>
        </w:sectPr>
      </w:pPr>
    </w:p>
    <w:bookmarkStart w:id="62" w:name="page63"/>
    <w:bookmarkEnd w:id="62"/>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economic or financial sanctions or trade embargoes imposed, administered or enforced by the U.S. government (including, without limitation, OFAC and the U.S. Department of State), the United Nations Security Council, the European Union or any member state thereof, the UK government (including, without limitation, HM Treasury) or other relevant sanctions authority.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collectively, the Administrative Agent, the Lenders,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and the other Persons the Obligations owing to which are or are purported to be secured by the Collateral under the terms of the Collateral Documents.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Account Control Agreement</w:t>
      </w:r>
      <w:r>
        <w:rPr>
          <w:rFonts w:ascii="Times New Roman" w:cs="Times New Roman" w:eastAsia="Times New Roman" w:hAnsi="Times New Roman"/>
          <w:sz w:val="18"/>
          <w:szCs w:val="18"/>
          <w:color w:val="auto"/>
        </w:rPr>
        <w:t>” has the meaning assigned thereto in the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 Supplement</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D Preferred Stock</w:t>
      </w:r>
      <w:r>
        <w:rPr>
          <w:rFonts w:ascii="Times New Roman" w:cs="Times New Roman" w:eastAsia="Times New Roman" w:hAnsi="Times New Roman"/>
          <w:sz w:val="18"/>
          <w:szCs w:val="18"/>
          <w:color w:val="auto"/>
        </w:rPr>
        <w:t>” means the Series D Perpetual Preferred Stock issued or to be issued by the Company on substantially the terms set forth on Schedule 1.02.</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Costs</w:t>
      </w:r>
      <w:r>
        <w:rPr>
          <w:rFonts w:ascii="Times New Roman" w:cs="Times New Roman" w:eastAsia="Times New Roman" w:hAnsi="Times New Roman"/>
          <w:sz w:val="18"/>
          <w:szCs w:val="18"/>
          <w:color w:val="auto"/>
        </w:rPr>
        <w:t xml:space="preserve">” means the expenses, payments or other costs associated with the settlement of litigation with Corre Partners;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Settlement Costs shall not exceed $2,000,000 in the aggregate.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Account</w:t>
      </w:r>
      <w:r>
        <w:rPr>
          <w:rFonts w:ascii="Times New Roman" w:cs="Times New Roman" w:eastAsia="Times New Roman" w:hAnsi="Times New Roman"/>
          <w:sz w:val="18"/>
          <w:szCs w:val="18"/>
          <w:color w:val="auto"/>
        </w:rPr>
        <w:t>” means an Account that Borrower or a Subsidiary has sold to, or otherwise has granted a Lien on or in favor of, the purchaser pursuant to a Qualified Receivables Transaction, for which such Loan Party has received the purchase price for such Account.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63" w:name="page64"/>
    <w:bookmarkEnd w:id="6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3"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w:t>
      </w:r>
      <w:r>
        <w:rPr>
          <w:rFonts w:ascii="Times New Roman" w:cs="Times New Roman" w:eastAsia="Times New Roman" w:hAnsi="Times New Roman"/>
          <w:sz w:val="18"/>
          <w:szCs w:val="18"/>
          <w:color w:val="auto"/>
        </w:rPr>
        <w:t>” means, as applied to Indebtedness, Indebtedness that shall have been subordinated in favor of the prior payment in full of the Obligations pursuant to documentation in form and substance reasonably satisfactory to the Administrative Agent.</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(1)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or (2) the accounts of which would be consolidated with those of the parent in the parent’s consolidated financial statements if such financial statements were prepared in accordance with GAAP as of such date. Unless otherwise specified, all references herein to a “Subsidiary” or to “Subsidiaries” shall refer to a Subsidiary or Subsidiaries of the Borrower.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64" w:name="page65"/>
    <w:bookmarkEnd w:id="64"/>
    <w:p>
      <w:pPr>
        <w:ind w:left="4" w:right="2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Debt</w:t>
      </w:r>
      <w:r>
        <w:rPr>
          <w:rFonts w:ascii="Times New Roman" w:cs="Times New Roman" w:eastAsia="Times New Roman" w:hAnsi="Times New Roman"/>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Synthetic Lease Obligation</w:t>
      </w:r>
      <w:r>
        <w:rPr>
          <w:rFonts w:ascii="Times New Roman" w:cs="Times New Roman" w:eastAsia="Times New Roman" w:hAnsi="Times New Roman"/>
          <w:sz w:val="17"/>
          <w:szCs w:val="17"/>
          <w:color w:val="auto"/>
        </w:rPr>
        <w:t>” means the monetary obligation of a Person under (a) a so-called synthetic, off-balance sheet or tax retention lease, or</w:t>
      </w:r>
    </w:p>
    <w:p>
      <w:pPr>
        <w:spacing w:after="0" w:line="39" w:lineRule="exact"/>
        <w:rPr>
          <w:sz w:val="20"/>
          <w:szCs w:val="20"/>
          <w:color w:val="auto"/>
        </w:rPr>
      </w:pPr>
    </w:p>
    <w:p>
      <w:pPr>
        <w:ind w:left="4" w:right="180" w:hanging="4"/>
        <w:spacing w:after="0" w:line="255" w:lineRule="auto"/>
        <w:tabs>
          <w:tab w:leader="none" w:pos="2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6"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Borrowings</w:t>
      </w:r>
      <w:r>
        <w:rPr>
          <w:rFonts w:ascii="Times New Roman" w:cs="Times New Roman" w:eastAsia="Times New Roman" w:hAnsi="Times New Roman"/>
          <w:sz w:val="18"/>
          <w:szCs w:val="18"/>
          <w:color w:val="auto"/>
        </w:rPr>
        <w:t xml:space="preserve">” means a borrowing consisting of simultaneous Term Loans of the same Type and, in the case of Adjusted Term SOFR Rate Loans, having the same Interest Period made by each of the Term Lenders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xml:space="preserve">” means, as to each Term Lender, its obligation to make Term Loans on the Closing Date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in the amount of its Commitment or as set forth in the Assignment and Assumption pursuant to which such Lender becomes a party hereto, as applicable, as such amount may be adjusted from time to time in accordance with this Agreement.</w:t>
      </w:r>
    </w:p>
    <w:p>
      <w:pPr>
        <w:spacing w:after="0" w:line="176" w:lineRule="exact"/>
        <w:rPr>
          <w:sz w:val="20"/>
          <w:szCs w:val="20"/>
          <w:color w:val="auto"/>
        </w:rPr>
      </w:pPr>
    </w:p>
    <w:p>
      <w:pPr>
        <w:ind w:left="4" w:right="3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Facility</w:t>
      </w:r>
      <w:r>
        <w:rPr>
          <w:rFonts w:ascii="Times New Roman" w:cs="Times New Roman" w:eastAsia="Times New Roman" w:hAnsi="Times New Roman"/>
          <w:sz w:val="17"/>
          <w:szCs w:val="17"/>
          <w:color w:val="auto"/>
        </w:rPr>
        <w:t xml:space="preserve">” means, at any time, the </w:t>
      </w:r>
      <w:r>
        <w:rPr>
          <w:rFonts w:ascii="Times New Roman" w:cs="Times New Roman" w:eastAsia="Times New Roman" w:hAnsi="Times New Roman"/>
          <w:sz w:val="17"/>
          <w:szCs w:val="17"/>
          <w:u w:val="single" w:color="auto"/>
          <w:color w:val="auto"/>
        </w:rPr>
        <w:t>sum</w:t>
      </w:r>
      <w:r>
        <w:rPr>
          <w:rFonts w:ascii="Times New Roman" w:cs="Times New Roman" w:eastAsia="Times New Roman" w:hAnsi="Times New Roman"/>
          <w:sz w:val="17"/>
          <w:szCs w:val="17"/>
          <w:color w:val="auto"/>
        </w:rPr>
        <w:t xml:space="preserve"> of (a) the aggregate amount of the unused Term Commitments at such time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the aggregate principal amount of the Term Loans of all Term Lenders outstanding at such time. As of the Closing Date, the Term Facility is $150,000,000.</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at any time, any Lender that either has an unused Term Commitment or holds Term Loans at such time, or both.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xml:space="preserve">” means the term loans made by the Lenders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65" w:name="page66"/>
    <w:bookmarkEnd w:id="65"/>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Note</w:t>
      </w:r>
      <w:r>
        <w:rPr>
          <w:rFonts w:ascii="Times New Roman" w:cs="Times New Roman" w:eastAsia="Times New Roman" w:hAnsi="Times New Roman"/>
          <w:sz w:val="18"/>
          <w:szCs w:val="18"/>
          <w:color w:val="auto"/>
        </w:rPr>
        <w:t xml:space="preserve">” means a promissory note made by the Borrower in favor of a Term Lender (and its registered assigns) evidencing Term Loans made by such Term Lender,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40" w:firstLine="436"/>
        <w:spacing w:after="0" w:line="254"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Adjusted Term SOFR Rate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8"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Adjustment</w:t>
      </w:r>
      <w:r>
        <w:rPr>
          <w:rFonts w:ascii="Times New Roman" w:cs="Times New Roman" w:eastAsia="Times New Roman" w:hAnsi="Times New Roman"/>
          <w:sz w:val="18"/>
          <w:szCs w:val="18"/>
          <w:color w:val="auto"/>
        </w:rPr>
        <w:t>” means a percentage per annum as set forth below for the applicable Interest Period therefor:</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Period</w:t>
            </w:r>
          </w:p>
        </w:tc>
        <w:tc>
          <w:tcPr>
            <w:tcW w:w="1540" w:type="dxa"/>
            <w:vAlign w:val="bottom"/>
          </w:tcPr>
          <w:p>
            <w:pPr>
              <w:spacing w:after="0"/>
              <w:rPr>
                <w:sz w:val="15"/>
                <w:szCs w:val="15"/>
                <w:color w:val="auto"/>
              </w:rPr>
            </w:pPr>
          </w:p>
        </w:tc>
        <w:tc>
          <w:tcPr>
            <w:tcW w:w="3560" w:type="dxa"/>
            <w:vAlign w:val="bottom"/>
            <w:gridSpan w:val="3"/>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209"/>
        </w:trPr>
        <w:tc>
          <w:tcPr>
            <w:tcW w:w="1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One month</w:t>
            </w:r>
          </w:p>
        </w:tc>
        <w:tc>
          <w:tcPr>
            <w:tcW w:w="1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0.10%</w:t>
            </w:r>
          </w:p>
        </w:tc>
        <w:tc>
          <w:tcPr>
            <w:tcW w:w="1360" w:type="dxa"/>
            <w:vAlign w:val="bottom"/>
            <w:shd w:val="clear" w:color="auto" w:fill="CCEEFF"/>
          </w:tcPr>
          <w:p>
            <w:pPr>
              <w:spacing w:after="0"/>
              <w:rPr>
                <w:sz w:val="18"/>
                <w:szCs w:val="18"/>
                <w:color w:val="auto"/>
              </w:rPr>
            </w:pPr>
          </w:p>
        </w:tc>
      </w:tr>
      <w:tr>
        <w:trPr>
          <w:trHeight w:val="216"/>
        </w:trPr>
        <w:tc>
          <w:tcPr>
            <w:tcW w:w="39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Three months</w:t>
            </w:r>
          </w:p>
        </w:tc>
        <w:tc>
          <w:tcPr>
            <w:tcW w:w="2200" w:type="dxa"/>
            <w:vAlign w:val="bottom"/>
            <w:gridSpan w:val="2"/>
          </w:tcPr>
          <w:p>
            <w:pPr>
              <w:jc w:val="center"/>
              <w:ind w:left="1416"/>
              <w:spacing w:after="0"/>
              <w:rPr>
                <w:sz w:val="20"/>
                <w:szCs w:val="20"/>
                <w:color w:val="auto"/>
              </w:rPr>
            </w:pPr>
            <w:r>
              <w:rPr>
                <w:rFonts w:ascii="Times New Roman" w:cs="Times New Roman" w:eastAsia="Times New Roman" w:hAnsi="Times New Roman"/>
                <w:sz w:val="18"/>
                <w:szCs w:val="18"/>
                <w:color w:val="auto"/>
                <w:w w:val="98"/>
              </w:rPr>
              <w:t>0.15%</w:t>
            </w:r>
          </w:p>
        </w:tc>
        <w:tc>
          <w:tcPr>
            <w:tcW w:w="136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540"/>
              <w:spacing w:after="0"/>
              <w:rPr>
                <w:sz w:val="20"/>
                <w:szCs w:val="20"/>
                <w:color w:val="auto"/>
              </w:rPr>
            </w:pPr>
            <w:r>
              <w:rPr>
                <w:rFonts w:ascii="Times New Roman" w:cs="Times New Roman" w:eastAsia="Times New Roman" w:hAnsi="Times New Roman"/>
                <w:sz w:val="18"/>
                <w:szCs w:val="18"/>
                <w:color w:val="auto"/>
              </w:rPr>
              <w:t>Six months</w:t>
            </w:r>
          </w:p>
        </w:tc>
        <w:tc>
          <w:tcPr>
            <w:tcW w:w="2200" w:type="dxa"/>
            <w:vAlign w:val="bottom"/>
            <w:gridSpan w:val="2"/>
            <w:shd w:val="clear" w:color="auto" w:fill="CCEEFF"/>
          </w:tcPr>
          <w:p>
            <w:pPr>
              <w:jc w:val="center"/>
              <w:ind w:left="1416"/>
              <w:spacing w:after="0"/>
              <w:rPr>
                <w:sz w:val="20"/>
                <w:szCs w:val="20"/>
                <w:color w:val="auto"/>
              </w:rPr>
            </w:pPr>
            <w:r>
              <w:rPr>
                <w:rFonts w:ascii="Times New Roman" w:cs="Times New Roman" w:eastAsia="Times New Roman" w:hAnsi="Times New Roman"/>
                <w:sz w:val="18"/>
                <w:szCs w:val="18"/>
                <w:color w:val="auto"/>
                <w:w w:val="98"/>
              </w:rPr>
              <w:t>0.25%</w:t>
            </w:r>
          </w:p>
        </w:tc>
        <w:tc>
          <w:tcPr>
            <w:tcW w:w="13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the aggregate Outstanding Amount of all Loans.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Term Loan Exposure</w:t>
      </w:r>
      <w:r>
        <w:rPr>
          <w:rFonts w:ascii="Times New Roman" w:cs="Times New Roman" w:eastAsia="Times New Roman" w:hAnsi="Times New Roman"/>
          <w:sz w:val="18"/>
          <w:szCs w:val="18"/>
          <w:color w:val="auto"/>
        </w:rPr>
        <w:t>” means, as to any Term Lender at any time, the unused Term Commitments and the aggregate principal amount of the outstanding Term Loans of such Term Lender at such time.</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Security Agreement</w:t>
      </w:r>
      <w:r>
        <w:rPr>
          <w:rFonts w:ascii="Times New Roman" w:cs="Times New Roman" w:eastAsia="Times New Roman" w:hAnsi="Times New Roman"/>
          <w:sz w:val="18"/>
          <w:szCs w:val="18"/>
          <w:color w:val="auto"/>
        </w:rPr>
        <w:t>” means a trademark security agreement or notice of grant of security interest in trademarks, in each case in form and substance reasonably satisfactory to the Administrative Agent.</w:t>
      </w:r>
    </w:p>
    <w:p>
      <w:pPr>
        <w:spacing w:after="0" w:line="162"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collectively, (a) the entering into by the Loan Parties and their applicable Subsidiaries of the Loan Documents to which they are or are intended to be a party, (b) the refinancing of the Existing Credit Agreement Indebtedness and the termination of all commitments with respect thereto, (c) the issuance of the Series D Preferred Stock and the redemption of the Borrower’s Series B preferred Equity Interests substantially concurrently therewith, and (d) the payment of the fees and expenses incurred in connection with the consummation of the foregoing.</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xml:space="preserve">” means all customary and reasonable transaction fees, charges and other similar amounts related to the Transactions or any Acquisitions completed during the term of this Agreement in accordance with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(including, without limitation, any financing fees, merger and acquisition fees, legal fees and expenses, original issue discount, due diligence fees or any other fees and expenses in connection therewith), in each case to the extent paid within six (6) months of the Closing Date or the closing date of such Acquisition, as applicable.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 prepayment prior to the first anniversary of the Closing Date, the yield to maturity at the time of computation of United States Treasury securities with a constant maturity (as compiled and published in the most recent Federal Reserve Statistical Release H.15(519) that has become publicly available at least two (2) Business Days prior to such prepayment date (or, if such Federal Reserve Statistical Release referred to in the previous parenthetical is no longer published, any publicly available source of similar market data)) most nearly equal to the period from such prepayment date to the first anniversary of the Closing Date; provided that if the period from such prepayment date to the first anniversary of the Closing Date is not equal to the constant maturity of the United States Treasury security for which a weekly average yield is given, the Treasury Rate shall be obtained by linear interpolation (calculated to the nearest one-twelfth of a twelve (12) month period) from the weekly average yields of United States Treasury securities for which such yields are given, except that if the period from such prepayment date to the to the first anniversary of the Closing Date, is less than one year, the weekly average yield on actually traded United States Treasury securities adjusted to a constant maturity of one year shall be used.</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means any accounts or trusts used solely to hold Trust Funds.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67" w:name="page68"/>
    <w:bookmarkEnd w:id="67"/>
    <w:p>
      <w:pPr>
        <w:ind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Trust Funds</w:t>
      </w:r>
      <w:r>
        <w:rPr>
          <w:rFonts w:ascii="Times New Roman" w:cs="Times New Roman" w:eastAsia="Times New Roman" w:hAnsi="Times New Roman"/>
          <w:sz w:val="17"/>
          <w:szCs w:val="17"/>
          <w:color w:val="auto"/>
        </w:rPr>
        <w:t xml:space="preserve">” means, to the extent segregated from other assets of the Loan Parties in a segregated account that contains amounts comprised solely and exclusively of such Trust Funds, cash, Cash Equivalents or other assets comprised solely of: (1) funds used for payroll and payroll taxes and other employee benefit payments to or for the benefit of such Loan Party’s employees; (2) all taxes required to be collected, remitted or withheld (including federal and state withholding taxes (including the employer’s share thereof)); (3) (a) proceeds from the issuance of Indebtedness, (b) proceeds from a Disposition of assets (other than ABL Priority Collateral) and (c) proceeds of insurance and condemnation awards (and payments in lieu thereof) relating to any assets (other than ABL Priority Collateral) in each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to the extent such cash or permitted investment is required to be deposited in an account pursuant to the documentation governing any indebtedness having a first priority lien on any such assets; and (4) any other funds that the Borrower or any of its Subsidiaries holds in trust or as an escrow or fiduciary for another person that is not a subsidiary of the Borrower.</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or an Adjusted Term SOFR Rate Loan.</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a Person that directly or indirectly controls such Lender, the appointment of an administrator, provisional liquidator, conservator, receiver, trustee, custodian or other similar official by a supervisory authority or regulator under or based on the law in the country where such Lender or Person, as the case may be, is subject to home jurisdiction supervision if applicable law requires that such appointment is not to be publicly disclosed.</w:t>
      </w:r>
    </w:p>
    <w:p>
      <w:pPr>
        <w:spacing w:after="0" w:line="180"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 and Cash Equivalents</w:t>
      </w:r>
      <w:r>
        <w:rPr>
          <w:rFonts w:ascii="Times New Roman" w:cs="Times New Roman" w:eastAsia="Times New Roman" w:hAnsi="Times New Roman"/>
          <w:sz w:val="18"/>
          <w:szCs w:val="18"/>
          <w:color w:val="auto"/>
        </w:rPr>
        <w:t>” means, with respect to the Borrower and its Subsidiaries, cash or Cash Equivalents of the Borrower and its Subsidiaries that do not appear, or would not be required to appear, as “restricted” on the financial statements of the Borrower and its Subsidiaries (unless related to the Loan Documents or the Liens created thereunder).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68" w:name="page69"/>
    <w:bookmarkEnd w:id="68"/>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Power</w:t>
      </w:r>
      <w:r>
        <w:rPr>
          <w:rFonts w:ascii="Times New Roman" w:cs="Times New Roman" w:eastAsia="Times New Roman" w:hAnsi="Times New Roman"/>
          <w:sz w:val="18"/>
          <w:szCs w:val="18"/>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117" w:lineRule="exact"/>
        <w:rPr>
          <w:sz w:val="20"/>
          <w:szCs w:val="20"/>
          <w:color w:val="auto"/>
        </w:rPr>
      </w:pPr>
    </w:p>
    <w:p>
      <w:pPr>
        <w:ind w:left="440" w:right="20" w:firstLine="419"/>
        <w:spacing w:after="0" w:line="266" w:lineRule="auto"/>
        <w:tabs>
          <w:tab w:leader="none" w:pos="1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such Indebtedness;</w:t>
      </w:r>
    </w:p>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the Weighted Average Life to Maturity of any Indebtedness, the effects of any prepayments or amortization made on such Indebtedness prior to the date of such determination will be disregarded.</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w:t>
      </w:r>
      <w:r>
        <w:rPr>
          <w:rFonts w:ascii="Times New Roman" w:cs="Times New Roman" w:eastAsia="Times New Roman" w:hAnsi="Times New Roman"/>
          <w:sz w:val="18"/>
          <w:szCs w:val="18"/>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Laws to be owned by a Person other than the Borrower and/or one or more of its Wholly-Owned Subsidiaries).</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440" w:top="270" w:right="519" w:bottom="1440" w:gutter="0" w:footer="0" w:header="0"/>
        </w:sectPr>
      </w:pPr>
    </w:p>
    <w:bookmarkStart w:id="69" w:name="page70"/>
    <w:bookmarkEnd w:id="69"/>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54" w:lineRule="exact"/>
        <w:rPr>
          <w:sz w:val="20"/>
          <w:szCs w:val="20"/>
          <w:color w:val="auto"/>
        </w:rPr>
      </w:pPr>
    </w:p>
    <w:p>
      <w:pPr>
        <w:ind w:left="440" w:firstLine="419"/>
        <w:spacing w:after="0" w:line="252" w:lineRule="auto"/>
        <w:tabs>
          <w:tab w:leader="none" w:pos="11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rule or regulation shall include all statutory and regulatory provisions consolidating, amending, replacing or interpreting such law, rule or regulation and any reference to any law, rule or regulation 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8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53"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5" w:lineRule="auto"/>
        <w:tabs>
          <w:tab w:leader="none" w:pos="11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80" w:lineRule="exact"/>
        <w:rPr>
          <w:rFonts w:ascii="Times New Roman" w:cs="Times New Roman" w:eastAsia="Times New Roman" w:hAnsi="Times New Roman"/>
          <w:sz w:val="18"/>
          <w:szCs w:val="18"/>
          <w:color w:val="auto"/>
        </w:rPr>
      </w:pPr>
    </w:p>
    <w:p>
      <w:pPr>
        <w:ind w:left="440" w:right="100" w:firstLine="419"/>
        <w:spacing w:after="0" w:line="255" w:lineRule="auto"/>
        <w:tabs>
          <w:tab w:leader="none" w:pos="11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80"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xml:space="preserve">. Notwithstanding the above, the parties hereto acknowledge and agree that, for purposes of all financial calculations (other than with respect to Excess Cash Flow), if the Borrower or any Subsidiary has made any Acquisition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any Disposition outside the ordinary course of business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during the relevant period for determining compliance with such covenants, such calculations shall be made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as if such Acquisition or Disposition had occurred on the first day of such period, but in the case of an Acquisition, only so long as the results of the business being acquired are supported by financial statements or other financial data reasonably acceptable to the Administrative Agent.</w:t>
      </w:r>
    </w:p>
    <w:p>
      <w:pPr>
        <w:spacing w:after="0" w:line="79"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 Leases</w:t>
      </w:r>
      <w:r>
        <w:rPr>
          <w:rFonts w:ascii="Times New Roman" w:cs="Times New Roman" w:eastAsia="Times New Roman" w:hAnsi="Times New Roman"/>
          <w:sz w:val="18"/>
          <w:szCs w:val="18"/>
          <w:color w:val="auto"/>
        </w:rPr>
        <w:t>. Notwithstanding anything to the contrary contained in Section 1.03 or in the definition of “Financing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or finance lease where such lease (or similar arrangement) would not have been required to be so treated under GAAP as in effect on December 31, 2015, such lease shall not be considered a capital lease or finance lease, and all calculations and deliverables under this Agreement or any other Loan Document shall be made or delivered, as applicable, in accordance therewith.</w:t>
      </w:r>
    </w:p>
    <w:p>
      <w:pPr>
        <w:spacing w:after="0" w:line="18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71" w:name="page72"/>
    <w:bookmarkEnd w:id="71"/>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Times of Day; Rates</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Administrative Agent does not warrant, nor accept responsibility, nor shall the Administrative Agent have any liability with respect to the administration, submission or any other matter related to the rates in the definition of “Adjusted Term SOFR Rate” or with respect to any comparable or successor rate thereto.</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 xml:space="preserve">. Any amount specified in this Agreement (other than in </w:t>
      </w:r>
      <w:r>
        <w:rPr>
          <w:rFonts w:ascii="Times New Roman" w:cs="Times New Roman" w:eastAsia="Times New Roman" w:hAnsi="Times New Roman"/>
          <w:sz w:val="18"/>
          <w:szCs w:val="18"/>
          <w:u w:val="single" w:color="auto"/>
          <w:color w:val="auto"/>
        </w:rPr>
        <w:t>Article II, 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Effect of Benchmark Transition Event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80" w:firstLine="419"/>
        <w:spacing w:after="0" w:line="253" w:lineRule="auto"/>
        <w:tabs>
          <w:tab w:leader="none" w:pos="110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in connection with a Benchmark Transition Event,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Borrower without any amendment to this Agreement or any other Loan Document, or further action or consent of the Borrower, so long as the Administrative Agent has not received, by such time, written notice of objection to such Benchmark Replacement from the Borrower.</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440" w:top="270" w:right="519" w:bottom="1440" w:gutter="0" w:footer="0" w:header="0"/>
        </w:sectPr>
      </w:pPr>
    </w:p>
    <w:bookmarkStart w:id="72" w:name="page73"/>
    <w:bookmarkEnd w:id="72"/>
    <w:p>
      <w:pPr>
        <w:ind w:right="20" w:firstLine="419"/>
        <w:spacing w:after="0" w:line="261"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 Replacement Conforming Changes</w:t>
      </w:r>
      <w:r>
        <w:rPr>
          <w:rFonts w:ascii="Times New Roman" w:cs="Times New Roman" w:eastAsia="Times New Roman" w:hAnsi="Times New Roman"/>
          <w:sz w:val="18"/>
          <w:szCs w:val="18"/>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the Borrower.</w:t>
      </w:r>
    </w:p>
    <w:p>
      <w:pPr>
        <w:spacing w:after="0" w:line="71" w:lineRule="exact"/>
        <w:rPr>
          <w:rFonts w:ascii="Times New Roman" w:cs="Times New Roman" w:eastAsia="Times New Roman" w:hAnsi="Times New Roman"/>
          <w:sz w:val="18"/>
          <w:szCs w:val="18"/>
          <w:color w:val="auto"/>
        </w:rPr>
      </w:pPr>
    </w:p>
    <w:p>
      <w:pPr>
        <w:ind w:right="60" w:firstLine="419"/>
        <w:spacing w:after="0" w:line="254" w:lineRule="auto"/>
        <w:tabs>
          <w:tab w:leader="none" w:pos="6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of (i) any occurrence of a Benchmark Transition, and its related Benchmark Replacement Date,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pursuant to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the Borrower, except, in each case, as expressly required pursuant to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right="80" w:firstLine="419"/>
        <w:spacing w:after="0" w:line="253"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83" w:lineRule="exact"/>
        <w:rPr>
          <w:rFonts w:ascii="Times New Roman" w:cs="Times New Roman" w:eastAsia="Times New Roman" w:hAnsi="Times New Roman"/>
          <w:sz w:val="18"/>
          <w:szCs w:val="18"/>
          <w:color w:val="auto"/>
        </w:rPr>
      </w:pPr>
    </w:p>
    <w:p>
      <w:pPr>
        <w:ind w:firstLine="419"/>
        <w:spacing w:after="0" w:line="256" w:lineRule="auto"/>
        <w:tabs>
          <w:tab w:leader="none" w:pos="6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request for an Adjusted Term SOFR Rate Borrowing of, conversion to or continuation of Adjusted Term SOFR Rate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80"/>
          </w:cols>
          <w:pgMar w:left="880" w:top="270" w:right="439" w:bottom="1440" w:gutter="0" w:footer="0" w:header="0"/>
        </w:sectPr>
      </w:pPr>
    </w:p>
    <w:bookmarkStart w:id="73" w:name="page74"/>
    <w:bookmarkEnd w:id="7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1.08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COMMITMENTS AND BORROWINGS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The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80" w:firstLine="419"/>
        <w:spacing w:after="0" w:line="261" w:lineRule="auto"/>
        <w:tabs>
          <w:tab w:leader="none" w:pos="11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each Lender severally agrees to make Term Loans to the Borrower on the Closing Date in an amount not to exceed the amount of the Commitment of such Lender. The Term Loans may from time to time be Adjusted Term SOFR Rate Loans or Base Rate Loans, as determined by the Borrower and notified to the Administrative Agent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Amounts repaid on account of the Term Loans may not be reborrowed.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Borrowings, Conversions and Continuations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2" w:lineRule="auto"/>
        <w:tabs>
          <w:tab w:leader="none" w:pos="11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Borrowing, each conversion of Term Loans from one Type to the other, and each continuation of Adjusted Term SOFR Rate Loans shall be made upon the Borrower’s irrevocable written notice to the Administrative Agent, by a Committed Loan Notice. Each such Committed Loan Notice must be received by the Administrative Agent not later than 11:00 a.m. (i) three (3) Business Days prior to the requested date of any Borrowing of, conversion to or continuation of Adjusted Term SOFR Rate Loans or of any conversion of Adjusted Term SOFR Rate Loans to Base Rate Loans, and (ii) one Business Day prior to the requested date of any Borrowing of Base Rate Loans. Each Borrowing of, conversion to or continuation of Adjusted Term SOFR Rate Loans shall be in a minimum principal amount of $1,000,000 or a whole multiple of $500,000 in excess thereof. Each Borrowing of or conversion to Base Rate Loans shall be in a minimum principal amount of $500,000 or a whole multiple of $100,000 in excess thereof. Each such Committed Loan Notice shall specify (i) whether the Borrower is requesting a Term Borrowing, a conversion of Term Loans from one Type to the other, or a continuation of Adjusted Term SOFR Rate Loans, (ii) the requested date of the Borrowing, conversion or continuation, as the case may be (which shall be a Business Day), (iii) the principal amount of Loans to be borrowed, converted or continued, (iv) the Type of Term Loans to be borrowed or to which existing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Loans shall be made as, or converted to, Base Rate Loans. Any such automatic conversion to Base Rate Loans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70" w:right="479" w:bottom="1440" w:gutter="0" w:footer="0" w:header="0"/>
        </w:sectPr>
      </w:pPr>
    </w:p>
    <w:bookmarkStart w:id="74" w:name="page75"/>
    <w:bookmarkEnd w:id="74"/>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effective as of the last day of the Interest Period then in effect with respect to the applicable Adjusted Term SOFR Rate Loans. If the Borrower requests a Borrowing of, conversion to, or continuation of Adjusted Term SOFR Rate Loans in any such Committed Loan Notice, but fails to specify an Interest Period, it will be deemed to have specified an Interest Period of one month.</w:t>
      </w:r>
    </w:p>
    <w:p>
      <w:pPr>
        <w:spacing w:after="0" w:line="68" w:lineRule="exact"/>
        <w:rPr>
          <w:sz w:val="20"/>
          <w:szCs w:val="20"/>
          <w:color w:val="auto"/>
        </w:rPr>
      </w:pPr>
    </w:p>
    <w:p>
      <w:pPr>
        <w:ind w:left="4" w:firstLine="419"/>
        <w:spacing w:after="0" w:line="268" w:lineRule="auto"/>
        <w:tabs>
          <w:tab w:leader="none" w:pos="68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receipt of a Committed Loan Notice, the Administrative Agent shall promptly notify each Lender of the amount of its Applicable Percentage under the Term Facility of the applicable Term Loans and if no timely notice of a conversion or continuation is provided by the Borrower, the Administrative Agent shall notify each Lender of the details of any automatic conversion to Base Rate Loans described in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In the case of a Term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and upon receipt of all request funds, the Administrative Agent shall make all funds so received available to the Borrower in like funds as received by the Administrative Agent either by</w:t>
      </w:r>
    </w:p>
    <w:p>
      <w:pPr>
        <w:spacing w:after="0" w:line="2" w:lineRule="exact"/>
        <w:rPr>
          <w:rFonts w:ascii="Times New Roman" w:cs="Times New Roman" w:eastAsia="Times New Roman" w:hAnsi="Times New Roman"/>
          <w:sz w:val="17"/>
          <w:szCs w:val="17"/>
          <w:color w:val="auto"/>
        </w:rPr>
      </w:pPr>
    </w:p>
    <w:p>
      <w:pPr>
        <w:ind w:left="4" w:right="220" w:hanging="4"/>
        <w:spacing w:after="0" w:line="290" w:lineRule="auto"/>
        <w:tabs>
          <w:tab w:leader="none" w:pos="21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crediting the account of the Borrower on the books of the Administrative Agent, if any, with the amount of such funds or (ii) wire transfer of such funds, in each case in accordance with instructions provided to (and reasonably acceptable to) the Administrative Agent by the Borrower.</w:t>
      </w:r>
    </w:p>
    <w:p>
      <w:pPr>
        <w:spacing w:after="0" w:line="49" w:lineRule="exact"/>
        <w:rPr>
          <w:rFonts w:ascii="Times New Roman" w:cs="Times New Roman" w:eastAsia="Times New Roman" w:hAnsi="Times New Roman"/>
          <w:sz w:val="17"/>
          <w:szCs w:val="17"/>
          <w:color w:val="auto"/>
        </w:rPr>
      </w:pPr>
    </w:p>
    <w:p>
      <w:pPr>
        <w:jc w:val="both"/>
        <w:ind w:left="4" w:right="540" w:firstLine="419"/>
        <w:spacing w:after="0" w:line="266" w:lineRule="auto"/>
        <w:tabs>
          <w:tab w:leader="none" w:pos="6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Adjusted Term SOFR Rate Loan may be continued or converted only on the last day of an Interest Period for such Adjusted Term SOFR Rate Loan. During the existence of a Default, no Loans may be requested as, converted to or continued as Adjusted Term SOFR Rate Loans without the consent of the Required Lenders.</w:t>
      </w:r>
    </w:p>
    <w:p>
      <w:pPr>
        <w:spacing w:after="0" w:line="67" w:lineRule="exact"/>
        <w:rPr>
          <w:rFonts w:ascii="Times New Roman" w:cs="Times New Roman" w:eastAsia="Times New Roman" w:hAnsi="Times New Roman"/>
          <w:sz w:val="18"/>
          <w:szCs w:val="18"/>
          <w:color w:val="auto"/>
        </w:rPr>
      </w:pPr>
    </w:p>
    <w:p>
      <w:pPr>
        <w:ind w:left="4" w:right="240" w:firstLine="419"/>
        <w:spacing w:after="0" w:line="282" w:lineRule="auto"/>
        <w:tabs>
          <w:tab w:leader="none" w:pos="68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Adjusted Term SOFR Rate Loans upon determination of such interest rate.</w:t>
      </w:r>
    </w:p>
    <w:p>
      <w:pPr>
        <w:spacing w:after="0" w:line="53" w:lineRule="exact"/>
        <w:rPr>
          <w:rFonts w:ascii="Times New Roman" w:cs="Times New Roman" w:eastAsia="Times New Roman" w:hAnsi="Times New Roman"/>
          <w:sz w:val="18"/>
          <w:szCs w:val="18"/>
          <w:color w:val="auto"/>
        </w:rPr>
      </w:pPr>
    </w:p>
    <w:p>
      <w:pPr>
        <w:ind w:left="4" w:right="280" w:firstLine="419"/>
        <w:spacing w:after="0" w:line="282" w:lineRule="auto"/>
        <w:tabs>
          <w:tab w:leader="none" w:pos="6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Borrowings, all conversions of Loans from one Type to the other, and all continuations of Loans as the same Type, there shall not be more than ten (10) Interest Periods in effect in respect of the Term Facility.</w:t>
      </w:r>
    </w:p>
    <w:p>
      <w:pPr>
        <w:spacing w:after="0" w:line="5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44"/>
          </w:cols>
          <w:pgMar w:left="876" w:top="270" w:right="479" w:bottom="1440" w:gutter="0" w:footer="0" w:header="0"/>
        </w:sectPr>
      </w:pPr>
    </w:p>
    <w:bookmarkStart w:id="75" w:name="page76"/>
    <w:bookmarkEnd w:id="7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2.05 </w:t>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76" w:lineRule="auto"/>
        <w:tabs>
          <w:tab w:leader="none" w:pos="689"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2.05(c)</w:t>
      </w:r>
      <w:r>
        <w:rPr>
          <w:rFonts w:ascii="Times New Roman" w:cs="Times New Roman" w:eastAsia="Times New Roman" w:hAnsi="Times New Roman"/>
          <w:sz w:val="17"/>
          <w:szCs w:val="17"/>
          <w:color w:val="auto"/>
        </w:rPr>
        <w:t xml:space="preserve">, the Borrower may, upon written notice to the Administrative Agent, at any time or from time to time after the date that is ten (10) Business Days after the Closing Date, voluntarily prepay Loans in whole or in part without premium or penalty;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left="4" w:right="340" w:hanging="4"/>
        <w:spacing w:after="0" w:line="265" w:lineRule="auto"/>
        <w:tabs>
          <w:tab w:leader="none" w:pos="29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notice must be in a form acceptable to the Administrative Agent (including any form on an electronic platform or electronic transmission system as shall be approved by the Administrative Agent) appropriately completed and signed by a Responsible Officer and be received by the Administrative Agent not later than 11:00 a.m. (a) three (3) Business Days prior to any date of prepayment of Adjusted Term SOFR Rate Loans and</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one (1) Business Day prior to the date of prepayment of Base Rate Loans; (B) any prepayment of Adjusted Term SOFR Rate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Adjusted Term SOFR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Term Facility). If such notice is given by the Borrower, the Borrower shall make such prepayment and the payment amount specified in such notice shall be due and payable on the date specified therein. Any prepayment of a Loan shall be accompanied by all accrued interest on the amount prepaid, together with, in the case of a Adjusted Term SOFR Rate Loan,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Each prepayment of the outstanding Term Loans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shall be applied to the remaining amortization payments under the Term Facility in direct order of maturity, and thereafter to the next scheduled installments of principal of the Term Facility or portions thereof, and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each such prepayment shall be paid to the Lenders in accordance with their respective Applicable Percentages in respect of the Term Facility.</w:t>
      </w:r>
    </w:p>
    <w:p>
      <w:pPr>
        <w:spacing w:after="0" w:line="192"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firstLine="419"/>
        <w:spacing w:after="0" w:line="272" w:lineRule="auto"/>
        <w:tabs>
          <w:tab w:leader="none" w:pos="1082" w:val="left"/>
        </w:tabs>
        <w:numPr>
          <w:ilvl w:val="2"/>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Commencing with the fiscal year ending December 31, 2021, within the later of (x) five (5) Business Days after financial statements have been delivered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and the related Compliance Certificate has been delivered pursuant to </w:t>
      </w:r>
      <w:r>
        <w:rPr>
          <w:rFonts w:ascii="Times New Roman" w:cs="Times New Roman" w:eastAsia="Times New Roman" w:hAnsi="Times New Roman"/>
          <w:sz w:val="17"/>
          <w:szCs w:val="17"/>
          <w:u w:val="single" w:color="auto"/>
          <w:color w:val="auto"/>
        </w:rPr>
        <w:t>Section 6.02(b)</w:t>
      </w:r>
      <w:r>
        <w:rPr>
          <w:rFonts w:ascii="Times New Roman" w:cs="Times New Roman" w:eastAsia="Times New Roman" w:hAnsi="Times New Roman"/>
          <w:sz w:val="17"/>
          <w:szCs w:val="17"/>
          <w:color w:val="auto"/>
        </w:rPr>
        <w:t xml:space="preserve"> and (y) ninety-five (95) days after the end of such fiscal year, the Borrower shall prepay an aggregate principal amount of Loans equal to the excess (if any) of</w:t>
      </w:r>
    </w:p>
    <w:p>
      <w:pPr>
        <w:spacing w:after="0" w:line="1" w:lineRule="exact"/>
        <w:rPr>
          <w:rFonts w:ascii="Times New Roman" w:cs="Times New Roman" w:eastAsia="Times New Roman" w:hAnsi="Times New Roman"/>
          <w:sz w:val="17"/>
          <w:szCs w:val="17"/>
          <w:color w:val="auto"/>
        </w:rPr>
      </w:pPr>
    </w:p>
    <w:p>
      <w:pPr>
        <w:ind w:left="444"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the ECF Percentage of Excess Cash Flow for the fiscal year covered by such financial statements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(1) the aggregate principal amount of Term Loans prepaid pursuant to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or repurchases of the Term Loans made pursuant to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during such fiscal year (and not previously applied by the Borrower pursuant to the following clause (2) to reduce the prepayment required by this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for the preceding fiscal year) and (2) at the Borrower’s election, all or any amount of Term Loans prepaid pursuant to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or repurchases of the Term Loans made pursuant to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after the end of such fiscal year and on or prior to the date of such prepayment;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prepayments were not made with proceeds of any Indebtedness, Disposition, equity issuance, Extraordinary Receipts or other proceeds that would not be included in calculating Consolidated EBITDA for the applicable fiscal year (such prepayments to be applied as set forth in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prepayment shall be required for the fiscal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-4039235</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76" w:name="page77"/>
    <w:bookmarkEnd w:id="76"/>
    <w:p>
      <w:pPr>
        <w:ind w:left="-7" w:firstLine="408"/>
        <w:spacing w:after="0" w:line="251" w:lineRule="auto"/>
        <w:tabs>
          <w:tab w:leader="none" w:pos="65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Borrower or any of its Subsidiaries Disposes of any property (other than any Disposition of any property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that results in the realization by such Person of Net Cash Proceeds, the Borrower shall prepay an aggregate principal amount of Term Loans equal to 100% of such Net Cash Proceeds within ten (10) Business Days of receipt thereof by such Person (such prepayments to be applied as set forth in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Net Cash Proceeds realized under a Disposition described in this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at the election of the Borrower (as notified by the Borrower to the Administrative Agent within such ten (10) Business Day period), the Borrower or such Subsidiary may reinvest such Net Cash Proceeds up to an amount not to exceed $50,000,000 during the term of the Term Facility (the “</w:t>
      </w:r>
      <w:r>
        <w:rPr>
          <w:rFonts w:ascii="Times New Roman" w:cs="Times New Roman" w:eastAsia="Times New Roman" w:hAnsi="Times New Roman"/>
          <w:sz w:val="18"/>
          <w:szCs w:val="18"/>
          <w:u w:val="single" w:color="auto"/>
          <w:color w:val="auto"/>
        </w:rPr>
        <w:t>Reinvestment Amount</w:t>
      </w:r>
      <w:r>
        <w:rPr>
          <w:rFonts w:ascii="Times New Roman" w:cs="Times New Roman" w:eastAsia="Times New Roman" w:hAnsi="Times New Roman"/>
          <w:sz w:val="18"/>
          <w:szCs w:val="18"/>
          <w:color w:val="auto"/>
        </w:rPr>
        <w:t xml:space="preserve">”) in Collateral used or useful in the operation of the Borrower or its Subsidiaries (or committed to be reinvested pursuant to a definitive agreement) within 12 months and, if so committed to be reinvested, so long as such reinvestment is actually completed within 18 months after such Disposition;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the Borrower shall not be required to reinvest such Net Cash Proceeds in Collateral to the extent such Net Cash Proceeds result from the disposition of property that is not, and is not otherwise required to be, Collateral and instead may reinvest such proceeds in assets that do not constitute Collateral so long as such assets are used or useful in the operation of the Borrower or its Subsidiaries and (ii) the Borrower may invest up to $10,000,000 of the Reinvestment Amount each fiscal year in non- Collateral assets so long as such assets are used or useful in the operation of the Borrower or its Subsidiaries. Notwithstanding anything in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to the contrary, (x) 100% of the Net Cash Proceeds of any Disposition of ABL Priority Collateral shall first be offered to permanently reduce the commitments in respect of the ABL Facility on a pro rata basis among the ABL Lenders, (y) at the Borrower’s option and with customary notice, any ABL Lender may elect not to accept its pro rata portion of any such mandatory prepayment and (z) any such prepayment amount so declined shall otherwise be applied in accordance with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Net Cash Proceeds result from a Disposition of ABL Priority Collateral, upon the occurrence of the ABL Obligations Payment Date (as defined in the ABL Intercreditor Agreement), such Net Cash Proceeds shall be applied to the Obligations in accordance with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Notwithstanding anything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 this Section 2.05(b) to the contrary, the Borrower shall prepay an aggregate principal amount of Term Loans equal to 100% of the Net Cash Proceeds received in connection with the 2024 Sale and Leaseback Transaction or any other Disposition consummated after the Amendment No. 3 Effective Date and before June 30, 2024, the proceeds of which are greater than $5,000,000, in each case, within ten</w:t>
      </w:r>
    </w:p>
    <w:p>
      <w:pPr>
        <w:spacing w:after="0" w:line="7" w:lineRule="exact"/>
        <w:rPr>
          <w:rFonts w:ascii="Times New Roman" w:cs="Times New Roman" w:eastAsia="Times New Roman" w:hAnsi="Times New Roman"/>
          <w:sz w:val="18"/>
          <w:szCs w:val="18"/>
          <w:color w:val="auto"/>
        </w:rPr>
      </w:pPr>
    </w:p>
    <w:p>
      <w:pPr>
        <w:ind w:left="-7" w:right="140" w:firstLine="7"/>
        <w:spacing w:after="0" w:line="260" w:lineRule="auto"/>
        <w:tabs>
          <w:tab w:leader="none" w:pos="337" w:val="left"/>
        </w:tabs>
        <w:numPr>
          <w:ilvl w:val="0"/>
          <w:numId w:val="5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Business Days of receipt thereof by the Borrower (such prepayments to be applied as set forth in clause (v) below) without regard to any reinvestment rights with respect to such Net Cash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-687070</wp:posOffset>
            </wp:positionV>
            <wp:extent cx="12255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255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-549910</wp:posOffset>
            </wp:positionV>
            <wp:extent cx="62407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-412750</wp:posOffset>
            </wp:positionV>
            <wp:extent cx="60947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-275590</wp:posOffset>
            </wp:positionV>
            <wp:extent cx="61893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62750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wp:posOffset>
            </wp:positionV>
            <wp:extent cx="29317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94"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013"/>
          </w:cols>
          <w:pgMar w:left="1427" w:top="270" w:right="459" w:bottom="1440" w:gutter="0" w:footer="0" w:header="0"/>
        </w:sectPr>
      </w:pPr>
    </w:p>
    <w:bookmarkStart w:id="77" w:name="page78"/>
    <w:bookmarkEnd w:id="77"/>
    <w:p>
      <w:pPr>
        <w:ind w:left="-7" w:right="140" w:firstLine="408"/>
        <w:spacing w:after="0" w:line="261" w:lineRule="auto"/>
        <w:tabs>
          <w:tab w:leader="none" w:pos="70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incurrence or issuance by the Borrower or any of its Subsidiaries of any Indebtedness (other than Indebtedness expressly permitted to be incurred or issued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the Borrower shall prepay an aggregate principal amount of Loans equal to 100% of all Net Cash Proceeds received therefrom within five (5) Business Days of receipt thereof by the Borrower or such Subsidiary (such prepayments to be applied as set forth in clause (v) below).</w:t>
      </w:r>
    </w:p>
    <w:p>
      <w:pPr>
        <w:spacing w:after="0" w:line="71" w:lineRule="exact"/>
        <w:rPr>
          <w:rFonts w:ascii="Times New Roman" w:cs="Times New Roman" w:eastAsia="Times New Roman" w:hAnsi="Times New Roman"/>
          <w:sz w:val="18"/>
          <w:szCs w:val="18"/>
          <w:color w:val="auto"/>
        </w:rPr>
      </w:pPr>
    </w:p>
    <w:p>
      <w:pPr>
        <w:ind w:left="-7" w:right="40" w:firstLine="408"/>
        <w:spacing w:after="0" w:line="253" w:lineRule="auto"/>
        <w:tabs>
          <w:tab w:leader="none" w:pos="69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Extraordinary Receipt received by or paid to or for the account of the Borrower or any of its Subsidiaries, and not otherwise included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the Borrower shall prepay an aggregate principal amount of Loans equal to 100% of all Net Cash Proceeds received therefrom within ten (10) Business Days of receipt thereof by the Borrower or such Subsidiary (such prepayments to be applied as set forth in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proceeds of insurance, condemnation awards (or payments in lieu thereof) or indemnity payments, at the election of the Borrower (as notified by the Borrower to the Administrative Agent on or prior to the date of receipt of such insurance proceeds, condemnation awards or indemnity payments), and so long as no Event of Default shall have occurred and be continuing, the Borrower or such Subsidiary may apply within 180 days after the receipt of such cash proceeds to replace or repair the equipment, fixed assets or real property in respect of which such cash proceeds were received and if such Net Cash Proceeds are not so reinvested within such 180-day period but such Net Cash Proceeds are subject to a definitive agreement within such 180-day period to reinvest such Net Cash Proceeds in accordance with this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 xml:space="preserve"> then the Borrower or such Subsidiary shall have an additional 180 days after the end of the such initial 180-day period to reinvest such Net Cash Proceeds in accordance with this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cash proceeds not so applied shall be promptly applied to the prepayment of the Loans as set forth in this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7" w:firstLine="408"/>
        <w:spacing w:after="0" w:line="277" w:lineRule="auto"/>
        <w:tabs>
          <w:tab w:leader="none" w:pos="64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prepayment of Loans pursuant to the foregoing provisions of this </w:t>
      </w:r>
      <w:r>
        <w:rPr>
          <w:rFonts w:ascii="Times New Roman" w:cs="Times New Roman" w:eastAsia="Times New Roman" w:hAnsi="Times New Roman"/>
          <w:sz w:val="17"/>
          <w:szCs w:val="17"/>
          <w:u w:val="single" w:color="auto"/>
          <w:color w:val="auto"/>
        </w:rPr>
        <w:t>Section 2.05(b)</w:t>
      </w:r>
      <w:r>
        <w:rPr>
          <w:rFonts w:ascii="Times New Roman" w:cs="Times New Roman" w:eastAsia="Times New Roman" w:hAnsi="Times New Roman"/>
          <w:sz w:val="17"/>
          <w:szCs w:val="17"/>
          <w:color w:val="auto"/>
        </w:rPr>
        <w:t xml:space="preserve"> shall be applied, (1) with respect to prepayments required by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to the next scheduled installments of principal of the Term Facility and (2) with respect to prepayments required by </w:t>
      </w:r>
      <w:r>
        <w:rPr>
          <w:rFonts w:ascii="Times New Roman" w:cs="Times New Roman" w:eastAsia="Times New Roman" w:hAnsi="Times New Roman"/>
          <w:sz w:val="17"/>
          <w:szCs w:val="17"/>
          <w:u w:val="single" w:color="auto"/>
          <w:color w:val="auto"/>
        </w:rPr>
        <w:t>clauses (ii)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the next two principal repayment installments of the Term Facility and, </w:t>
      </w:r>
      <w:r>
        <w:rPr>
          <w:rFonts w:ascii="Times New Roman" w:cs="Times New Roman" w:eastAsia="Times New Roman" w:hAnsi="Times New Roman"/>
          <w:sz w:val="17"/>
          <w:szCs w:val="17"/>
          <w:u w:val="single" w:color="auto"/>
          <w:color w:val="auto"/>
        </w:rPr>
        <w:t>thereafter</w:t>
      </w:r>
      <w:r>
        <w:rPr>
          <w:rFonts w:ascii="Times New Roman" w:cs="Times New Roman" w:eastAsia="Times New Roman" w:hAnsi="Times New Roman"/>
          <w:sz w:val="17"/>
          <w:szCs w:val="17"/>
          <w:color w:val="auto"/>
        </w:rPr>
        <w:t xml:space="preserve">, in inverse order of maturity to the remaining scheduled principal installments of the Term Facility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Subject to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such prepayments shall be paid to the Lenders in accordance with their respective Applicable Percentages in respect of the Term Facility.</w:t>
      </w:r>
    </w:p>
    <w:p>
      <w:pPr>
        <w:spacing w:after="0" w:line="59" w:lineRule="exact"/>
        <w:rPr>
          <w:rFonts w:ascii="Times New Roman" w:cs="Times New Roman" w:eastAsia="Times New Roman" w:hAnsi="Times New Roman"/>
          <w:sz w:val="17"/>
          <w:szCs w:val="17"/>
          <w:color w:val="auto"/>
        </w:rPr>
      </w:pPr>
    </w:p>
    <w:p>
      <w:pPr>
        <w:ind w:left="713" w:hanging="312"/>
        <w:spacing w:after="0"/>
        <w:tabs>
          <w:tab w:leader="none" w:pos="71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2.05(b) to the contrary, the Borrower will not later than 11:00 a.m. on the date three</w:t>
      </w:r>
    </w:p>
    <w:p>
      <w:pPr>
        <w:spacing w:after="0" w:line="27" w:lineRule="exact"/>
        <w:rPr>
          <w:rFonts w:ascii="Times New Roman" w:cs="Times New Roman" w:eastAsia="Times New Roman" w:hAnsi="Times New Roman"/>
          <w:sz w:val="18"/>
          <w:szCs w:val="18"/>
          <w:color w:val="auto"/>
        </w:rPr>
      </w:pPr>
    </w:p>
    <w:p>
      <w:pPr>
        <w:ind w:left="-7" w:right="80" w:firstLine="7"/>
        <w:spacing w:after="0" w:line="255" w:lineRule="auto"/>
        <w:tabs>
          <w:tab w:leader="none" w:pos="2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(or such later date as agreed to by the Administrative Agent) prior to the date such prepayment with respect to this Section 2.05(b), give the Administrative Agent written notice requesting that the Administrative Agent provide notice of such prepayment to each Lender, each Lender will have the right to refuse any such</w:t>
      </w:r>
    </w:p>
    <w:p>
      <w:pPr>
        <w:spacing w:after="0" w:line="11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013"/>
          </w:cols>
          <w:pgMar w:left="1427" w:top="270" w:right="459" w:bottom="1440" w:gutter="0" w:footer="0" w:header="0"/>
        </w:sectPr>
      </w:pPr>
    </w:p>
    <w:bookmarkStart w:id="78" w:name="page79"/>
    <w:bookmarkEnd w:id="78"/>
    <w:p>
      <w:pPr>
        <w:ind w:left="54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 by giving written notice (a “</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of such refusal to the Borrower and the Administrative Agent by 11:00 a.m. one (b) Business Day prior to the date of such prepayment and (iii) the Borrower will make all such prepayments not so. Any Lender that does not decline such prepayment in writing on or prior to the date set forth above shall be deemed to have accepted such prepayment.</w:t>
      </w:r>
    </w:p>
    <w:p>
      <w:pPr>
        <w:spacing w:after="0" w:line="68" w:lineRule="exact"/>
        <w:rPr>
          <w:sz w:val="20"/>
          <w:szCs w:val="20"/>
          <w:color w:val="auto"/>
        </w:rPr>
      </w:pPr>
    </w:p>
    <w:p>
      <w:pPr>
        <w:ind w:left="1300" w:hanging="352"/>
        <w:spacing w:after="0"/>
        <w:tabs>
          <w:tab w:leader="none" w:pos="130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any mandatory prepayments arising under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or</w:t>
      </w:r>
    </w:p>
    <w:p>
      <w:pPr>
        <w:spacing w:after="0" w:line="27" w:lineRule="exact"/>
        <w:rPr>
          <w:rFonts w:ascii="Times New Roman" w:cs="Times New Roman" w:eastAsia="Times New Roman" w:hAnsi="Times New Roman"/>
          <w:sz w:val="18"/>
          <w:szCs w:val="18"/>
          <w:color w:val="auto"/>
        </w:rPr>
      </w:pPr>
    </w:p>
    <w:p>
      <w:pPr>
        <w:ind w:left="540" w:right="200" w:firstLine="7"/>
        <w:spacing w:after="0" w:line="250" w:lineRule="auto"/>
        <w:tabs>
          <w:tab w:leader="none" w:pos="845" w:val="left"/>
        </w:tabs>
        <w:numPr>
          <w:ilvl w:val="1"/>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from the receipt of Net Cash Proceeds from any Disposition or Extraordinary Receipts by any Foreign Subsidiary (each, a “</w:t>
      </w:r>
      <w:r>
        <w:rPr>
          <w:rFonts w:ascii="Times New Roman" w:cs="Times New Roman" w:eastAsia="Times New Roman" w:hAnsi="Times New Roman"/>
          <w:sz w:val="18"/>
          <w:szCs w:val="18"/>
          <w:u w:val="single" w:color="auto"/>
          <w:color w:val="auto"/>
        </w:rPr>
        <w:t>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or arising under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from Excess Cash Flow directly attributable to Foreign Subsidiaries (“</w:t>
      </w:r>
      <w:r>
        <w:rPr>
          <w:rFonts w:ascii="Times New Roman" w:cs="Times New Roman" w:eastAsia="Times New Roman" w:hAnsi="Times New Roman"/>
          <w:sz w:val="18"/>
          <w:szCs w:val="18"/>
          <w:u w:val="single" w:color="auto"/>
          <w:color w:val="auto"/>
        </w:rPr>
        <w:t>Foreign 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Cash Flow</w:t>
      </w:r>
      <w:r>
        <w:rPr>
          <w:rFonts w:ascii="Times New Roman" w:cs="Times New Roman" w:eastAsia="Times New Roman" w:hAnsi="Times New Roman"/>
          <w:sz w:val="18"/>
          <w:szCs w:val="18"/>
          <w:color w:val="auto"/>
        </w:rPr>
        <w:t>”) shall not be required to the extent that the repatriation of such Net Cash Proceeds or Foreign Excess Cash Flow would</w:t>
      </w:r>
    </w:p>
    <w:p>
      <w:pPr>
        <w:spacing w:after="0" w:line="1" w:lineRule="exact"/>
        <w:rPr>
          <w:rFonts w:ascii="Times New Roman" w:cs="Times New Roman" w:eastAsia="Times New Roman" w:hAnsi="Times New Roman"/>
          <w:sz w:val="18"/>
          <w:szCs w:val="18"/>
          <w:u w:val="single" w:color="auto"/>
          <w:color w:val="auto"/>
        </w:rPr>
      </w:pPr>
    </w:p>
    <w:p>
      <w:pPr>
        <w:ind w:left="540"/>
        <w:spacing w:after="0" w:line="253"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 give rise to adverse tax, accounting or regulatory consequences (in each case, other than de minimis) or (B) be prohibited, restricted or delayed by any requirement of applicable Laws. The Borrower hereby agreeing to use commercially reasonable efforts to cause the applicable Foreign Subsidiary to promptly file any required forms, obtain any necessary consents and take all similar actions reasonably required by the applicable local Laws to permit such repatriation.</w:t>
      </w:r>
    </w:p>
    <w:p>
      <w:pPr>
        <w:spacing w:after="0" w:line="80" w:lineRule="exact"/>
        <w:rPr>
          <w:rFonts w:ascii="Times New Roman" w:cs="Times New Roman" w:eastAsia="Times New Roman" w:hAnsi="Times New Roman"/>
          <w:sz w:val="18"/>
          <w:szCs w:val="18"/>
          <w:u w:val="single" w:color="auto"/>
          <w:color w:val="auto"/>
        </w:rPr>
      </w:pPr>
    </w:p>
    <w:p>
      <w:pPr>
        <w:ind w:left="660" w:hanging="241"/>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Premium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 xml:space="preserve">In the event that all or any portion of the Term Loans is repaid or prepaid as a result of any voluntary prepayment or mandatory prepayment, but excluding any prepayment made pursuant to </w:t>
      </w:r>
      <w:r>
        <w:rPr>
          <w:rFonts w:ascii="Times New Roman" w:cs="Times New Roman" w:eastAsia="Times New Roman" w:hAnsi="Times New Roman"/>
          <w:sz w:val="18"/>
          <w:szCs w:val="18"/>
          <w:u w:val="single" w:color="auto"/>
          <w:color w:val="auto"/>
        </w:rPr>
        <w:t>Sections 2.05(b)(i)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(including, for the avoidance of doubt, prepayments made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connection with the 2024 Sale and Leaseback Transaction and any other Disposition consummated after the Amendment No. 3 Effective Date and before June 30, 2024, the proceeds of which are greater than $5,000,000)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u w:val="single" w:color="auto"/>
          <w:color w:val="000000"/>
        </w:rPr>
        <w:t>b)(iv</w:t>
      </w:r>
      <w:r>
        <w:rPr>
          <w:rFonts w:ascii="Times New Roman" w:cs="Times New Roman" w:eastAsia="Times New Roman" w:hAnsi="Times New Roman"/>
          <w:sz w:val="18"/>
          <w:szCs w:val="18"/>
          <w:color w:val="000000"/>
        </w:rPr>
        <w:t>), on or prior to the third anniversary of the Closing Date,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repayments, prepayments or required assignments shall be made at (A) an amount equal to the Make-Whole Amount, if such repayment, prepayment or required assignment occurs on or prior to the first anniversary of the Closing Date, (B) 2.0% of the amount repaid or prepaid as of the date of such repayment, prepayment or required assignment, if such repayment, prepayment or required assignment occurs after the first anniversary of the Closing Date but on or prior to the second anniversary of the Closing Date and (C) 1.0% of the amount repaid or prepaid, if such repayment, prepayment or required assignment occurs after the second anniversary of the Closing Date but on or prior to the third anniversary of the Closing Date (the foregoing premiums (including the Make-Whole Amount), the “</w:t>
      </w:r>
      <w:r>
        <w:rPr>
          <w:rFonts w:ascii="Times New Roman" w:cs="Times New Roman" w:eastAsia="Times New Roman" w:hAnsi="Times New Roman"/>
          <w:sz w:val="18"/>
          <w:szCs w:val="18"/>
          <w:u w:val="single" w:color="auto"/>
          <w:color w:val="000000"/>
        </w:rPr>
        <w:t>Prepayment Premium</w:t>
      </w:r>
      <w:r>
        <w:rPr>
          <w:rFonts w:ascii="Times New Roman" w:cs="Times New Roman" w:eastAsia="Times New Roman" w:hAnsi="Times New Roman"/>
          <w:sz w:val="18"/>
          <w:szCs w:val="18"/>
          <w:color w:val="000000"/>
        </w:rPr>
        <w:t xml:space="preserve">”). No Prepayment Premium will be applicable on any portion of the Term Loan repaid or prepayment, but excluding any prepayment made pursuant to </w:t>
      </w:r>
      <w:r>
        <w:rPr>
          <w:rFonts w:ascii="Times New Roman" w:cs="Times New Roman" w:eastAsia="Times New Roman" w:hAnsi="Times New Roman"/>
          <w:sz w:val="18"/>
          <w:szCs w:val="18"/>
          <w:u w:val="single" w:color="auto"/>
          <w:color w:val="000000"/>
        </w:rPr>
        <w:t>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-1223010</wp:posOffset>
            </wp:positionV>
            <wp:extent cx="27603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-1085850</wp:posOffset>
            </wp:positionV>
            <wp:extent cx="66776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-948690</wp:posOffset>
            </wp:positionV>
            <wp:extent cx="33686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right="160"/>
        <w:spacing w:after="0" w:line="260" w:lineRule="auto"/>
        <w:rPr>
          <w:sz w:val="20"/>
          <w:szCs w:val="20"/>
          <w:color w:val="auto"/>
        </w:rPr>
      </w:pPr>
      <w:r>
        <w:rPr>
          <w:rFonts w:ascii="Times New Roman" w:cs="Times New Roman" w:eastAsia="Times New Roman" w:hAnsi="Times New Roman"/>
          <w:sz w:val="18"/>
          <w:szCs w:val="18"/>
          <w:u w:val="single" w:color="auto"/>
          <w:color w:val="auto"/>
        </w:rPr>
        <w:t>2.05(b)(i)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b)(iv</w:t>
      </w:r>
      <w:r>
        <w:rPr>
          <w:rFonts w:ascii="Times New Roman" w:cs="Times New Roman" w:eastAsia="Times New Roman" w:hAnsi="Times New Roman"/>
          <w:sz w:val="18"/>
          <w:szCs w:val="18"/>
          <w:color w:val="auto"/>
        </w:rPr>
        <w:t>), after the third anniversary of the Closing Date. If the Term Loans are accelerated or otherwise become due prior to their maturity date, in each case (including upon the occurrence of a bankruptcy or insolvency event of default or the</w:t>
      </w:r>
    </w:p>
    <w:p>
      <w:pPr>
        <w:spacing w:after="0" w:line="1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20"/>
          </w:cols>
          <w:pgMar w:left="880" w:top="270" w:right="499" w:bottom="1440" w:gutter="0" w:footer="0" w:header="0"/>
        </w:sectPr>
      </w:pPr>
    </w:p>
    <w:bookmarkStart w:id="79" w:name="page80"/>
    <w:bookmarkEnd w:id="79"/>
    <w:p>
      <w:pPr>
        <w:ind w:left="440" w:right="4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acceleration of claims by operation of law), the amount of principal of and premium on the Term Loans that becomes due and payable shall equal 100.0% of the principal amount of the Term Loans plus the Prepayment Premium in effect on the date of such acceleration or such other prior due date, as if such acceleration or other occurrence were a voluntary prepayment of the Term Loans accelerated or otherwise becoming due. Without limiting the generality of the foregoing, it is understood and agreed that if the Loans are accelerated or otherwise become due prior to the Maturity Date, in each case (including upon the occurrence of a bankruptcy or insolvency event of default or the acceleration of claims by operation of law), the Prepayment Premium applicable with respect to a voluntary prepayment of the Term Loans will also be due and payable on the date of such acceleration or such other prior due date as though the Term Loans were voluntarily prepaid as of such date and shall constitute part of the Obligations, in view of the impracticability and extreme difficulty of ascertaining actual damages and by mutual agreement of the parties as to a reasonable calculation of each Lender’s loss as a result thereof. Any Prepayment Premium payable above shall be presumed to be the liquidated damages sustained by each Lender and the Borrower agrees that it is reasonable under the circumstances currently existing. THE BORROWER EXPRESSLY WAIVES (TO THE FULLEST EXTENT IT MAY LAWFULLY DO SO) THE PROVISIONS OF ANY PRESENT OR FUTURE STATUTE OR LAW THAT PROHIBITS OR MAY PROHIBIT THE COLLECTION OF THE PREPAYMENT PREMIUM IN CONNECTION WITH ANY SUCH ACCELERATION. The Borrower expressly agrees (to the fullest extent it may lawfully do so) that: (A) the Prepayment Premium is reasonable and is the product of an arm’s length transaction between sophisticated business people, ably represented by counsel,</w:t>
      </w:r>
    </w:p>
    <w:p>
      <w:pPr>
        <w:spacing w:after="0" w:line="9" w:lineRule="exact"/>
        <w:rPr>
          <w:sz w:val="20"/>
          <w:szCs w:val="20"/>
          <w:color w:val="auto"/>
        </w:rPr>
      </w:pPr>
    </w:p>
    <w:p>
      <w:pPr>
        <w:ind w:left="440" w:right="140" w:hanging="4"/>
        <w:spacing w:after="0" w:line="255" w:lineRule="auto"/>
        <w:tabs>
          <w:tab w:leader="none" w:pos="7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Prepayment Premium shall be payable notwithstanding the then prevailing market rates at the time payment is made, (C) there has been a course of conduct between the Lenders and the Borrower giving specific consideration in this transaction for such agreement to pay the Prepayment Premium and (D) the Borrower shall be estopped hereafter from claiming differently than as agreed to in this paragraph.</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419"/>
        <w:spacing w:after="0" w:line="266" w:lineRule="auto"/>
        <w:tabs>
          <w:tab w:leader="none" w:pos="11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The Borrower shall repay to the Term Lenders the aggregate principal amount of all Term Loans outstanding in consecutive quarterly installments on the following dates in an amount equal to the amount set forth opposite such date (which amounts shall be reduced as a result of the application of prepayments in accordance with the order of priority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The last Business Day of each fiscal quarter ending prior to the Maturity Date</w:t>
            </w:r>
          </w:p>
        </w:tc>
        <w:tc>
          <w:tcPr>
            <w:tcW w:w="12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0.25% of the aggregate principal amount of the aggregate Initial Term</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 the Term Facility, commencing with the fiscal quarter ending June 30,</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Loans on the Closing Date</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2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 with respect to the Term Facility</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 outstanding principal amount of the Term Loans</w:t>
            </w:r>
          </w:p>
        </w:tc>
      </w:tr>
      <w:tr>
        <w:trPr>
          <w:trHeight w:val="364"/>
        </w:trPr>
        <w:tc>
          <w:tcPr>
            <w:tcW w:w="5620" w:type="dxa"/>
            <w:vAlign w:val="bottom"/>
          </w:tcPr>
          <w:p>
            <w:pPr>
              <w:ind w:left="5420"/>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2.08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left="540" w:right="20" w:firstLine="408"/>
        <w:spacing w:after="0" w:line="258" w:lineRule="auto"/>
        <w:tabs>
          <w:tab w:leader="none" w:pos="1156"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Interest Payment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(i) each Adjusted Term SOFR Rate Loan under a Facility shall bear interest on the outstanding principal amount thereof for each Interest Period at a rate per annum equal to the Adjusted Term SOFR Rate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such Facility; and (ii) each Base Rate Loan under a Facility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such Facility.</w:t>
      </w:r>
    </w:p>
    <w:p>
      <w:pPr>
        <w:spacing w:after="0" w:line="75" w:lineRule="exact"/>
        <w:rPr>
          <w:rFonts w:ascii="Times New Roman" w:cs="Times New Roman" w:eastAsia="Times New Roman" w:hAnsi="Times New Roman"/>
          <w:sz w:val="18"/>
          <w:szCs w:val="18"/>
          <w:color w:val="auto"/>
        </w:rPr>
      </w:pPr>
    </w:p>
    <w:p>
      <w:pPr>
        <w:ind w:left="540" w:firstLine="408"/>
        <w:spacing w:after="0" w:line="253" w:lineRule="auto"/>
        <w:tabs>
          <w:tab w:leader="none" w:pos="1206"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PIK Interest Accrual</w:t>
      </w:r>
      <w:r>
        <w:rPr>
          <w:rFonts w:ascii="Times New Roman" w:cs="Times New Roman" w:eastAsia="Times New Roman" w:hAnsi="Times New Roman"/>
          <w:sz w:val="18"/>
          <w:szCs w:val="18"/>
          <w:color w:val="auto"/>
        </w:rPr>
        <w:t>. Subject to the provisions of Section 2.08(b), commencing with the fiscal quarter ending June 30, 2023, each Loan shall bear PIK Interest equal to (1) in any Interest Period ending after the first full fiscal quarter following the quarter in which the Junior Capital Condition is not met, if the Consolidated Net Leverage Ratio of the Borrower and its Subsidiaries at the time of such election is (A) greater than or equal to 3.00:1.00, the PIK Interest shall be two percent (2.00%) or (B) less than 3.00:1.00, the PIK Interest shall be one percent (1.00%) or (2) in any Interest Period ending after the first full fiscal quarter after the quarter in which the Junior Capital Condition is met, if the Consolidated Net Leverage Ratio of the Borrower and its Subsidiaries at the time of such election is</w:t>
      </w:r>
    </w:p>
    <w:p>
      <w:pPr>
        <w:spacing w:after="0" w:line="5" w:lineRule="exact"/>
        <w:rPr>
          <w:rFonts w:ascii="Times New Roman" w:cs="Times New Roman" w:eastAsia="Times New Roman" w:hAnsi="Times New Roman"/>
          <w:sz w:val="18"/>
          <w:szCs w:val="18"/>
          <w:color w:val="auto"/>
        </w:rPr>
      </w:pPr>
    </w:p>
    <w:p>
      <w:pPr>
        <w:ind w:left="540" w:right="280" w:firstLine="7"/>
        <w:spacing w:after="0" w:line="260" w:lineRule="auto"/>
        <w:tabs>
          <w:tab w:leader="none" w:pos="83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or equal to 3.00:1.00, the PIK Interest shall be one percent (1.00%) or (B) less than 3.00:1.00, the PIK Interest shall be one half of one percent (0.50%).</w:t>
      </w:r>
    </w:p>
    <w:p>
      <w:pPr>
        <w:spacing w:after="0" w:line="73" w:lineRule="exact"/>
        <w:rPr>
          <w:rFonts w:ascii="Times New Roman" w:cs="Times New Roman" w:eastAsia="Times New Roman" w:hAnsi="Times New Roman"/>
          <w:sz w:val="18"/>
          <w:szCs w:val="18"/>
          <w:color w:val="auto"/>
        </w:rPr>
      </w:pPr>
    </w:p>
    <w:p>
      <w:pPr>
        <w:ind w:right="240" w:firstLine="419"/>
        <w:spacing w:after="0" w:line="266" w:lineRule="auto"/>
        <w:tabs>
          <w:tab w:leader="none" w:pos="6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67" w:lineRule="exact"/>
        <w:rPr>
          <w:rFonts w:ascii="Times New Roman" w:cs="Times New Roman" w:eastAsia="Times New Roman" w:hAnsi="Times New Roman"/>
          <w:sz w:val="18"/>
          <w:szCs w:val="18"/>
          <w:color w:val="auto"/>
        </w:rPr>
      </w:pPr>
    </w:p>
    <w:p>
      <w:pPr>
        <w:ind w:left="540" w:right="400" w:firstLine="408"/>
        <w:spacing w:after="0" w:line="266" w:lineRule="auto"/>
        <w:tabs>
          <w:tab w:leader="none" w:pos="120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any Event of Default exists and is continuing under Section 8.01(j), the Borrower shall pay interest on all outstanding Obligations hereunder at a fluctuating interest rate per annum at all times equal to the Default Rate to the fullest extent permitted by applicable Laws.</w:t>
      </w:r>
    </w:p>
    <w:p>
      <w:pPr>
        <w:spacing w:after="0" w:line="67" w:lineRule="exact"/>
        <w:rPr>
          <w:rFonts w:ascii="Times New Roman" w:cs="Times New Roman" w:eastAsia="Times New Roman" w:hAnsi="Times New Roman"/>
          <w:sz w:val="18"/>
          <w:szCs w:val="18"/>
          <w:color w:val="auto"/>
        </w:rPr>
      </w:pPr>
    </w:p>
    <w:p>
      <w:pPr>
        <w:jc w:val="both"/>
        <w:ind w:left="540" w:right="100" w:firstLine="408"/>
        <w:spacing w:after="0" w:line="266" w:lineRule="auto"/>
        <w:tabs>
          <w:tab w:leader="none" w:pos="125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Required Lenders, while any Event of Default exists and is continuing (other than to the extent set forth in Sections 2.08(b)(i) and (b)(ii) above), the Borrower shall pay interest on the principal amount of all outstanding Obligations hereunder at a fluctuating interest rate per annum at all times equal to the Default Rate to the fullest extent permitted by applicable Laws.</w:t>
      </w:r>
    </w:p>
    <w:p>
      <w:pPr>
        <w:spacing w:after="0" w:line="6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980" w:right="80" w:hanging="4032"/>
        <w:spacing w:after="0" w:line="454" w:lineRule="auto"/>
        <w:tabs>
          <w:tab w:leader="none" w:pos="1209"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 demand. 55</w:t>
      </w:r>
    </w:p>
    <w:p>
      <w:pPr>
        <w:sectPr>
          <w:pgSz w:w="11900" w:h="16838" w:orient="portrait"/>
          <w:cols w:equalWidth="0" w:num="1">
            <w:col w:w="10560"/>
          </w:cols>
          <w:pgMar w:left="880" w:top="270" w:right="459" w:bottom="1440" w:gutter="0" w:footer="0" w:header="0"/>
        </w:sectPr>
      </w:pPr>
    </w:p>
    <w:bookmarkStart w:id="81" w:name="page82"/>
    <w:bookmarkEnd w:id="81"/>
    <w:p>
      <w:pPr>
        <w:ind w:left="440" w:right="260" w:firstLine="419"/>
        <w:spacing w:after="0" w:line="266" w:lineRule="auto"/>
        <w:tabs>
          <w:tab w:leader="none" w:pos="11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p>
    <w:p>
      <w:pPr>
        <w:spacing w:after="0" w:line="117" w:lineRule="exact"/>
        <w:rPr>
          <w:rFonts w:ascii="Times New Roman" w:cs="Times New Roman" w:eastAsia="Times New Roman" w:hAnsi="Times New Roman"/>
          <w:sz w:val="18"/>
          <w:szCs w:val="18"/>
          <w:color w:val="auto"/>
        </w:rPr>
      </w:pPr>
    </w:p>
    <w:p>
      <w:pPr>
        <w:ind w:left="980" w:right="420" w:firstLine="408"/>
        <w:spacing w:after="0" w:line="282" w:lineRule="auto"/>
        <w:tabs>
          <w:tab w:leader="none" w:pos="159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Administrative Agent for its accounts fees in the amounts and at the times specified in the Fee Letter. Such fees shall be fully earned when paid and shall not be refundable for any reason whatsoever.</w:t>
      </w:r>
    </w:p>
    <w:p>
      <w:pPr>
        <w:spacing w:after="0" w:line="53"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Lenders such fees as shall have been separately agreed upon in writing in the amounts and at the times so specified. All such fees shall be fully earned when paid and shall not be refundable for any reason whatsoever.</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Computation of Interest and Fees; Retroactive Adjustments of Applicable Rate</w:t>
      </w:r>
      <w:r>
        <w:rPr>
          <w:rFonts w:ascii="Times New Roman" w:cs="Times New Roman" w:eastAsia="Times New Roman" w:hAnsi="Times New Roman"/>
          <w:sz w:val="18"/>
          <w:szCs w:val="18"/>
          <w:color w:val="auto"/>
        </w:rPr>
        <w:t xml:space="preserve">. All computations of interest for Base Rate Loans (including Base Rate Loans determined by reference to the Adjusted Term SOFR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or 366-day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bear interest for one day. Each determination by the Administrative Agent of an interest rate or fee hereunder shall be conclusive and binding for all purposes, absent manifest error.</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the Borrower shall execute and deliver to such Lender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2.12 </w:t>
      </w:r>
      <w:r>
        <w:rPr>
          <w:rFonts w:ascii="Times New Roman" w:cs="Times New Roman" w:eastAsia="Times New Roman" w:hAnsi="Times New Roman"/>
          <w:sz w:val="18"/>
          <w:szCs w:val="18"/>
          <w:u w:val="single" w:color="auto"/>
          <w:color w:val="auto"/>
        </w:rPr>
        <w:t>Payments Generally; Administrative Agent’s Clawback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19"/>
        <w:spacing w:after="0" w:line="254" w:lineRule="auto"/>
        <w:tabs>
          <w:tab w:leader="none" w:pos="66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may, in the Administrative Agent’s discretion,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written notice from a Lender prior to the proposed date of any Borrowing of Adjusted Term SOFR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60"/>
          </w:cols>
          <w:pgMar w:left="880" w:top="270" w:right="459" w:bottom="1440" w:gutter="0" w:footer="0" w:header="0"/>
        </w:sectPr>
      </w:pPr>
    </w:p>
    <w:bookmarkStart w:id="83" w:name="page84"/>
    <w:bookmarkEnd w:id="83"/>
    <w:p>
      <w:pPr>
        <w:ind w:left="540" w:right="20" w:firstLine="408"/>
        <w:spacing w:after="0" w:line="254" w:lineRule="auto"/>
        <w:tabs>
          <w:tab w:leader="none" w:pos="120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time at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Appropriate Lenders the amount due. In such event, if the Borrower has not in fact made such payment, then each of the Appropriate Lenders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80" w:lineRule="exact"/>
        <w:rPr>
          <w:sz w:val="20"/>
          <w:szCs w:val="20"/>
          <w:color w:val="auto"/>
        </w:rPr>
      </w:pPr>
    </w:p>
    <w:p>
      <w:pPr>
        <w:ind w:right="320" w:firstLine="423"/>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the Borrower with respect to any amount owing under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shall be conclusive, absent manifest error.</w:t>
      </w:r>
    </w:p>
    <w:p>
      <w:pPr>
        <w:spacing w:after="0" w:line="54" w:lineRule="exact"/>
        <w:rPr>
          <w:sz w:val="20"/>
          <w:szCs w:val="20"/>
          <w:color w:val="auto"/>
        </w:rPr>
      </w:pPr>
    </w:p>
    <w:p>
      <w:pPr>
        <w:ind w:right="240" w:firstLine="419"/>
        <w:spacing w:after="0" w:line="258" w:lineRule="auto"/>
        <w:tabs>
          <w:tab w:leader="none" w:pos="66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75" w:lineRule="exact"/>
        <w:rPr>
          <w:rFonts w:ascii="Times New Roman" w:cs="Times New Roman" w:eastAsia="Times New Roman" w:hAnsi="Times New Roman"/>
          <w:sz w:val="18"/>
          <w:szCs w:val="18"/>
          <w:color w:val="auto"/>
        </w:rPr>
      </w:pPr>
    </w:p>
    <w:p>
      <w:pPr>
        <w:ind w:right="240" w:firstLine="419"/>
        <w:spacing w:after="0" w:line="258"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Loans and to make Term Loans and to make payments pursuant to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are several and not joint. The failure of any Lender to make any Loan or to make any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60" w:firstLine="419"/>
        <w:spacing w:after="0" w:line="312" w:lineRule="auto"/>
        <w:tabs>
          <w:tab w:leader="none" w:pos="66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Funding Source</w:t>
      </w:r>
      <w:r>
        <w:rPr>
          <w:rFonts w:ascii="Times New Roman" w:cs="Times New Roman" w:eastAsia="Times New Roman" w:hAnsi="Times New Roman"/>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31" w:lineRule="exact"/>
        <w:rPr>
          <w:rFonts w:ascii="Times New Roman" w:cs="Times New Roman" w:eastAsia="Times New Roman" w:hAnsi="Times New Roman"/>
          <w:sz w:val="17"/>
          <w:szCs w:val="17"/>
          <w:color w:val="auto"/>
        </w:rPr>
      </w:pPr>
    </w:p>
    <w:p>
      <w:pPr>
        <w:ind w:firstLine="419"/>
        <w:spacing w:after="0" w:line="281" w:lineRule="auto"/>
        <w:tabs>
          <w:tab w:leader="none" w:pos="64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Insufficient Funds</w:t>
      </w:r>
      <w:r>
        <w:rPr>
          <w:rFonts w:ascii="Times New Roman" w:cs="Times New Roman" w:eastAsia="Times New Roman" w:hAnsi="Times New Roman"/>
          <w:sz w:val="17"/>
          <w:szCs w:val="17"/>
          <w:color w:val="auto"/>
        </w:rPr>
        <w:t xml:space="preserve">. 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toward payment of principal and then due hereunder, ratably among the parties entitled thereto in accordance with the amounts of principal then due to such parties.</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60"/>
          </w:cols>
          <w:pgMar w:left="880" w:top="270" w:right="459" w:bottom="1440" w:gutter="0" w:footer="0" w:header="0"/>
        </w:sectPr>
      </w:pPr>
    </w:p>
    <w:bookmarkStart w:id="84" w:name="page85"/>
    <w:bookmarkEnd w:id="8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2.13 </w:t>
      </w:r>
      <w:r>
        <w:rPr>
          <w:rFonts w:ascii="Times New Roman" w:cs="Times New Roman" w:eastAsia="Times New Roman" w:hAnsi="Times New Roman"/>
          <w:sz w:val="18"/>
          <w:szCs w:val="18"/>
          <w:u w:val="single" w:color="auto"/>
          <w:color w:val="auto"/>
        </w:rPr>
        <w:t>Sharing of Payments by Lenders</w:t>
      </w:r>
      <w:r>
        <w:rPr>
          <w:rFonts w:ascii="Times New Roman" w:cs="Times New Roman" w:eastAsia="Times New Roman" w:hAnsi="Times New Roman"/>
          <w:sz w:val="18"/>
          <w:szCs w:val="18"/>
          <w:color w:val="auto"/>
        </w:rPr>
        <w:t xml:space="preserve">.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9" w:lineRule="exact"/>
        <w:rPr>
          <w:sz w:val="20"/>
          <w:szCs w:val="20"/>
          <w:color w:val="auto"/>
        </w:rPr>
      </w:pPr>
    </w:p>
    <w:p>
      <w:pPr>
        <w:ind w:left="980" w:right="40" w:firstLine="408"/>
        <w:spacing w:after="0" w:line="282" w:lineRule="auto"/>
        <w:tabs>
          <w:tab w:leader="none" w:pos="15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58" w:lineRule="auto"/>
        <w:tabs>
          <w:tab w:leader="none" w:pos="16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an assignment to the Borrower or any Affiliate thereof (as to which the provisions of this Section shall apply).</w:t>
      </w:r>
    </w:p>
    <w:p>
      <w:pPr>
        <w:spacing w:after="0" w:line="183"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Borrower consents to the foregoing and agrees, to the extent it may effectively do so under applicable Laws,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40"/>
          </w:cols>
          <w:pgMar w:left="440" w:top="270" w:right="519" w:bottom="1440" w:gutter="0" w:footer="0" w:header="0"/>
        </w:sectPr>
      </w:pPr>
    </w:p>
    <w:bookmarkStart w:id="85" w:name="page86"/>
    <w:bookmarkEnd w:id="85"/>
    <w:p>
      <w:pPr>
        <w:ind w:right="180" w:firstLine="419"/>
        <w:spacing w:after="0" w:line="282" w:lineRule="auto"/>
        <w:tabs>
          <w:tab w:leader="none" w:pos="66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Laws:</w:t>
      </w:r>
    </w:p>
    <w:p>
      <w:pPr>
        <w:spacing w:after="0" w:line="53" w:lineRule="exact"/>
        <w:rPr>
          <w:rFonts w:ascii="Times New Roman" w:cs="Times New Roman" w:eastAsia="Times New Roman" w:hAnsi="Times New Roman"/>
          <w:sz w:val="18"/>
          <w:szCs w:val="18"/>
          <w:color w:val="auto"/>
        </w:rPr>
      </w:pPr>
    </w:p>
    <w:p>
      <w:pPr>
        <w:ind w:left="540" w:right="420" w:firstLine="408"/>
        <w:spacing w:after="0" w:line="282" w:lineRule="auto"/>
        <w:tabs>
          <w:tab w:leader="none" w:pos="11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in the definition of “Required Lender.”</w:t>
      </w:r>
    </w:p>
    <w:p>
      <w:pPr>
        <w:spacing w:after="0" w:line="53" w:lineRule="exact"/>
        <w:rPr>
          <w:rFonts w:ascii="Times New Roman" w:cs="Times New Roman" w:eastAsia="Times New Roman" w:hAnsi="Times New Roman"/>
          <w:sz w:val="18"/>
          <w:szCs w:val="18"/>
          <w:color w:val="auto"/>
        </w:rPr>
      </w:pPr>
    </w:p>
    <w:p>
      <w:pPr>
        <w:ind w:left="540" w:right="20" w:firstLine="408"/>
        <w:spacing w:after="0" w:line="252" w:lineRule="auto"/>
        <w:tabs>
          <w:tab w:leader="none" w:pos="12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in order to satisfy such Defaulting Lender’s potential future funding obligations with respect to Loans under this Agreement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a payment of the principal amount of any Loans in respect of which such Defaulting Lender has not fully funded its appropriate share, such payment shall be applied solely to pay the Loans of all Non-Defaulting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prior to being applied to the payment of any Loans of such Defaulting Lender until such time as all Loans are held by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Commitments.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82"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560"/>
          </w:cols>
          <w:pgMar w:left="880" w:top="270" w:right="459" w:bottom="1440" w:gutter="0" w:footer="0" w:header="0"/>
        </w:sectPr>
      </w:pPr>
    </w:p>
    <w:bookmarkStart w:id="86" w:name="page87"/>
    <w:bookmarkEnd w:id="8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Incremental Credit Extensions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5" w:lineRule="auto"/>
        <w:tabs>
          <w:tab w:leader="none" w:pos="6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Term Commitments</w:t>
      </w:r>
      <w:r>
        <w:rPr>
          <w:rFonts w:ascii="Times New Roman" w:cs="Times New Roman" w:eastAsia="Times New Roman" w:hAnsi="Times New Roman"/>
          <w:sz w:val="18"/>
          <w:szCs w:val="18"/>
          <w:color w:val="auto"/>
        </w:rPr>
        <w:t>. The Borrower may at any time or from time to time after the Closing Date, by notice to the Person appointed by the Borrower to arrange the Incremental Term Loans (such Person (who may be any Person appointed by the Borrower), the “</w:t>
      </w:r>
      <w:r>
        <w:rPr>
          <w:rFonts w:ascii="Times New Roman" w:cs="Times New Roman" w:eastAsia="Times New Roman" w:hAnsi="Times New Roman"/>
          <w:sz w:val="18"/>
          <w:szCs w:val="18"/>
          <w:u w:val="single" w:color="auto"/>
          <w:color w:val="auto"/>
        </w:rPr>
        <w:t>Incremental Arranger</w:t>
      </w:r>
      <w:r>
        <w:rPr>
          <w:rFonts w:ascii="Times New Roman" w:cs="Times New Roman" w:eastAsia="Times New Roman" w:hAnsi="Times New Roman"/>
          <w:sz w:val="18"/>
          <w:szCs w:val="18"/>
          <w:color w:val="auto"/>
        </w:rPr>
        <w:t>”) and the Administrative Agent (an “</w:t>
      </w:r>
      <w:r>
        <w:rPr>
          <w:rFonts w:ascii="Times New Roman" w:cs="Times New Roman" w:eastAsia="Times New Roman" w:hAnsi="Times New Roman"/>
          <w:sz w:val="18"/>
          <w:szCs w:val="18"/>
          <w:u w:val="single" w:color="auto"/>
          <w:color w:val="auto"/>
        </w:rPr>
        <w:t>Incremental Loan Request</w:t>
      </w:r>
      <w:r>
        <w:rPr>
          <w:rFonts w:ascii="Times New Roman" w:cs="Times New Roman" w:eastAsia="Times New Roman" w:hAnsi="Times New Roman"/>
          <w:sz w:val="18"/>
          <w:szCs w:val="18"/>
          <w:color w:val="auto"/>
        </w:rPr>
        <w:t>”), request one or more new commitments that may be of the same class as any outstanding Incremental Term Loans (a “</w:t>
      </w:r>
      <w:r>
        <w:rPr>
          <w:rFonts w:ascii="Times New Roman" w:cs="Times New Roman" w:eastAsia="Times New Roman" w:hAnsi="Times New Roman"/>
          <w:sz w:val="18"/>
          <w:szCs w:val="18"/>
          <w:u w:val="single" w:color="auto"/>
          <w:color w:val="auto"/>
        </w:rPr>
        <w:t>Incremental Term Loan Increase</w:t>
      </w:r>
      <w:r>
        <w:rPr>
          <w:rFonts w:ascii="Times New Roman" w:cs="Times New Roman" w:eastAsia="Times New Roman" w:hAnsi="Times New Roman"/>
          <w:sz w:val="18"/>
          <w:szCs w:val="18"/>
          <w:color w:val="auto"/>
        </w:rPr>
        <w:t>”) or a new class of term loans (collectively with any Incremental Term Loan Increase, the “</w:t>
      </w:r>
      <w:r>
        <w:rPr>
          <w:rFonts w:ascii="Times New Roman" w:cs="Times New Roman" w:eastAsia="Times New Roman" w:hAnsi="Times New Roman"/>
          <w:sz w:val="18"/>
          <w:szCs w:val="18"/>
          <w:u w:val="single" w:color="auto"/>
          <w:color w:val="auto"/>
        </w:rPr>
        <w:t>Incremental Term Commitments</w:t>
      </w:r>
      <w:r>
        <w:rPr>
          <w:rFonts w:ascii="Times New Roman" w:cs="Times New Roman" w:eastAsia="Times New Roman" w:hAnsi="Times New Roman"/>
          <w:sz w:val="18"/>
          <w:szCs w:val="18"/>
          <w:color w:val="auto"/>
        </w:rPr>
        <w:t>”), whereupon the Administrative Agent shall promptly deliver a copy to each of the Lenders. The Borrower may designate any Incremental Arranger of any Incremental Term Commitments with such titles under such Incremental Term Commitments as the Borrower may deem appropriate.</w:t>
      </w:r>
    </w:p>
    <w:p>
      <w:pPr>
        <w:spacing w:after="0" w:line="80"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On the applicable date (each, an “</w:t>
      </w:r>
      <w:r>
        <w:rPr>
          <w:rFonts w:ascii="Times New Roman" w:cs="Times New Roman" w:eastAsia="Times New Roman" w:hAnsi="Times New Roman"/>
          <w:sz w:val="18"/>
          <w:szCs w:val="18"/>
          <w:u w:val="single" w:color="auto"/>
          <w:color w:val="auto"/>
        </w:rPr>
        <w:t>Incremental Facility Closing Date</w:t>
      </w:r>
      <w:r>
        <w:rPr>
          <w:rFonts w:ascii="Times New Roman" w:cs="Times New Roman" w:eastAsia="Times New Roman" w:hAnsi="Times New Roman"/>
          <w:sz w:val="18"/>
          <w:szCs w:val="18"/>
          <w:color w:val="auto"/>
        </w:rPr>
        <w:t xml:space="preserve">”) specified in any Incremental Amendment (including through any Incremental Term Loan Increase), subject to the satisfaction of the terms and conditions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in the applicable Incremental Amendment, (A) each Incremental Term Lender of such class shall make a Loan to the Borrower (an “</w:t>
      </w:r>
      <w:r>
        <w:rPr>
          <w:rFonts w:ascii="Times New Roman" w:cs="Times New Roman" w:eastAsia="Times New Roman" w:hAnsi="Times New Roman"/>
          <w:sz w:val="18"/>
          <w:szCs w:val="18"/>
          <w:u w:val="single" w:color="auto"/>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in an amount equal to its Incremental Term Commitment of such class and (B) each Incremental Term Lender of such class shall become a Lender hereunder with respect to the Incremental Term Commitment of such class and the Incremental Term Loans of such class made pursuant thereto.</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Loan Request</w:t>
      </w:r>
      <w:r>
        <w:rPr>
          <w:rFonts w:ascii="Times New Roman" w:cs="Times New Roman" w:eastAsia="Times New Roman" w:hAnsi="Times New Roman"/>
          <w:sz w:val="18"/>
          <w:szCs w:val="18"/>
          <w:color w:val="auto"/>
        </w:rPr>
        <w:t xml:space="preserve">. Each Incremental Loan Request from the Borrower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set forth the requested amount and proposed terms of the relevant Incremental Term Loans. Incremental Term Loans may be made by any existing Lender (but no existing Lender will have an obligation to make any Incremental Term Commitment) or by any Additional Lender (each such existing Lender or Additional Lender providing such Commitment or Loan, an “</w:t>
      </w:r>
      <w:r>
        <w:rPr>
          <w:rFonts w:ascii="Times New Roman" w:cs="Times New Roman" w:eastAsia="Times New Roman" w:hAnsi="Times New Roman"/>
          <w:sz w:val="18"/>
          <w:szCs w:val="18"/>
          <w:u w:val="single" w:color="auto"/>
          <w:color w:val="auto"/>
        </w:rPr>
        <w:t>Incremental Term 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Incremental Lenders</w:t>
      </w:r>
      <w:r>
        <w:rPr>
          <w:rFonts w:ascii="Times New Roman" w:cs="Times New Roman" w:eastAsia="Times New Roman" w:hAnsi="Times New Roman"/>
          <w:sz w:val="18"/>
          <w:szCs w:val="18"/>
          <w:color w:val="auto"/>
        </w:rPr>
        <w:t>”). Notwithstanding anything to the contrary herein, prior to the incurrence or establishment of any loans or commitments under the Loan Documents, the Borrower shall offer the Term Lenders a bona fide opportunity to provide the entire amount of such Incremental Term Loans or Incremental Term Commitments on terms specified by the Borrower and, to the extent the Term Lenders decline (or fail to respond in a timely manner) to provide any amount of the Incremental Term Loans on such specified terms, then the Borrower may offer to other persons an opportunity to provide such declined amount of loans or commitments on such specified terms (but not on other terms).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560"/>
          </w:cols>
          <w:pgMar w:left="880" w:top="270" w:right="459" w:bottom="1440" w:gutter="0" w:footer="0" w:header="0"/>
        </w:sectPr>
      </w:pPr>
    </w:p>
    <w:bookmarkStart w:id="87" w:name="page88"/>
    <w:bookmarkEnd w:id="87"/>
    <w:p>
      <w:pPr>
        <w:ind w:right="20" w:firstLine="419"/>
        <w:spacing w:after="0" w:line="258" w:lineRule="auto"/>
        <w:tabs>
          <w:tab w:leader="none" w:pos="6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 of Incremental Amendment</w:t>
      </w:r>
      <w:r>
        <w:rPr>
          <w:rFonts w:ascii="Times New Roman" w:cs="Times New Roman" w:eastAsia="Times New Roman" w:hAnsi="Times New Roman"/>
          <w:sz w:val="18"/>
          <w:szCs w:val="18"/>
          <w:color w:val="auto"/>
        </w:rPr>
        <w:t>. The Incremental Arranger shall promptly notify the applicable Lenders of the final allocation of such Incremental Term Commitments and the Incremental Amendment Date. The effectiveness of any Incremental Amendment, and the Incremental Term Commitments thereunder, shall be subject to the satisfaction on the applicable date (which shall be no earlier than the date of such Incremental Amendment) specified therein (the “</w:t>
      </w:r>
      <w:r>
        <w:rPr>
          <w:rFonts w:ascii="Times New Roman" w:cs="Times New Roman" w:eastAsia="Times New Roman" w:hAnsi="Times New Roman"/>
          <w:sz w:val="18"/>
          <w:szCs w:val="18"/>
          <w:u w:val="single" w:color="auto"/>
          <w:color w:val="auto"/>
        </w:rPr>
        <w:t>Incremental Amendment Date</w:t>
      </w:r>
      <w:r>
        <w:rPr>
          <w:rFonts w:ascii="Times New Roman" w:cs="Times New Roman" w:eastAsia="Times New Roman" w:hAnsi="Times New Roman"/>
          <w:sz w:val="18"/>
          <w:szCs w:val="18"/>
          <w:color w:val="auto"/>
        </w:rPr>
        <w:t>”) of each of the following conditions, together with any other conditions set forth in the Incremental Amendment:</w:t>
      </w:r>
    </w:p>
    <w:p>
      <w:pPr>
        <w:spacing w:after="0" w:line="75"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and is continuing on the Incremental Amendment Date;</w:t>
      </w:r>
    </w:p>
    <w:p>
      <w:pPr>
        <w:spacing w:after="0" w:line="117" w:lineRule="exact"/>
        <w:rPr>
          <w:rFonts w:ascii="Times New Roman" w:cs="Times New Roman" w:eastAsia="Times New Roman" w:hAnsi="Times New Roman"/>
          <w:sz w:val="18"/>
          <w:szCs w:val="18"/>
          <w:color w:val="auto"/>
        </w:rPr>
      </w:pPr>
    </w:p>
    <w:p>
      <w:pPr>
        <w:ind w:left="540" w:right="120" w:firstLine="408"/>
        <w:spacing w:after="0" w:line="266" w:lineRule="auto"/>
        <w:tabs>
          <w:tab w:leader="none" w:pos="120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Incremental Term Commitment shall be in an aggregate principal amount that is not less than $1,000,000 and shall be in an increment of $1,000,000 (provided that such amount may be less than $1,000,000 if such amount represents all remaining availability under the limit set forth in </w:t>
      </w:r>
      <w:r>
        <w:rPr>
          <w:rFonts w:ascii="Times New Roman" w:cs="Times New Roman" w:eastAsia="Times New Roman" w:hAnsi="Times New Roman"/>
          <w:sz w:val="18"/>
          <w:szCs w:val="18"/>
          <w:u w:val="single" w:color="auto"/>
          <w:color w:val="auto"/>
        </w:rPr>
        <w:t>Section 2.16(d)(iii))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540" w:right="200" w:firstLine="408"/>
        <w:spacing w:after="0" w:line="258" w:lineRule="auto"/>
        <w:tabs>
          <w:tab w:leader="none" w:pos="125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Incremental Term Loans outstanding is not to exceed an unlimited amount so long as, after giving pro forma effect to the making of Incremental Term Loans under such Incremental Amendment, (1) with respect to Incremental Term Loans secured by a Lien on the Collateral (including, without limitation, Indebtedness secured by the Collateral on a junior Lien basis to the Obligations), the Consolidated Secured Net Leverage Ratio is less than or equal to 3.75:1.00 and (2) with respect to Incremental Term Loans that are unsecured, the Consolidated Net Leverage Ratio is less than or equal to 3.75:1.00; and</w:t>
      </w:r>
    </w:p>
    <w:p>
      <w:pPr>
        <w:spacing w:after="0" w:line="75" w:lineRule="exact"/>
        <w:rPr>
          <w:rFonts w:ascii="Times New Roman" w:cs="Times New Roman" w:eastAsia="Times New Roman" w:hAnsi="Times New Roman"/>
          <w:sz w:val="18"/>
          <w:szCs w:val="18"/>
          <w:color w:val="auto"/>
        </w:rPr>
      </w:pPr>
    </w:p>
    <w:p>
      <w:pPr>
        <w:ind w:left="540" w:firstLine="408"/>
        <w:spacing w:after="0" w:line="258" w:lineRule="auto"/>
        <w:tabs>
          <w:tab w:leader="none" w:pos="124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reasonably requested by the Incremental Arranger, the Administrative Agent or Persons providing the applicable Incremental Term Loans, receipt by the Administrative Agent and the Incremental Arranger of (A) customary legal opinions, board resolutions and officers’ certificates (including solvency certificates) and (B) reaffirmation agreements and/or such amendments to the documents with respect to Collateral as may be reasonably requested by the Incremental Arranger and the Administrative Agent in order to ensure that such Incremental Lenders are provided with the benefit of the applicable Loan Documents.</w:t>
      </w:r>
    </w:p>
    <w:p>
      <w:pPr>
        <w:spacing w:after="0" w:line="75" w:lineRule="exact"/>
        <w:rPr>
          <w:rFonts w:ascii="Times New Roman" w:cs="Times New Roman" w:eastAsia="Times New Roman" w:hAnsi="Times New Roman"/>
          <w:sz w:val="18"/>
          <w:szCs w:val="18"/>
          <w:color w:val="auto"/>
        </w:rPr>
      </w:pPr>
    </w:p>
    <w:p>
      <w:pPr>
        <w:ind w:right="20" w:firstLine="419"/>
        <w:spacing w:after="0" w:line="256" w:lineRule="auto"/>
        <w:tabs>
          <w:tab w:leader="none" w:pos="66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Terms</w:t>
      </w:r>
      <w:r>
        <w:rPr>
          <w:rFonts w:ascii="Times New Roman" w:cs="Times New Roman" w:eastAsia="Times New Roman" w:hAnsi="Times New Roman"/>
          <w:sz w:val="18"/>
          <w:szCs w:val="18"/>
          <w:color w:val="auto"/>
        </w:rPr>
        <w:t xml:space="preserve">. The terms, provisions and documentation of the Incremental Term Loans and Incremental Term Commitments of any class shall be as agreed between the Borrower and the applicable Incremental Lenders providing such Incremental Term Commitments, and except as otherwise set forth herein, to the extent not identical to any class of Incremental Term Loans each existing on the Incremental Facility Closing Date, shall be consistent with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below, as applicable, and otherwise shall be (taken as a whole) no more favorable to the Incremental Lenders than those applicable to the Facility, except to the extent such terms, (I) are conformed (or added) in the Loan Documents pursuant to the related Incremental</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80"/>
          </w:cols>
          <w:pgMar w:left="880" w:top="270" w:right="439" w:bottom="1440" w:gutter="0" w:footer="0" w:header="0"/>
        </w:sectPr>
      </w:pPr>
    </w:p>
    <w:bookmarkStart w:id="88" w:name="page89"/>
    <w:bookmarkEnd w:id="8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 for the benefit of the Facility, as determined solely by the Administrative Agent and the Borrower or (II) are applicable only to periods after the Maturity Date as of the Incremental Amendment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Incremental Term Loan Increase, the terms, provisions and documentation (other than the Incremental Amendment evidencing such increase) of such Incremental Term Loan Increase shall be identical (other than with respect to upfront fees, original issue discount or similar fees) to the applicable class of Incremental Term Loans as existing on the Incremental Facility Closing Date. In any event:</w:t>
      </w:r>
    </w:p>
    <w:p>
      <w:pPr>
        <w:spacing w:after="0" w:line="75" w:lineRule="exact"/>
        <w:rPr>
          <w:sz w:val="20"/>
          <w:szCs w:val="20"/>
          <w:color w:val="auto"/>
        </w:rPr>
      </w:pPr>
    </w:p>
    <w:p>
      <w:pPr>
        <w:ind w:left="1580" w:hanging="209"/>
        <w:spacing w:after="0"/>
        <w:tabs>
          <w:tab w:leader="none" w:pos="1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Term Loans:</w:t>
      </w:r>
    </w:p>
    <w:p>
      <w:pPr>
        <w:spacing w:after="0" w:line="117" w:lineRule="exact"/>
        <w:rPr>
          <w:rFonts w:ascii="Times New Roman" w:cs="Times New Roman" w:eastAsia="Times New Roman" w:hAnsi="Times New Roman"/>
          <w:sz w:val="18"/>
          <w:szCs w:val="18"/>
          <w:color w:val="auto"/>
        </w:rPr>
      </w:pPr>
    </w:p>
    <w:p>
      <w:pPr>
        <w:jc w:val="both"/>
        <w:ind w:left="1540" w:right="120" w:firstLine="360"/>
        <w:spacing w:after="0" w:line="261" w:lineRule="auto"/>
        <w:tabs>
          <w:tab w:leader="none" w:pos="219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shall rank pari passu or junior in right of payment with the Obligations under Loans that are senior in right of payment and (II) if secured, shall be secured by the Collateral and shall rank junior in right of security to the Obligations (and subject to a customary subordination agreement (if subject to payment subordination)) and shall be subject to the ABL Intercreditor Agreement,</w:t>
      </w:r>
    </w:p>
    <w:p>
      <w:pPr>
        <w:spacing w:after="0" w:line="71" w:lineRule="exact"/>
        <w:rPr>
          <w:rFonts w:ascii="Times New Roman" w:cs="Times New Roman" w:eastAsia="Times New Roman" w:hAnsi="Times New Roman"/>
          <w:sz w:val="18"/>
          <w:szCs w:val="18"/>
          <w:color w:val="auto"/>
        </w:rPr>
      </w:pPr>
    </w:p>
    <w:p>
      <w:pPr>
        <w:ind w:left="1540" w:firstLine="360"/>
        <w:spacing w:after="0" w:line="282" w:lineRule="auto"/>
        <w:tabs>
          <w:tab w:leader="none" w:pos="218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Incremental Amendment Date, such Incremental Term Loans shall not have a final scheduled maturity date earlier than the Latest Maturity Date of all then outstanding Loans,</w:t>
      </w:r>
    </w:p>
    <w:p>
      <w:pPr>
        <w:spacing w:after="0" w:line="53" w:lineRule="exact"/>
        <w:rPr>
          <w:rFonts w:ascii="Times New Roman" w:cs="Times New Roman" w:eastAsia="Times New Roman" w:hAnsi="Times New Roman"/>
          <w:sz w:val="18"/>
          <w:szCs w:val="18"/>
          <w:color w:val="auto"/>
        </w:rPr>
      </w:pPr>
    </w:p>
    <w:p>
      <w:pPr>
        <w:ind w:left="1540" w:right="600" w:firstLine="360"/>
        <w:spacing w:after="0" w:line="282" w:lineRule="auto"/>
        <w:tabs>
          <w:tab w:leader="none" w:pos="218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Incremental Amendment Date, shall have a Weighted Average Life to Maturity not shorter than the remaining Weighted Average Life to Maturity of the Loans,</w:t>
      </w:r>
    </w:p>
    <w:p>
      <w:pPr>
        <w:spacing w:after="0" w:line="53" w:lineRule="exact"/>
        <w:rPr>
          <w:rFonts w:ascii="Times New Roman" w:cs="Times New Roman" w:eastAsia="Times New Roman" w:hAnsi="Times New Roman"/>
          <w:sz w:val="18"/>
          <w:szCs w:val="18"/>
          <w:color w:val="auto"/>
        </w:rPr>
      </w:pPr>
    </w:p>
    <w:p>
      <w:pPr>
        <w:jc w:val="both"/>
        <w:ind w:left="1540" w:right="140" w:firstLine="360"/>
        <w:spacing w:after="0" w:line="277" w:lineRule="auto"/>
        <w:tabs>
          <w:tab w:leader="none" w:pos="219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have an Applicable Rate, and subject to </w:t>
      </w:r>
      <w:r>
        <w:rPr>
          <w:rFonts w:ascii="Times New Roman" w:cs="Times New Roman" w:eastAsia="Times New Roman" w:hAnsi="Times New Roman"/>
          <w:sz w:val="17"/>
          <w:szCs w:val="17"/>
          <w:u w:val="single" w:color="auto"/>
          <w:color w:val="auto"/>
        </w:rPr>
        <w:t>clauses (e)(i)(B)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(e)(i)(C)</w:t>
      </w:r>
      <w:r>
        <w:rPr>
          <w:rFonts w:ascii="Times New Roman" w:cs="Times New Roman" w:eastAsia="Times New Roman" w:hAnsi="Times New Roman"/>
          <w:sz w:val="17"/>
          <w:szCs w:val="17"/>
          <w:color w:val="auto"/>
        </w:rPr>
        <w:t xml:space="preserve"> above, amortization determined by the Borrower and the applicable Incremental Term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the Applicable Rate and amortization for an Incremental Term Loan Increase shall be (x) the Applicable Rate and amortization for the class being increased or (y) in the case of the Applicable Rate, higher than the Applicable Rate for the class being increased as long as the Applicable Rate for the class being increased shall be automatically increased as and to the extent necessary to eliminate such deficiency,</w:t>
      </w:r>
    </w:p>
    <w:p>
      <w:pPr>
        <w:spacing w:after="0" w:line="59" w:lineRule="exact"/>
        <w:rPr>
          <w:rFonts w:ascii="Times New Roman" w:cs="Times New Roman" w:eastAsia="Times New Roman" w:hAnsi="Times New Roman"/>
          <w:sz w:val="17"/>
          <w:szCs w:val="17"/>
          <w:color w:val="auto"/>
        </w:rPr>
      </w:pPr>
    </w:p>
    <w:p>
      <w:pPr>
        <w:ind w:left="1540" w:firstLine="360"/>
        <w:spacing w:after="0" w:line="282" w:lineRule="auto"/>
        <w:tabs>
          <w:tab w:leader="none" w:pos="217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currency, original issue discount or fees determined by the Borrower and the applicable Incremental Term Loan arranger(s) and/or lender(s), and</w:t>
      </w:r>
    </w:p>
    <w:p>
      <w:pPr>
        <w:spacing w:after="0" w:line="53" w:lineRule="exact"/>
        <w:rPr>
          <w:rFonts w:ascii="Times New Roman" w:cs="Times New Roman" w:eastAsia="Times New Roman" w:hAnsi="Times New Roman"/>
          <w:sz w:val="18"/>
          <w:szCs w:val="18"/>
          <w:color w:val="auto"/>
        </w:rPr>
      </w:pPr>
    </w:p>
    <w:p>
      <w:pPr>
        <w:ind w:left="1540" w:right="320" w:firstLine="360"/>
        <w:spacing w:after="0" w:line="266" w:lineRule="auto"/>
        <w:tabs>
          <w:tab w:leader="none" w:pos="216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secured, shall not be secured by Liens or any assets that do not otherwise secure the Term Facility, and if guaranteed, shall not be guaranteed by, or otherwise be obligations of, any Person that is not otherwise the Borrower or a Guarantor,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60"/>
          </w:cols>
          <w:pgMar w:left="880" w:top="270" w:right="459" w:bottom="1440" w:gutter="0" w:footer="0" w:header="0"/>
        </w:sectPr>
      </w:pPr>
    </w:p>
    <w:bookmarkStart w:id="89" w:name="page90"/>
    <w:bookmarkEnd w:id="89"/>
    <w:p>
      <w:pPr>
        <w:ind w:left="980" w:right="40" w:firstLine="391"/>
        <w:spacing w:after="0" w:line="258" w:lineRule="auto"/>
        <w:tabs>
          <w:tab w:leader="none" w:pos="162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Incremental Arranger is not the Administrative Agent, the actions authorized to be taken by the Incremental Arranger herein shall be done in consultation with the Administrative Agent and, with respect to the preparation of any documentation necessary or appropriate to carry out the provisions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(including amendments to this Agreement and the other Loan Documents), any comments to such documentation reasonably requested by the Administrative Agent shall be reflected therein; and</w:t>
      </w:r>
    </w:p>
    <w:p>
      <w:pPr>
        <w:spacing w:after="0" w:line="75" w:lineRule="exact"/>
        <w:rPr>
          <w:rFonts w:ascii="Times New Roman" w:cs="Times New Roman" w:eastAsia="Times New Roman" w:hAnsi="Times New Roman"/>
          <w:sz w:val="18"/>
          <w:szCs w:val="18"/>
          <w:color w:val="auto"/>
        </w:rPr>
      </w:pPr>
    </w:p>
    <w:p>
      <w:pPr>
        <w:ind w:left="980" w:firstLine="391"/>
        <w:spacing w:after="0" w:line="282" w:lineRule="auto"/>
        <w:tabs>
          <w:tab w:leader="none" w:pos="167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use the net proceeds of the Incremental Term Loans for working capital, general corporate purposes and any other purposes not prohibited by this Agreement.</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40" w:firstLine="419"/>
        <w:spacing w:after="0" w:line="282" w:lineRule="auto"/>
        <w:tabs>
          <w:tab w:leader="none" w:pos="67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w:t>
      </w:r>
      <w:r>
        <w:rPr>
          <w:rFonts w:ascii="Times New Roman" w:cs="Times New Roman" w:eastAsia="Times New Roman" w:hAnsi="Times New Roman"/>
          <w:sz w:val="18"/>
          <w:szCs w:val="18"/>
          <w:color w:val="auto"/>
        </w:rPr>
        <w:t xml:space="preserve"> to the contrary. Any Incremental Term Loans permitted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documented pursuant to a customary amendment to this Agreement (an “</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TAXES, YIELD PROTECTION AND ILLEGALITY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8" w:lineRule="auto"/>
        <w:tabs>
          <w:tab w:leader="none" w:pos="115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 of any Loan Party hereunder or under any Loan Document shall be made without deduction or withholding for any Taxes, except as required by applicable Laws. If any applicable Law (as determined in the good faith discretion of the Administrative Agent) requires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 and</w:t>
      </w:r>
    </w:p>
    <w:p>
      <w:pPr>
        <w:spacing w:after="0" w:line="75"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timely pay the full amount withheld or deducted to the relevant Governmental Authority in accordance with the Code, and</w:t>
      </w:r>
    </w:p>
    <w:p>
      <w:pPr>
        <w:spacing w:after="0" w:line="27" w:lineRule="exact"/>
        <w:rPr>
          <w:rFonts w:ascii="Times New Roman" w:cs="Times New Roman" w:eastAsia="Times New Roman" w:hAnsi="Times New Roman"/>
          <w:sz w:val="18"/>
          <w:szCs w:val="18"/>
          <w:color w:val="auto"/>
        </w:rPr>
      </w:pPr>
    </w:p>
    <w:p>
      <w:pPr>
        <w:ind w:left="540" w:right="20" w:firstLine="7"/>
        <w:spacing w:after="0" w:line="253" w:lineRule="auto"/>
        <w:tabs>
          <w:tab w:leader="none" w:pos="82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60"/>
          </w:cols>
          <w:pgMar w:left="880" w:top="270" w:right="459" w:bottom="1440" w:gutter="0" w:footer="0" w:header="0"/>
        </w:sectPr>
      </w:pPr>
    </w:p>
    <w:bookmarkStart w:id="90" w:name="page91"/>
    <w:bookmarkEnd w:id="90"/>
    <w:p>
      <w:pPr>
        <w:ind w:right="180" w:firstLine="419"/>
        <w:spacing w:after="0" w:line="266" w:lineRule="auto"/>
        <w:tabs>
          <w:tab w:leader="none" w:pos="6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Other Taxes by the Borrower. Without limiting the provisions of subsection (a) above, the Borrower shall timely pay to the relevant Governmental Authority in accordance with applicable Laws, or at the option of the Administrative Agent timely reimburse it for the payment of, any Other Taxes.</w:t>
      </w:r>
    </w:p>
    <w:p>
      <w:pPr>
        <w:spacing w:after="0" w:line="6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5" w:lineRule="auto"/>
        <w:tabs>
          <w:tab w:leader="none" w:pos="115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and does hereby,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80" w:lineRule="exact"/>
        <w:rPr>
          <w:rFonts w:ascii="Times New Roman" w:cs="Times New Roman" w:eastAsia="Times New Roman" w:hAnsi="Times New Roman"/>
          <w:sz w:val="18"/>
          <w:szCs w:val="18"/>
          <w:color w:val="auto"/>
        </w:rPr>
      </w:pPr>
    </w:p>
    <w:p>
      <w:pPr>
        <w:ind w:left="540" w:firstLine="408"/>
        <w:spacing w:after="0" w:line="270" w:lineRule="auto"/>
        <w:tabs>
          <w:tab w:leader="none" w:pos="1206"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 shall, and does hereby, severally indemnify, and shall make payment in respect thereof within ten (10)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(y) against any Taxes attributable to such Lender’s failure to comply with the provisions of </w:t>
      </w:r>
      <w:r>
        <w:rPr>
          <w:rFonts w:ascii="Times New Roman" w:cs="Times New Roman" w:eastAsia="Times New Roman" w:hAnsi="Times New Roman"/>
          <w:sz w:val="17"/>
          <w:szCs w:val="17"/>
          <w:u w:val="single" w:color="auto"/>
          <w:color w:val="auto"/>
        </w:rPr>
        <w:t>Section 10.06(d)</w:t>
      </w:r>
      <w:r>
        <w:rPr>
          <w:rFonts w:ascii="Times New Roman" w:cs="Times New Roman" w:eastAsia="Times New Roman" w:hAnsi="Times New Roman"/>
          <w:sz w:val="17"/>
          <w:szCs w:val="17"/>
          <w:color w:val="auto"/>
        </w:rPr>
        <w:t xml:space="preserve"> relating to the maintenance of a Participant Register and (z)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w:t>
      </w:r>
    </w:p>
    <w:p>
      <w:pPr>
        <w:spacing w:after="0" w:line="68" w:lineRule="exact"/>
        <w:rPr>
          <w:rFonts w:ascii="Times New Roman" w:cs="Times New Roman" w:eastAsia="Times New Roman" w:hAnsi="Times New Roman"/>
          <w:sz w:val="17"/>
          <w:szCs w:val="17"/>
          <w:color w:val="auto"/>
        </w:rPr>
      </w:pPr>
    </w:p>
    <w:p>
      <w:pPr>
        <w:jc w:val="both"/>
        <w:ind w:right="280" w:firstLine="419"/>
        <w:spacing w:after="0" w:line="261" w:lineRule="auto"/>
        <w:tabs>
          <w:tab w:leader="none" w:pos="6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After any payment of Taxes by the Borrower or by the Administrative Agent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60"/>
          </w:cols>
          <w:pgMar w:left="880" w:top="270" w:right="459" w:bottom="1440" w:gutter="0" w:footer="0" w:header="0"/>
        </w:sectPr>
      </w:pPr>
    </w:p>
    <w:bookmarkStart w:id="91" w:name="page92"/>
    <w:bookmarkEnd w:id="91"/>
    <w:p>
      <w:pPr>
        <w:ind w:left="241" w:hanging="241"/>
        <w:spacing w:after="0"/>
        <w:tabs>
          <w:tab w:leader="none" w:pos="2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 of Lenders; Tax Documentation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53" w:lineRule="auto"/>
        <w:tabs>
          <w:tab w:leader="none" w:pos="73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3" w:lineRule="exact"/>
        <w:rPr>
          <w:rFonts w:ascii="Times New Roman" w:cs="Times New Roman" w:eastAsia="Times New Roman" w:hAnsi="Times New Roman"/>
          <w:sz w:val="18"/>
          <w:szCs w:val="18"/>
          <w:color w:val="auto"/>
        </w:rPr>
      </w:pPr>
    </w:p>
    <w:p>
      <w:pPr>
        <w:ind w:left="801" w:hanging="272"/>
        <w:spacing w:after="0"/>
        <w:tabs>
          <w:tab w:leader="none" w:pos="80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ind w:left="561" w:firstLine="391"/>
        <w:spacing w:after="0" w:line="261" w:lineRule="auto"/>
        <w:tabs>
          <w:tab w:leader="none" w:pos="1239"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copies of duly executed and completed IRS Form W-9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561" w:right="100" w:firstLine="391"/>
        <w:spacing w:after="0" w:line="261" w:lineRule="auto"/>
        <w:tabs>
          <w:tab w:leader="none" w:pos="1229"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1741" w:hanging="260"/>
        <w:spacing w:after="0"/>
        <w:tabs>
          <w:tab w:leader="none" w:pos="1741" w:val="left"/>
        </w:tabs>
        <w:numPr>
          <w:ilvl w:val="4"/>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w:t>
      </w:r>
    </w:p>
    <w:p>
      <w:pPr>
        <w:spacing w:after="0" w:line="27" w:lineRule="exact"/>
        <w:rPr>
          <w:rFonts w:ascii="Times New Roman" w:cs="Times New Roman" w:eastAsia="Times New Roman" w:hAnsi="Times New Roman"/>
          <w:sz w:val="18"/>
          <w:szCs w:val="18"/>
          <w:color w:val="auto"/>
        </w:rPr>
      </w:pPr>
    </w:p>
    <w:p>
      <w:pPr>
        <w:ind w:left="1121" w:right="20" w:hanging="1"/>
        <w:spacing w:after="0" w:line="253" w:lineRule="auto"/>
        <w:tabs>
          <w:tab w:leader="none" w:pos="1375" w:val="left"/>
        </w:tabs>
        <w:numPr>
          <w:ilvl w:val="3"/>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19"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121"/>
          </w:cols>
          <w:pgMar w:left="1299" w:top="270" w:right="479" w:bottom="1440" w:gutter="0" w:footer="0" w:header="0"/>
        </w:sectPr>
      </w:pPr>
    </w:p>
    <w:bookmarkStart w:id="92" w:name="page93"/>
    <w:bookmarkEnd w:id="92"/>
    <w:p>
      <w:pPr>
        <w:ind w:left="1600" w:hanging="260"/>
        <w:spacing w:after="0"/>
        <w:tabs>
          <w:tab w:leader="none" w:pos="16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originals of IRS Form W-8ECI;</w:t>
      </w:r>
    </w:p>
    <w:p>
      <w:pPr>
        <w:spacing w:after="0" w:line="117" w:lineRule="exact"/>
        <w:rPr>
          <w:rFonts w:ascii="Times New Roman" w:cs="Times New Roman" w:eastAsia="Times New Roman" w:hAnsi="Times New Roman"/>
          <w:sz w:val="18"/>
          <w:szCs w:val="18"/>
          <w:color w:val="auto"/>
        </w:rPr>
      </w:pPr>
    </w:p>
    <w:p>
      <w:pPr>
        <w:ind w:left="980" w:right="80" w:firstLine="360"/>
        <w:spacing w:after="0" w:line="258" w:lineRule="auto"/>
        <w:tabs>
          <w:tab w:leader="none" w:pos="15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originals of IRS Form W-8BEN or W-8BEN-E, as applicable; or</w:t>
      </w:r>
    </w:p>
    <w:p>
      <w:pPr>
        <w:spacing w:after="0" w:line="75" w:lineRule="exact"/>
        <w:rPr>
          <w:rFonts w:ascii="Times New Roman" w:cs="Times New Roman" w:eastAsia="Times New Roman" w:hAnsi="Times New Roman"/>
          <w:sz w:val="18"/>
          <w:szCs w:val="18"/>
          <w:color w:val="auto"/>
        </w:rPr>
      </w:pPr>
    </w:p>
    <w:p>
      <w:pPr>
        <w:ind w:left="980" w:right="80" w:firstLine="360"/>
        <w:spacing w:after="0" w:line="256" w:lineRule="auto"/>
        <w:tabs>
          <w:tab w:leader="none" w:pos="15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W- 9,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rFonts w:ascii="Times New Roman" w:cs="Times New Roman" w:eastAsia="Times New Roman" w:hAnsi="Times New Roman"/>
          <w:sz w:val="18"/>
          <w:szCs w:val="18"/>
          <w:color w:val="auto"/>
        </w:rPr>
      </w:pPr>
    </w:p>
    <w:p>
      <w:pPr>
        <w:ind w:left="420" w:firstLine="391"/>
        <w:spacing w:after="0" w:line="255" w:lineRule="auto"/>
        <w:tabs>
          <w:tab w:leader="none" w:pos="108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copies of duly executed and completed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0" w:lineRule="exact"/>
        <w:rPr>
          <w:rFonts w:ascii="Times New Roman" w:cs="Times New Roman" w:eastAsia="Times New Roman" w:hAnsi="Times New Roman"/>
          <w:sz w:val="18"/>
          <w:szCs w:val="18"/>
          <w:color w:val="auto"/>
        </w:rPr>
      </w:pPr>
    </w:p>
    <w:p>
      <w:pPr>
        <w:jc w:val="both"/>
        <w:ind w:left="420" w:right="240" w:firstLine="391"/>
        <w:spacing w:after="0" w:line="266" w:lineRule="auto"/>
        <w:tabs>
          <w:tab w:leader="none" w:pos="109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9980"/>
          </w:cols>
          <w:pgMar w:left="1440" w:top="270" w:right="479" w:bottom="1440" w:gutter="0" w:footer="0" w:header="0"/>
        </w:sectPr>
      </w:pPr>
    </w:p>
    <w:bookmarkStart w:id="93" w:name="page94"/>
    <w:bookmarkEnd w:id="93"/>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and the Administrative Agent at the time or times prescribed by law and at such time or times reasonably requested by the Borrower or the Administrative Agent such documentation prescribed by applicable law (including as prescribed by Section 1471(b)</w:t>
      </w:r>
    </w:p>
    <w:p>
      <w:pPr>
        <w:ind w:left="980" w:right="20"/>
        <w:spacing w:after="0" w:line="253" w:lineRule="auto"/>
        <w:rPr>
          <w:sz w:val="20"/>
          <w:szCs w:val="20"/>
          <w:color w:val="auto"/>
        </w:rPr>
      </w:pPr>
      <w:r>
        <w:rPr>
          <w:rFonts w:ascii="Times New Roman" w:cs="Times New Roman" w:eastAsia="Times New Roman" w:hAnsi="Times New Roman"/>
          <w:sz w:val="18"/>
          <w:szCs w:val="18"/>
          <w:color w:val="auto"/>
        </w:rPr>
        <w:t xml:space="preserve">(3)(C)(i)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79" w:lineRule="exact"/>
        <w:rPr>
          <w:sz w:val="20"/>
          <w:szCs w:val="20"/>
          <w:color w:val="auto"/>
        </w:rPr>
      </w:pPr>
    </w:p>
    <w:p>
      <w:pPr>
        <w:jc w:val="both"/>
        <w:ind w:left="540" w:right="320" w:firstLine="408"/>
        <w:spacing w:after="0" w:line="266" w:lineRule="auto"/>
        <w:tabs>
          <w:tab w:leader="none" w:pos="125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67" w:lineRule="exact"/>
        <w:rPr>
          <w:rFonts w:ascii="Times New Roman" w:cs="Times New Roman" w:eastAsia="Times New Roman" w:hAnsi="Times New Roman"/>
          <w:sz w:val="18"/>
          <w:szCs w:val="18"/>
          <w:color w:val="auto"/>
        </w:rPr>
      </w:pPr>
    </w:p>
    <w:p>
      <w:pPr>
        <w:ind w:right="60" w:firstLine="419"/>
        <w:spacing w:after="0" w:line="252" w:lineRule="auto"/>
        <w:tabs>
          <w:tab w:leader="none" w:pos="6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the Borrower an amount equal to such refund (but only to the extent of indemnity payments made, or additional amounts paid, by the Borrower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upon the request of the Recipient, agrees to repay the amount paid over to the Borrower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87"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40"/>
          </w:cols>
          <w:pgMar w:left="880" w:top="270" w:right="479" w:bottom="1440" w:gutter="0" w:footer="0" w:header="0"/>
        </w:sectPr>
      </w:pPr>
    </w:p>
    <w:bookmarkStart w:id="94" w:name="page95"/>
    <w:bookmarkEnd w:id="9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3.02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Rate or Term SOFR, or to determine or charge interest rates based upon SOFR, the Term SOFR Reference Rate, Adjusted Term SOFR Rate or Term SOFR, then, on notice thereof by such Lender to the Borrower through the Administrative Agent, (i) any obligation of such Lender to make or continue Adjusted Term SOFR Rate Loans or to convert Base Rate Loans to Adjusted Term SOFR Rate Loans shall be suspended, and (ii) if such notice asserts the illegality of such Lender making or maintaining Base Rate Loans the interest rate on which is determined by reference to the Adjusted Term SOFR Rate component of the Base Rate, the interest rate on which Base Rate Loans of such Lender shall, if necessary to avoid such illegality, be determined by the Administrative Agent without reference to the Adjusted Term SOFR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Adjusted Term SOFR Rate Loans of such Lender to Base Rate Loans (the interest rate on which Base Rate Loans of such Lender shall, if necessary to avoid such illegality, be determined by the Administrative Agent without reference to the Adjusted Term SOFR Rate component of the Base Rate), either on the last day of the Interest Period therefor, if such Lender may lawfully continue to maintain such Adjusted Term SOFR Rate Loans to such day, or immediately, if such Lender may not lawfully continue to maintain such Adjusted Term SOFR Rate Loans and (y) if such notice asserts the illegality of such Lender determining or charging interest rates based upon the Adjusted Term SOFR Rate, the Administrative Agent shall during the period of such suspension compute the Base Rate applicable to such Lender without reference to the Adjusted Term SOFR Rate component thereof until the Administrative Agent is advised in writing by such Lender that it is no longer illegal for such Lender to determine or charge interest rates based upon SOFR, the Term SOFR Reference Rate, Adjusted Term SOFR Rate or Term SOFR. Upon any such prepayment or conversion, the Borrower shall also pay accrued interest on the amount so prepaid or converted.</w:t>
      </w:r>
    </w:p>
    <w:p>
      <w:pPr>
        <w:spacing w:after="0" w:line="19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Subject to Section 1.07, if, on or prior to the first day of any Interest Period for any Adjusted Term SOFR Rate Loan, the Administrative Agent determines (which determination shall be conclusive and binding absent manifest error) that “Adjusted Term SOFR Rate” cannot be determined pursuant to the definition thereof, the Administrative Agent will promptly so notify the Borrower and each Lender. Upon notice thereof by the Administrative Agent to the Borrower, any obligation of the Lenders to make Adjusted Term SOFR Rate Loans, and any right of the Borrower to continue Adjusted Term SOFR Rate Loans or to convert Base Rate Loans to Adjusted Term SOFR Rate Loans, shall be suspended (to the extent of the affected Adjusted Term SOFR Rate Loans or affected Interest Periods) until the Administrative Agent revokes such notice. Upon receipt of such notice, (i) the Borrower may revoke any pending request for a borrowing of, conversion to or continuation of Adjusted Term SOFR Rate Loans (to the extent of the affected Adjusted Term SOFR Rate Loans or affected Interest Periods) or, failing that, the Borrower will be deemed to have converted any such request into a request for a Borrowing of or conversion to Base Rate Loans in the amount specified therein and (ii) any outstanding affected Adjusted Term SOFR Rate Loans will be deemed to have been converted into Base Rate Loans at the end of the applicable Interest Period. Upon any such conversion, the Borrower shall also pay accrued interest on the amount so converted, together with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95" w:name="page96"/>
    <w:bookmarkEnd w:id="9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additional amounts required pursuant to Section 3.05. Subject to Section 1.07, if the Administrative Agent determines (which determination shall be conclusive and binding absent manifest error) that “Adjusted Term SOFR Rate” cannot be determined pursuant to the definition thereof on any given day, the interest rate on Base Rate Loans shall be determined by the Administrative Agent without reference to clause (iii) of the definition of “Base Rate” until the Administrative Agent revokes such determination.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u w:val="single" w:color="auto"/>
          <w:color w:val="auto"/>
        </w:rPr>
        <w:t>Increased Costs; Reserves on Adjusted Term SOFR Rate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59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53" w:lineRule="exact"/>
        <w:rPr>
          <w:rFonts w:ascii="Times New Roman" w:cs="Times New Roman" w:eastAsia="Times New Roman" w:hAnsi="Times New Roman"/>
          <w:sz w:val="18"/>
          <w:szCs w:val="18"/>
          <w:color w:val="auto"/>
        </w:rPr>
      </w:pPr>
    </w:p>
    <w:p>
      <w:pPr>
        <w:ind w:left="980" w:right="320" w:firstLine="408"/>
        <w:spacing w:after="0" w:line="266" w:lineRule="auto"/>
        <w:tabs>
          <w:tab w:leader="none" w:pos="16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Recipient to any Taxes (other than (A) Indemnified Taxes, (B) Taxes described in clauses (b)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any other condition, cost or expense affecting this Agreement or Loans made by such Lender;</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of making, converting to, continuing or maintaining any Loan the interest on which is determined by reference to the Adjusted Term SOFR Rate (or,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any Loan), or of maintaining its obligation to make any such Loan, or to reduce the amount of any sum received or receivable by such Lender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75" w:lineRule="exact"/>
        <w:rPr>
          <w:sz w:val="20"/>
          <w:szCs w:val="20"/>
          <w:color w:val="auto"/>
        </w:rPr>
      </w:pPr>
    </w:p>
    <w:p>
      <w:pPr>
        <w:ind w:left="440" w:firstLine="419"/>
        <w:spacing w:after="0" w:line="255" w:lineRule="auto"/>
        <w:tabs>
          <w:tab w:leader="none" w:pos="11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sectPr>
      </w:pPr>
    </w:p>
    <w:bookmarkStart w:id="96" w:name="page97"/>
    <w:bookmarkEnd w:id="96"/>
    <w:p>
      <w:pPr>
        <w:ind w:left="440" w:firstLine="419"/>
        <w:spacing w:after="0" w:line="289" w:lineRule="auto"/>
        <w:tabs>
          <w:tab w:leader="none" w:pos="1107"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for Reimbursement</w:t>
      </w:r>
      <w:r>
        <w:rPr>
          <w:rFonts w:ascii="Times New Roman" w:cs="Times New Roman" w:eastAsia="Times New Roman" w:hAnsi="Times New Roman"/>
          <w:sz w:val="17"/>
          <w:szCs w:val="17"/>
          <w:color w:val="auto"/>
        </w:rPr>
        <w:t xml:space="preserve">. A certificate of a Lender setting forth the amount or amounts necessary to compensate such Lender or its holding company, as the case may be, as specified in </w:t>
      </w:r>
      <w:r>
        <w:rPr>
          <w:rFonts w:ascii="Times New Roman" w:cs="Times New Roman" w:eastAsia="Times New Roman" w:hAnsi="Times New Roman"/>
          <w:sz w:val="17"/>
          <w:szCs w:val="17"/>
          <w:u w:val="single" w:color="auto"/>
          <w:color w:val="auto"/>
        </w:rPr>
        <w:t>subsection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of this Section and delivered to the Borrower shall be conclusive absent manifest error. The Borrower shall pay such Lender the amount shown as due on any such certificate within ten (10) days after receipt thereof.</w:t>
      </w:r>
    </w:p>
    <w:p>
      <w:pPr>
        <w:spacing w:after="0" w:line="49" w:lineRule="exact"/>
        <w:rPr>
          <w:rFonts w:ascii="Times New Roman" w:cs="Times New Roman" w:eastAsia="Times New Roman" w:hAnsi="Times New Roman"/>
          <w:sz w:val="17"/>
          <w:szCs w:val="17"/>
          <w:color w:val="auto"/>
        </w:rPr>
      </w:pPr>
    </w:p>
    <w:p>
      <w:pPr>
        <w:ind w:left="440" w:right="20" w:firstLine="419"/>
        <w:spacing w:after="0" w:line="257" w:lineRule="auto"/>
        <w:tabs>
          <w:tab w:leader="none" w:pos="11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to demand compensation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the foregoing provisions of this Section for any increased costs incurred or reductions suffered more than nine</w:t>
      </w:r>
    </w:p>
    <w:p>
      <w:pPr>
        <w:spacing w:after="0" w:line="1" w:lineRule="exact"/>
        <w:rPr>
          <w:rFonts w:ascii="Times New Roman" w:cs="Times New Roman" w:eastAsia="Times New Roman" w:hAnsi="Times New Roman"/>
          <w:sz w:val="18"/>
          <w:szCs w:val="18"/>
          <w:color w:val="auto"/>
        </w:rPr>
      </w:pPr>
    </w:p>
    <w:p>
      <w:pPr>
        <w:ind w:left="440" w:right="20" w:hanging="4"/>
        <w:spacing w:after="0" w:line="255"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u w:val="single" w:color="auto"/>
          <w:color w:val="auto"/>
        </w:rPr>
        <w:t>Compensation for Losses</w:t>
      </w:r>
      <w:r>
        <w:rPr>
          <w:rFonts w:ascii="Times New Roman" w:cs="Times New Roman" w:eastAsia="Times New Roman" w:hAnsi="Times New Roman"/>
          <w:sz w:val="18"/>
          <w:szCs w:val="18"/>
          <w:color w:val="auto"/>
        </w:rPr>
        <w:t>. Upon demand of any Lender (with a copy to the Administrative Agent) from time to time, the Borrower shall promptly compensate such Lender for and hold such Lender harmless from any reasonable and documented out of pocket loss, cost or expense incurred by it as a result of:</w:t>
      </w:r>
    </w:p>
    <w:p>
      <w:pPr>
        <w:spacing w:after="0" w:line="68" w:lineRule="exact"/>
        <w:rPr>
          <w:sz w:val="20"/>
          <w:szCs w:val="20"/>
          <w:color w:val="auto"/>
        </w:rPr>
      </w:pPr>
    </w:p>
    <w:p>
      <w:pPr>
        <w:ind w:left="440" w:right="300" w:firstLine="419"/>
        <w:spacing w:after="0" w:line="282" w:lineRule="auto"/>
        <w:tabs>
          <w:tab w:leader="none" w:pos="11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53"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Adjusted Term SOFR Rate Loan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3.06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58" w:lineRule="auto"/>
        <w:tabs>
          <w:tab w:leader="none" w:pos="110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Each Lender may fund any Borrowing through any Lending Office,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of this option shall not affect the obligation of the Borrower to repay the Borrowing in accordance with the terms of this Agreement.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the Borrower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then at the request of the Borrower such Lender shall use reasonable efforts to designate a different Lending Office for funding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97" w:name="page98"/>
    <w:bookmarkEnd w:id="97"/>
    <w:p>
      <w:pPr>
        <w:ind w:lef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as the case may be, to any unreimbursed cost or expense and would not otherwise be disadvantageous to such Lender. The Borrower hereby agrees to pay all reasonable costs and expenses incurred by any Lender in connection with any such designation or assignment.</w:t>
      </w:r>
    </w:p>
    <w:p>
      <w:pPr>
        <w:spacing w:after="0" w:line="75" w:lineRule="exact"/>
        <w:rPr>
          <w:sz w:val="20"/>
          <w:szCs w:val="20"/>
          <w:color w:val="auto"/>
        </w:rPr>
      </w:pPr>
    </w:p>
    <w:p>
      <w:pPr>
        <w:ind w:left="440" w:right="60" w:firstLine="419"/>
        <w:spacing w:after="0" w:line="261"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the Borrower may replace such Lender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of the Borrower’s obligations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termination of the Aggregate Commitments, repayment of all other Obligations hereunder, and resignation of the Administrative Agent.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 TO CLOSING AND BORROWING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Conditions of Closing and Initial Borrowing</w:t>
      </w:r>
      <w:r>
        <w:rPr>
          <w:rFonts w:ascii="Times New Roman" w:cs="Times New Roman" w:eastAsia="Times New Roman" w:hAnsi="Times New Roman"/>
          <w:sz w:val="18"/>
          <w:szCs w:val="18"/>
          <w:color w:val="auto"/>
        </w:rPr>
        <w:t>. The effectiveness of this Agreement and the obligation of each Lender to make its Loans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are subject to satisfaction of the following conditions precedent, unless waived in accordance with Section 10.01:</w:t>
      </w:r>
    </w:p>
    <w:p>
      <w:pPr>
        <w:spacing w:after="0" w:line="99" w:lineRule="exact"/>
        <w:rPr>
          <w:sz w:val="20"/>
          <w:szCs w:val="20"/>
          <w:color w:val="auto"/>
        </w:rPr>
      </w:pPr>
    </w:p>
    <w:p>
      <w:pPr>
        <w:ind w:left="440" w:right="20" w:firstLine="419"/>
        <w:spacing w:after="0" w:line="261" w:lineRule="auto"/>
        <w:tabs>
          <w:tab w:leader="none" w:pos="110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(or its counsel’s) receipt of the following, each of which shall be originals or telecopies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7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this Agreement, the ABL Intercreditor Agreement and the Guaranty;</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Note executed by the Borrower in favor of each Term Lender requesting a Term Note;</w:t>
      </w:r>
    </w:p>
    <w:p>
      <w:pPr>
        <w:spacing w:after="0" w:line="117" w:lineRule="exact"/>
        <w:rPr>
          <w:rFonts w:ascii="Times New Roman" w:cs="Times New Roman" w:eastAsia="Times New Roman" w:hAnsi="Times New Roman"/>
          <w:sz w:val="18"/>
          <w:szCs w:val="18"/>
          <w:color w:val="auto"/>
        </w:rPr>
      </w:pPr>
    </w:p>
    <w:p>
      <w:pPr>
        <w:ind w:left="980" w:right="400" w:firstLine="408"/>
        <w:spacing w:after="0" w:line="282" w:lineRule="auto"/>
        <w:tabs>
          <w:tab w:leader="none" w:pos="169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security agreement (together with each other security agreement and security agreement supplement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in each case as amended, the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duly executed by each Loan Party party thereto, together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98" w:name="page99"/>
    <w:bookmarkEnd w:id="98"/>
    <w:p>
      <w:pPr>
        <w:jc w:val="both"/>
        <w:ind w:left="420" w:right="400" w:firstLine="391"/>
        <w:spacing w:after="0" w:line="266" w:lineRule="auto"/>
        <w:tabs>
          <w:tab w:leader="none" w:pos="109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Section 6.17, certificates and instruments representing the Collateral consisting of Certificated Securities or Instruments (each such term as defined in the UCC) accompanied by undated stock powers, allonges or instruments of transfer executed in blank;</w:t>
      </w:r>
    </w:p>
    <w:p>
      <w:pPr>
        <w:spacing w:after="0" w:line="67" w:lineRule="exact"/>
        <w:rPr>
          <w:rFonts w:ascii="Times New Roman" w:cs="Times New Roman" w:eastAsia="Times New Roman" w:hAnsi="Times New Roman"/>
          <w:sz w:val="18"/>
          <w:szCs w:val="18"/>
          <w:color w:val="auto"/>
        </w:rPr>
      </w:pPr>
    </w:p>
    <w:p>
      <w:pPr>
        <w:ind w:left="420" w:right="140" w:firstLine="391"/>
        <w:spacing w:after="0" w:line="266" w:lineRule="auto"/>
        <w:tabs>
          <w:tab w:leader="none" w:pos="108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UCC financing statements in form appropriate for filing under the Uniform Commercial Code of all appropriate jurisdictions that the Administrative Agent may reasonably deem necessary in order to perfect the Liens created under the Security Agreement, covering the Collateral described in the Security Agreement;</w:t>
      </w:r>
    </w:p>
    <w:p>
      <w:pPr>
        <w:spacing w:after="0" w:line="67" w:lineRule="exact"/>
        <w:rPr>
          <w:rFonts w:ascii="Times New Roman" w:cs="Times New Roman" w:eastAsia="Times New Roman" w:hAnsi="Times New Roman"/>
          <w:sz w:val="18"/>
          <w:szCs w:val="18"/>
          <w:color w:val="auto"/>
        </w:rPr>
      </w:pPr>
    </w:p>
    <w:p>
      <w:pPr>
        <w:ind w:left="420" w:right="120" w:firstLine="391"/>
        <w:spacing w:after="0" w:line="256" w:lineRule="auto"/>
        <w:tabs>
          <w:tab w:leader="none" w:pos="108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certified copies of UCC,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the Administrative Agent reasonably deems necessary or appropriate, none of which encumber the Collateral covered or intended to be covered by the Collateral Documents (other than 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20" w:right="140" w:firstLine="391"/>
        <w:spacing w:after="0" w:line="282" w:lineRule="auto"/>
        <w:tabs>
          <w:tab w:leader="none" w:pos="109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6.17, the Deposit Account Control Agreements and the Securities Account Control Agreement, in each case as referred to in the Security Agreement and duly executed by the appropriate parties; and</w:t>
      </w:r>
    </w:p>
    <w:p>
      <w:pPr>
        <w:spacing w:after="0" w:line="53" w:lineRule="exact"/>
        <w:rPr>
          <w:rFonts w:ascii="Times New Roman" w:cs="Times New Roman" w:eastAsia="Times New Roman" w:hAnsi="Times New Roman"/>
          <w:sz w:val="18"/>
          <w:szCs w:val="18"/>
          <w:color w:val="auto"/>
        </w:rPr>
      </w:pPr>
    </w:p>
    <w:p>
      <w:pPr>
        <w:ind w:left="420" w:right="180" w:firstLine="391"/>
        <w:spacing w:after="0" w:line="258" w:lineRule="auto"/>
        <w:tabs>
          <w:tab w:leader="none" w:pos="107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all other actions, recordings and filings that the Administrative Agent may deem necessary or desirable in order to perfect or protect the Liens created under the Security Agreement have been or will be taken by the Administrative Agent (or its counsel) after the Closing Date (including receipt of duly executed payoff letters, UCC-3 termination statements, evidence and endorsement of insurance policies and landlords’ and bailees’ waiver and consent agreements to the extent requested by the Administrative Agent in writing not later than three (3) Business Days prior to the Closing Date);</w:t>
      </w:r>
    </w:p>
    <w:p>
      <w:pPr>
        <w:spacing w:after="0" w:line="75" w:lineRule="exact"/>
        <w:rPr>
          <w:rFonts w:ascii="Times New Roman" w:cs="Times New Roman" w:eastAsia="Times New Roman" w:hAnsi="Times New Roman"/>
          <w:sz w:val="18"/>
          <w:szCs w:val="18"/>
          <w:color w:val="auto"/>
        </w:rPr>
      </w:pPr>
    </w:p>
    <w:p>
      <w:pPr>
        <w:jc w:val="both"/>
        <w:ind w:left="-20" w:firstLine="408"/>
        <w:spacing w:after="0" w:line="258" w:lineRule="auto"/>
        <w:tabs>
          <w:tab w:leader="none" w:pos="68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Patent Security Agreement and Trademark Security Agreement (collectively, and together with each other intellectual property security agreement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in each case as amended, the “</w:t>
      </w:r>
      <w:r>
        <w:rPr>
          <w:rFonts w:ascii="Times New Roman" w:cs="Times New Roman" w:eastAsia="Times New Roman" w:hAnsi="Times New Roman"/>
          <w:sz w:val="18"/>
          <w:szCs w:val="18"/>
          <w:u w:val="single" w:color="auto"/>
          <w:color w:val="auto"/>
        </w:rPr>
        <w:t>Intellectual Property Security Agreements</w:t>
      </w:r>
      <w:r>
        <w:rPr>
          <w:rFonts w:ascii="Times New Roman" w:cs="Times New Roman" w:eastAsia="Times New Roman" w:hAnsi="Times New Roman"/>
          <w:sz w:val="18"/>
          <w:szCs w:val="18"/>
          <w:color w:val="auto"/>
        </w:rPr>
        <w:t>” and each, individually, an “</w:t>
      </w:r>
      <w:r>
        <w:rPr>
          <w:rFonts w:ascii="Times New Roman" w:cs="Times New Roman" w:eastAsia="Times New Roman" w:hAnsi="Times New Roman"/>
          <w:sz w:val="18"/>
          <w:szCs w:val="18"/>
          <w:u w:val="single" w:color="auto"/>
          <w:color w:val="auto"/>
        </w:rPr>
        <w:t>Intellectual Property Security Agreement</w:t>
      </w:r>
      <w:r>
        <w:rPr>
          <w:rFonts w:ascii="Times New Roman" w:cs="Times New Roman" w:eastAsia="Times New Roman" w:hAnsi="Times New Roman"/>
          <w:sz w:val="18"/>
          <w:szCs w:val="18"/>
          <w:color w:val="auto"/>
        </w:rPr>
        <w:t>”), duly executed by each Loan Party, together with evidence that all action that the Administrative Agent may reasonably deem necessary or desirable in order to perfect the Liens created under the Intellectual Property Security Agreement has been taken;</w:t>
      </w:r>
    </w:p>
    <w:p>
      <w:pPr>
        <w:spacing w:after="0" w:line="75"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6.17, a Mortgage in respect of each Mortgaged Property described on Schedule 4.01(a)(v);</w:t>
      </w:r>
    </w:p>
    <w:p>
      <w:pPr>
        <w:spacing w:after="0" w:line="1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9980"/>
          </w:cols>
          <w:pgMar w:left="1440" w:top="270" w:right="479" w:bottom="1440" w:gutter="0" w:footer="0" w:header="0"/>
        </w:sectPr>
      </w:pPr>
    </w:p>
    <w:bookmarkStart w:id="99" w:name="page100"/>
    <w:bookmarkEnd w:id="99"/>
    <w:p>
      <w:pPr>
        <w:ind w:left="-20" w:right="20" w:firstLine="408"/>
        <w:spacing w:after="0" w:line="261" w:lineRule="auto"/>
        <w:tabs>
          <w:tab w:leader="none" w:pos="6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71" w:lineRule="exact"/>
        <w:rPr>
          <w:rFonts w:ascii="Times New Roman" w:cs="Times New Roman" w:eastAsia="Times New Roman" w:hAnsi="Times New Roman"/>
          <w:sz w:val="18"/>
          <w:szCs w:val="18"/>
          <w:color w:val="auto"/>
        </w:rPr>
      </w:pPr>
    </w:p>
    <w:p>
      <w:pPr>
        <w:ind w:left="-20" w:firstLine="408"/>
        <w:spacing w:after="0" w:line="261" w:lineRule="auto"/>
        <w:tabs>
          <w:tab w:leader="none" w:pos="7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documents and certifications as the Administrative Agent may reasonably require to evidence that each Loan Party is duly organized or formed, and that the Borrower and each other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71" w:lineRule="exact"/>
        <w:rPr>
          <w:rFonts w:ascii="Times New Roman" w:cs="Times New Roman" w:eastAsia="Times New Roman" w:hAnsi="Times New Roman"/>
          <w:sz w:val="18"/>
          <w:szCs w:val="18"/>
          <w:color w:val="auto"/>
        </w:rPr>
      </w:pPr>
    </w:p>
    <w:p>
      <w:pPr>
        <w:ind w:left="-20" w:right="380" w:firstLine="408"/>
        <w:spacing w:after="0" w:line="266" w:lineRule="auto"/>
        <w:tabs>
          <w:tab w:leader="none" w:pos="7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of Bass, Berry &amp; Sims PLC, counsel to the Loan Parties addressed to the Administrative Agent for the benefit of each Lender, as to such matters concerning the Loan Parties and the Loan Documents as the Administrative Agent may reasonably request;</w:t>
      </w:r>
    </w:p>
    <w:p>
      <w:pPr>
        <w:spacing w:after="0" w:line="67" w:lineRule="exact"/>
        <w:rPr>
          <w:rFonts w:ascii="Times New Roman" w:cs="Times New Roman" w:eastAsia="Times New Roman" w:hAnsi="Times New Roman"/>
          <w:sz w:val="18"/>
          <w:szCs w:val="18"/>
          <w:color w:val="auto"/>
        </w:rPr>
      </w:pPr>
    </w:p>
    <w:p>
      <w:pPr>
        <w:ind w:left="-20" w:firstLine="408"/>
        <w:spacing w:after="0" w:line="258" w:lineRule="auto"/>
        <w:tabs>
          <w:tab w:leader="none" w:pos="6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signed by a Responsible Officer of the Borrower (A) certifying that (1) each of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hereof, in each other Loan Document and in any document furnished at any time in connection with this Agreement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on and as of the Closing Date;</w:t>
      </w:r>
    </w:p>
    <w:p>
      <w:pPr>
        <w:spacing w:after="0" w:line="75" w:lineRule="exact"/>
        <w:rPr>
          <w:rFonts w:ascii="Times New Roman" w:cs="Times New Roman" w:eastAsia="Times New Roman" w:hAnsi="Times New Roman"/>
          <w:sz w:val="18"/>
          <w:szCs w:val="18"/>
          <w:color w:val="auto"/>
        </w:rPr>
      </w:pPr>
    </w:p>
    <w:p>
      <w:pPr>
        <w:ind w:left="-20" w:right="120" w:firstLine="408"/>
        <w:spacing w:after="0" w:line="261" w:lineRule="auto"/>
        <w:tabs>
          <w:tab w:leader="none" w:pos="6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consolidated balance sheets and related consolidated statements of income and cash flows for the fiscal quarter ended December 31, 2020 and each fiscal quarter ended after December 31, 2020 and at least 45 days prior to the Closing Date (if any) of the Borrower and its Subsidiaries, on a consolidated basis (collectively, the “</w:t>
      </w:r>
      <w:r>
        <w:rPr>
          <w:rFonts w:ascii="Times New Roman" w:cs="Times New Roman" w:eastAsia="Times New Roman" w:hAnsi="Times New Roman"/>
          <w:sz w:val="18"/>
          <w:szCs w:val="18"/>
          <w:u w:val="single" w:color="auto"/>
          <w:color w:val="auto"/>
        </w:rPr>
        <w:t>Borrower Interim Financial Statements</w:t>
      </w:r>
      <w:r>
        <w:rPr>
          <w:rFonts w:ascii="Times New Roman" w:cs="Times New Roman" w:eastAsia="Times New Roman" w:hAnsi="Times New Roman"/>
          <w:sz w:val="18"/>
          <w:szCs w:val="18"/>
          <w:color w:val="auto"/>
        </w:rPr>
        <w:t>”) and the Audited Financial Statements;</w:t>
      </w:r>
    </w:p>
    <w:p>
      <w:pPr>
        <w:spacing w:after="0" w:line="69" w:lineRule="exact"/>
        <w:rPr>
          <w:rFonts w:ascii="Times New Roman" w:cs="Times New Roman" w:eastAsia="Times New Roman" w:hAnsi="Times New Roman"/>
          <w:sz w:val="18"/>
          <w:szCs w:val="18"/>
          <w:color w:val="auto"/>
        </w:rPr>
      </w:pPr>
    </w:p>
    <w:p>
      <w:pPr>
        <w:ind w:left="-20" w:firstLine="408"/>
        <w:spacing w:after="0" w:line="275" w:lineRule="auto"/>
        <w:tabs>
          <w:tab w:leader="none" w:pos="68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consolidated balance sheet as of the last day of the most recent fiscal quarter ended December 31, 2020 and related </w:t>
      </w:r>
      <w:r>
        <w:rPr>
          <w:rFonts w:ascii="Times New Roman" w:cs="Times New Roman" w:eastAsia="Times New Roman" w:hAnsi="Times New Roman"/>
          <w:sz w:val="17"/>
          <w:szCs w:val="17"/>
          <w:i w:val="1"/>
          <w:iCs w:val="1"/>
          <w:color w:val="auto"/>
        </w:rPr>
        <w:t xml:space="preserve">pro forma </w:t>
      </w:r>
      <w:r>
        <w:rPr>
          <w:rFonts w:ascii="Times New Roman" w:cs="Times New Roman" w:eastAsia="Times New Roman" w:hAnsi="Times New Roman"/>
          <w:sz w:val="17"/>
          <w:szCs w:val="17"/>
          <w:color w:val="auto"/>
        </w:rPr>
        <w:t>consolidated statements of income and cash flows of the Borrower and its Subsidiaries as of and for the most recent four fiscal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quarter period ended December 31, 2020, prepared (after giving effect to the Transactions and the incurrence and repayment of Indebtedness related thereto) as if all of the Transactions occurring on the Closing Date had occurred as of the last day of such four-quarter period (in the case of such balance sheet) or at the beginning of such period (in the case of such other financial statements), in each case calculated in accordance with GAAP and Regulation S-X of the Securities Act of 1933 (the “</w:t>
      </w:r>
      <w:r>
        <w:rPr>
          <w:rFonts w:ascii="Times New Roman" w:cs="Times New Roman" w:eastAsia="Times New Roman" w:hAnsi="Times New Roman"/>
          <w:sz w:val="17"/>
          <w:szCs w:val="17"/>
          <w:u w:val="single" w:color="auto"/>
          <w:color w:val="auto"/>
        </w:rPr>
        <w:t>Borrower Pro Forma Financial Statements</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9980"/>
          </w:cols>
          <w:pgMar w:left="1440" w:top="270" w:right="479" w:bottom="1440" w:gutter="0" w:footer="0" w:header="0"/>
        </w:sectPr>
      </w:pPr>
    </w:p>
    <w:bookmarkStart w:id="100" w:name="page101"/>
    <w:bookmarkEnd w:id="100"/>
    <w:p>
      <w:pPr>
        <w:jc w:val="both"/>
        <w:ind w:left="980" w:firstLine="408"/>
        <w:spacing w:after="0" w:line="261" w:lineRule="auto"/>
        <w:tabs>
          <w:tab w:leader="none" w:pos="17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then most recent five-year forecasts prepared by management of the Borrower (after giving effect to the Transactions and the incurrence and repayment of Indebtedness related thereto) of consolidated balance sheets and statements of income or operations and cash flows of the Borrower and its Subsidiaries on a quarterly basis for the first year following the Closing Date and on an annual basis thereafter;</w:t>
      </w:r>
    </w:p>
    <w:p>
      <w:pPr>
        <w:spacing w:after="0" w:line="71" w:lineRule="exact"/>
        <w:rPr>
          <w:rFonts w:ascii="Times New Roman" w:cs="Times New Roman" w:eastAsia="Times New Roman" w:hAnsi="Times New Roman"/>
          <w:sz w:val="18"/>
          <w:szCs w:val="18"/>
          <w:color w:val="auto"/>
        </w:rPr>
      </w:pPr>
    </w:p>
    <w:p>
      <w:pPr>
        <w:ind w:left="980" w:right="120" w:firstLine="408"/>
        <w:spacing w:after="0" w:line="258" w:lineRule="auto"/>
        <w:tabs>
          <w:tab w:leader="none" w:pos="178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 Financial Officer of the Borrower attesting (A) to the Solvency of the Borrower and its Subsidiaries on a consolidated basis (after giving effect to the Transactions and the incurrence and repayment of Indebtedness related thereto) and (B) that the Borrower Pro Forma Financial Statements and forecasts required under this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accurately present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position of the Borrower and its Subsidiaries in accordance with GAAP and Regulation S-X of the Securities Act of 1933 (and in any event after giving effect to the Transactions and the incurrence and repayment of Indebtedness related thereto);</w:t>
      </w:r>
    </w:p>
    <w:p>
      <w:pPr>
        <w:spacing w:after="0" w:line="75" w:lineRule="exact"/>
        <w:rPr>
          <w:rFonts w:ascii="Times New Roman" w:cs="Times New Roman" w:eastAsia="Times New Roman" w:hAnsi="Times New Roman"/>
          <w:sz w:val="18"/>
          <w:szCs w:val="18"/>
          <w:color w:val="auto"/>
        </w:rPr>
      </w:pPr>
    </w:p>
    <w:p>
      <w:pPr>
        <w:ind w:left="980" w:right="20" w:firstLine="408"/>
        <w:spacing w:after="0" w:line="258" w:lineRule="auto"/>
        <w:tabs>
          <w:tab w:leader="none" w:pos="177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(including customary payoff letters) that (1) the Existing Credit Agreement has been, or concurrently with the funding of the Loans will be, repaid in full, all commitments thereunder have been, or concurrently with the funding of the Loans will be, terminated, and all Liens securing obligations thereunder have been, or substantially concurrently with the funding of the Loans will be, released and (2) the Borrower’s Series B preferred Equity Interests shall have been, or concurrently with the funding of the Loans will be, redeemed or refinanced in full;</w:t>
      </w:r>
    </w:p>
    <w:p>
      <w:pPr>
        <w:spacing w:after="0" w:line="75"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Committed Loan Notice in accordance with the requirements hereof; and</w:t>
      </w:r>
    </w:p>
    <w:p>
      <w:pPr>
        <w:spacing w:after="0" w:line="117" w:lineRule="exact"/>
        <w:rPr>
          <w:rFonts w:ascii="Times New Roman" w:cs="Times New Roman" w:eastAsia="Times New Roman" w:hAnsi="Times New Roman"/>
          <w:sz w:val="18"/>
          <w:szCs w:val="18"/>
          <w:color w:val="auto"/>
        </w:rPr>
      </w:pPr>
    </w:p>
    <w:p>
      <w:pPr>
        <w:ind w:left="980" w:right="260" w:firstLine="408"/>
        <w:spacing w:after="0" w:line="282" w:lineRule="auto"/>
        <w:tabs>
          <w:tab w:leader="none" w:pos="182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funds flow statement with respect to all Loans to be advanced on the Closing Date and all other Transactions to occur on the Closing Date.</w:t>
      </w:r>
    </w:p>
    <w:p>
      <w:pPr>
        <w:spacing w:after="0" w:line="162"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to the extent that any security interests in any Collateral or any deliverable related to the perfection of a security interest in any Collateral (other than (1) grants of security interests in Collateral subject to the Uniform Commercial Code (and the equivalent law or statute in the relevant foreign jurisdictions) that may be perfected by the filing of Uniform Commercial Code financing statements (and the equivalents thereof in any relevant foreign jurisdiction), (2) the delivery of stock certificates (or the equivalent thereof) evidencing certificated stock (or other Equity Interests) that is part of the Collateral and (3) the filing of Intellectual Property Security Agreements with the United States Patent and Trademark Office or the United States Copyright Office, as applicable) is not or cannot be perfected on the Closing Date after the Borrower’s use of commercially reasonable efforts to do so, the perfection of security interests therein shall not constitute a condition precedent to the availability of the Loans on the Closing Date, but shall be required to be completed after the Closing Date pursuant to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101" w:name="page102"/>
    <w:bookmarkEnd w:id="101"/>
    <w:p>
      <w:pPr>
        <w:ind w:left="440" w:right="140" w:firstLine="419"/>
        <w:spacing w:after="0" w:line="266"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and each of the other Loan Parties shall have provided to the Administrative Agent and the Lenders the documentation and other information requested by the Administrative Agent or any Lender at least three (3) Business Days prior to the Closing Date in order to comply with requirements of the PATRIOT Act, applicable “know your customer” rules and Anti-Money Laundering Laws;</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0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(i) all fees required to be paid to the Administrative Agent on or before the Closing Date (including, without limitation, all reasonable and documented out of pocket fees, charges and disbursements of counsel to the Administrative Agent (directly to such counsel if requested by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additional amounts of such fees, charges and disbursements as shall constitute its reasonable estimate of such reasonable and documented out of pocket fees, charges and disbursements incurred or to be incurred by it through the closing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estimate shall not thereafter preclude a final settling of accounts between the Borrower and the Administrative Agent) and (ii) all fees required to be paid to the Lenders on or before the Closing Date;</w:t>
      </w:r>
    </w:p>
    <w:p>
      <w:pPr>
        <w:spacing w:after="0" w:line="79"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evidencing the issuance of the Series D Preferred Stock shall have been duly executed and delivered by the parties thereto and shall be in full force and effect;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0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hereof, in each other Loan Document and in any other document furnished at any time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w:t>
      </w:r>
    </w:p>
    <w:p>
      <w:pPr>
        <w:spacing w:after="0" w:line="71"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08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ABL Loan Documents required by the terms of the ABL Credit Agreement shall have been duly executed and delivered by each Loan Party party thereto to the ABL Administrative Agent and shall be in full force and effect; and</w:t>
      </w:r>
    </w:p>
    <w:p>
      <w:pPr>
        <w:spacing w:after="0" w:line="53"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2020, there has been no event or circumstance either individually or in the aggregate that has had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calculation, in form satisfactory to the Administrative Agent, of the Consolidated Net Leverage Ratio and Consolidated Secured Net Leverage Ratio, in each case, on a pro forma basis after giving effect to the Transactions.</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440" w:top="270" w:right="49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Borrower represents and warrants to the Administrative Agent and the Lenders that:</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Corporate Existence; Subsidiaries; Foreign Qualification</w:t>
      </w:r>
      <w:r>
        <w:rPr>
          <w:rFonts w:ascii="Times New Roman" w:cs="Times New Roman" w:eastAsia="Times New Roman" w:hAnsi="Times New Roman"/>
          <w:sz w:val="18"/>
          <w:szCs w:val="18"/>
          <w:color w:val="auto"/>
        </w:rPr>
        <w:t>. Each Loan Party and each of its Subsidiaries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where the character of its property or its business activities makes such qualification necessary, except where a failure to so qualify, either individually or in the aggregate, would not reasonably be expected to have a Material Adverse Effect. Each first-tier Foreign Subsidiary that is organized in Brazil or Mexico and the second-tier Foreign Subsidiary that is organized in Poland is validly existing under the laws of its jurisdiction of organization.</w:t>
      </w:r>
    </w:p>
    <w:p>
      <w:pPr>
        <w:spacing w:after="0" w:line="18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xml:space="preserve">. Each Loan Party has the corporate or organizational, as applicable, right and power and is duly authorized and empowered to enter into, execute and deliver the Loan Documents to which it is a party and to perform and observe the provisions of the Loan Documents. Each Loan Party has duly executed and delivered the Loan Documents to which it is a party. The Loan Documents to which each Loan Party is a party have been duly authorized and approved by Loan Party’s board of directors or other governing body, as applicable, and are the valid and binding obligations of such Loan Party, enforceable against such Loan Party in accordance with their respective terms, subject to applicable moratorium or other laws affecting creditors’ rights generally and subject to general principles of equity, regardless of whether considered in a proceeding in equity or at law. The execution, delivery and performance of the Loan Documents do not conflict with, result in a breach in any of the provisions of, constitute a default under, or result in the creation of a Lien (other than 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hereof) upon any assets or property of any Loan Party under the provisions of, (a) such Loan Party’s Organization Documents, (b) any material agreement to which any Loan Party is a party (including the ABL Loan Documents), (c) any order, injunction, writ or decree of any Governmental Authority or (d) any Law, except with respect to any conflict, breach, default or violation referred to herein, solely to the extent that such conflicts, breaches, defaults or violations, either individually or in the aggregate, would not reasonably be expected to have a Material Adverse Effect.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Governmental Authorization; Other Consents</w:t>
      </w:r>
      <w:r>
        <w:rPr>
          <w:rFonts w:ascii="Times New Roman" w:cs="Times New Roman" w:eastAsia="Times New Roman" w:hAnsi="Times New Roman"/>
          <w:sz w:val="18"/>
          <w:szCs w:val="18"/>
          <w:color w:val="auto"/>
        </w:rPr>
        <w:t>. Each Loan Party and each of their Subsidiaries:</w:t>
      </w:r>
    </w:p>
    <w:p>
      <w:pPr>
        <w:spacing w:after="0" w:line="117" w:lineRule="exact"/>
        <w:rPr>
          <w:sz w:val="20"/>
          <w:szCs w:val="20"/>
          <w:color w:val="auto"/>
        </w:rPr>
      </w:pPr>
    </w:p>
    <w:p>
      <w:pPr>
        <w:ind w:left="440" w:right="20" w:firstLine="419"/>
        <w:spacing w:after="0" w:line="266" w:lineRule="auto"/>
        <w:tabs>
          <w:tab w:leader="none" w:pos="11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permits, certificates, licenses, orders, registrations, franchises, authorizations, and other approvals from any Governmental Authority necessary for the conduct of its business and is in compliance with all applicable laws relating thereto, except where the failure to do so, either individually or in the aggregate, would not have a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103" w:name="page104"/>
    <w:bookmarkEnd w:id="103"/>
    <w:p>
      <w:pPr>
        <w:ind w:left="440" w:right="200" w:firstLine="419"/>
        <w:spacing w:after="0" w:line="266" w:lineRule="auto"/>
        <w:tabs>
          <w:tab w:leader="none" w:pos="11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either individually or in the aggregate, would not have a Material Adverse Effect;</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violation of or in default beyond any applicable cure period under any agreement to which it is a party or by which its assets are subject or bound (including the ABL Loan Documents), except with respect to any violation or default that, either individually or in the aggregate, would not have a Material Adverse Effect;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material compliance with all applicable Anti-Money Laundering Laws.</w:t>
      </w:r>
    </w:p>
    <w:p>
      <w:pPr>
        <w:spacing w:after="0" w:line="225" w:lineRule="exact"/>
        <w:rPr>
          <w:sz w:val="20"/>
          <w:szCs w:val="20"/>
          <w:color w:val="auto"/>
        </w:rPr>
      </w:pPr>
    </w:p>
    <w:p>
      <w:pPr>
        <w:jc w:val="both"/>
        <w:ind w:right="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5.04 </w:t>
      </w:r>
      <w:r>
        <w:rPr>
          <w:rFonts w:ascii="Times New Roman" w:cs="Times New Roman" w:eastAsia="Times New Roman" w:hAnsi="Times New Roman"/>
          <w:sz w:val="17"/>
          <w:szCs w:val="17"/>
          <w:u w:val="single" w:color="auto"/>
          <w:color w:val="auto"/>
        </w:rPr>
        <w:t>Litigation and Administrative Proceedings</w:t>
      </w:r>
      <w:r>
        <w:rPr>
          <w:rFonts w:ascii="Times New Roman" w:cs="Times New Roman" w:eastAsia="Times New Roman" w:hAnsi="Times New Roman"/>
          <w:sz w:val="17"/>
          <w:szCs w:val="17"/>
          <w:color w:val="auto"/>
        </w:rPr>
        <w:t xml:space="preserve">. There are no actions, suits or proceedings by or before any arbitrator or Governmental Authority pending against or, to the knowledge of any Loan Party, threatened in writing against or affecting any Loan Party or any Subsidiary (i) as to which there is a reasonable possibility of an adverse determination and that, if adversely determined, would reasonably be expected, individually or in the aggregate, to result in a Material Adverse Effect (other than the matters set forth on </w:t>
      </w:r>
      <w:r>
        <w:rPr>
          <w:rFonts w:ascii="Times New Roman" w:cs="Times New Roman" w:eastAsia="Times New Roman" w:hAnsi="Times New Roman"/>
          <w:sz w:val="17"/>
          <w:szCs w:val="17"/>
          <w:u w:val="single" w:color="auto"/>
          <w:color w:val="auto"/>
        </w:rPr>
        <w:t>Schedule 5.04</w:t>
      </w:r>
      <w:r>
        <w:rPr>
          <w:rFonts w:ascii="Times New Roman" w:cs="Times New Roman" w:eastAsia="Times New Roman" w:hAnsi="Times New Roman"/>
          <w:sz w:val="17"/>
          <w:szCs w:val="17"/>
          <w:color w:val="auto"/>
        </w:rPr>
        <w:t>) or (ii) that involve any Loan Document or the Transactions.</w:t>
      </w:r>
    </w:p>
    <w:p>
      <w:pPr>
        <w:spacing w:after="0" w:line="16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5.05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xml:space="preserve">. Each Loan Party and each of their Subsidiaries has good title to and ownership of, or a valid leasehold interest in, all material property it purports to own, which property is free and clear of all Liens, except those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hereof, in each case, except where the failure to have such title, interest, or right would not reasonably be expected to have, individually or in the aggregate, a Material Adverse Effect. As of the Closing Date, the Loan Parties and their Subsidiaries own the real property listed on </w:t>
      </w:r>
      <w:r>
        <w:rPr>
          <w:rFonts w:ascii="Times New Roman" w:cs="Times New Roman" w:eastAsia="Times New Roman" w:hAnsi="Times New Roman"/>
          <w:sz w:val="18"/>
          <w:szCs w:val="18"/>
          <w:u w:val="single" w:color="auto"/>
          <w:color w:val="auto"/>
        </w:rPr>
        <w:t>Schedule 5.05</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5.06 </w:t>
      </w:r>
      <w:r>
        <w:rPr>
          <w:rFonts w:ascii="Times New Roman" w:cs="Times New Roman" w:eastAsia="Times New Roman" w:hAnsi="Times New Roman"/>
          <w:sz w:val="18"/>
          <w:szCs w:val="18"/>
          <w:u w:val="single" w:color="auto"/>
          <w:color w:val="auto"/>
        </w:rPr>
        <w:t>Liens and Security Interests</w:t>
      </w:r>
      <w:r>
        <w:rPr>
          <w:rFonts w:ascii="Times New Roman" w:cs="Times New Roman" w:eastAsia="Times New Roman" w:hAnsi="Times New Roman"/>
          <w:sz w:val="18"/>
          <w:szCs w:val="18"/>
          <w:color w:val="auto"/>
        </w:rPr>
        <w:t>. On and after the Closing Date, except for Liens permitted pursuant to Section 7.01 hereof, (a) there is and will be no financing statements or similar notice of Lien outstanding covering any personal property of any Loan Party or any Subsidiary thereof; (b) there is and will be no mortgage or deed or hypothec outstanding covering any real property of any Loan Party or any Subsidiary thereof; and (c) no real or personal property of any Loan Party or any Subsidiary thereof is subject to any Lien of any kind. The Administrative Agent has a legal, valid and enforceable and, subject to the last paragraph of Section 4.01(a), (A) perfected first- priority Lien on the Collateral (subject to the priority of any Liens permitted under Section 7.01) and (B) perfected second-priority Lien on the ABL Priority Collateral (subject to the ABL Intercreditor Agreement). No Loan Party thereof has entered into any contract or agreement (other than a contract or agreement entered into in connection with the purchase or lease of fixed assets that prohibits Liens on such fixed assets) that exists on or will become effective after the Closing Date pursuant to a commitment or agreement effective as of the Closing Date that would prohibit the Administrative Agent or the Lenders from acquiring a Lien on, or a collateral assignment of, any of the property or assets of any Loan Party thereof. Each Person that is a guarantor or a borrower under the ABL Loan Documents is a Loan Party hereunder.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104" w:name="page105"/>
    <w:bookmarkEnd w:id="104"/>
    <w:p>
      <w:pPr>
        <w:jc w:val="both"/>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5.07 </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Except as would not, individually or in the aggregate, reasonably be expected to result in a Material Adverse Effect, all federal, state, provincial and local tax returns and other reports required by law to be filed in respect of the income, business, properties and employees of each Loan Party and each of their Subsidiaries have been filed and all taxes, assessments, fees and other governmental charges that are due and payable have been paid, except as otherwise permitted herein. The provision for taxes on the books of each Loan Party and each Subsidiary thereof is adequate for all years not closed by applicable statutes and for the current fiscal year.</w:t>
      </w:r>
    </w:p>
    <w:p>
      <w:pPr>
        <w:spacing w:after="0" w:line="183"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5.08 </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xml:space="preserve">. Except as disclosed on </w:t>
      </w:r>
      <w:r>
        <w:rPr>
          <w:rFonts w:ascii="Times New Roman" w:cs="Times New Roman" w:eastAsia="Times New Roman" w:hAnsi="Times New Roman"/>
          <w:sz w:val="17"/>
          <w:szCs w:val="17"/>
          <w:u w:val="single" w:color="auto"/>
          <w:color w:val="auto"/>
        </w:rPr>
        <w:t>Schedule 5.08</w:t>
      </w:r>
      <w:r>
        <w:rPr>
          <w:rFonts w:ascii="Times New Roman" w:cs="Times New Roman" w:eastAsia="Times New Roman" w:hAnsi="Times New Roman"/>
          <w:sz w:val="17"/>
          <w:szCs w:val="17"/>
          <w:color w:val="auto"/>
        </w:rPr>
        <w:t xml:space="preserve"> hereto (i) no Loan Party or any Subsidiary has received written notice of any claim with respect to any Environmental Liability or knows of any basis for any Environmental Liability and (ii) except with respect to any other matters that, individually or in the aggregate, would not reasonably be expected to result in a Material Adverse Effect, no Loan Party or any Subsidiary</w:t>
      </w:r>
    </w:p>
    <w:p>
      <w:pPr>
        <w:spacing w:after="0" w:line="2" w:lineRule="exact"/>
        <w:rPr>
          <w:sz w:val="20"/>
          <w:szCs w:val="20"/>
          <w:color w:val="auto"/>
        </w:rPr>
      </w:pPr>
    </w:p>
    <w:p>
      <w:pPr>
        <w:ind w:left="4" w:right="260" w:hanging="4"/>
        <w:spacing w:after="0" w:line="255" w:lineRule="auto"/>
        <w:tabs>
          <w:tab w:leader="none" w:pos="29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failed to comply with any Environmental Law or to obtain, maintain or comply with any permit, license or other approval required under any Environmental Law, (B) has become subject to any Environmental Liability, (C) has received written notice of any claim with respect to any Environmental Liability or (D) has actual knowledge of any basis for any Environmental Liability.</w:t>
      </w:r>
    </w:p>
    <w:p>
      <w:pPr>
        <w:spacing w:after="0" w:line="186"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5.09 </w:t>
      </w:r>
      <w:r>
        <w:rPr>
          <w:rFonts w:ascii="Times New Roman" w:cs="Times New Roman" w:eastAsia="Times New Roman" w:hAnsi="Times New Roman"/>
          <w:sz w:val="18"/>
          <w:szCs w:val="18"/>
          <w:u w:val="single" w:color="auto"/>
          <w:color w:val="auto"/>
        </w:rPr>
        <w:t>Locations</w:t>
      </w:r>
      <w:r>
        <w:rPr>
          <w:rFonts w:ascii="Times New Roman" w:cs="Times New Roman" w:eastAsia="Times New Roman" w:hAnsi="Times New Roman"/>
          <w:sz w:val="18"/>
          <w:szCs w:val="18"/>
          <w:color w:val="auto"/>
        </w:rPr>
        <w:t>. As of the Closing Date, the Loan Parties have places of business or maintain their accounts, inventory and equipment at the locations (including third party locations) set forth on the schedules to the Security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73" w:lineRule="auto"/>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u w:val="single" w:color="auto"/>
          <w:color w:val="auto"/>
        </w:rPr>
        <w:t>Employee Benefits Plans</w:t>
      </w:r>
      <w:r>
        <w:rPr>
          <w:rFonts w:ascii="Times New Roman" w:cs="Times New Roman" w:eastAsia="Times New Roman" w:hAnsi="Times New Roman"/>
          <w:sz w:val="17"/>
          <w:szCs w:val="17"/>
          <w:color w:val="auto"/>
        </w:rPr>
        <w:t>. No ERISA Event has occurred or is reasonably expected to occur that, when taken together with all other such ERISA Events for which liability is reasonably expected to occur, would, individually or in the aggregate,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by more than $2,500,000 the fair market value of the assets of all such underfunded Plans.</w:t>
      </w:r>
    </w:p>
    <w:p>
      <w:pPr>
        <w:spacing w:after="0" w:line="171"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Consents or Approvals</w:t>
      </w:r>
      <w:r>
        <w:rPr>
          <w:rFonts w:ascii="Times New Roman" w:cs="Times New Roman" w:eastAsia="Times New Roman" w:hAnsi="Times New Roman"/>
          <w:sz w:val="18"/>
          <w:szCs w:val="18"/>
          <w:color w:val="auto"/>
        </w:rPr>
        <w:t>. No consent, approval or authorization of, or filing, registration or qualification with, any Governmental Authority or any other Person is required to be obtained or completed by any Loan Party in connection with the execution, delivery or performance of any of the Loan Documents, that has not already been obtained or completed, except for (i) such as have been obtained or made and are in full force and effect,</w:t>
      </w:r>
    </w:p>
    <w:p>
      <w:pPr>
        <w:spacing w:after="0" w:line="1" w:lineRule="exact"/>
        <w:rPr>
          <w:sz w:val="20"/>
          <w:szCs w:val="20"/>
          <w:color w:val="auto"/>
        </w:rPr>
      </w:pPr>
    </w:p>
    <w:p>
      <w:pPr>
        <w:jc w:val="both"/>
        <w:ind w:left="4" w:hanging="4"/>
        <w:spacing w:after="0" w:line="255" w:lineRule="auto"/>
        <w:tabs>
          <w:tab w:leader="none" w:pos="26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that are necessary to perfect Liens created pursuant to the Loan Documents, (iii) filings as may be required under the Securities Exchange Act of 1934, as amended, and applicable stock exchange rules in connection therewith, or (iv) such actions, consents and approvals the failure of which to be obtained or made would not, individually or in the aggregate, reasonably be expected to have a Material Adverse Effect.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105" w:name="page106"/>
    <w:bookmarkEnd w:id="1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5.13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Closing Date, each Loan Party is, individually and collectively with its Subsidiaries on a consolidated basis, Solvent.</w:t>
      </w:r>
    </w:p>
    <w:p>
      <w:pPr>
        <w:spacing w:after="0" w:line="225"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Financial Statements; No Material Adverse Effect</w:t>
      </w:r>
      <w:r>
        <w:rPr>
          <w:rFonts w:ascii="Times New Roman" w:cs="Times New Roman" w:eastAsia="Times New Roman" w:hAnsi="Times New Roman"/>
          <w:sz w:val="18"/>
          <w:szCs w:val="18"/>
          <w:color w:val="auto"/>
        </w:rPr>
        <w:t>. The Audited Financial Statements and the Borrower Interim Financial Statements furnished to the Administrative Agent and the Lenders, are true and complete, have been prepared in accordance with GAAP, and fairly present, in all material respects, the financial condition of the Borrower and its Subsidiaries as of the dates of such financial statements and the results of their operations for the periods then ending, subject to normal year-end audit adjustments and the absence of footnotes. Since the dates of such Borrower Interim Financial Statements, there has been no material adverse change in the Borrower’s or any of its Subsidiary’s financial condition, properties or business or any change in any Borrower’s or any of its Subsidiary’s accounting procedures. Since December 31, 2020, there has been no event or circumstance either individually or in the aggregate that has had or would reasonably be expected to have a Material Adverse Effect.</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xml:space="preserve">. No Loan Party or Subsidiary thereof is engaged principally or as one of its important activities, in the business of extending credit for the purpose of purchasing or carrying any “margin stock” (within the meaning of Regulation U of the FRB of the United States). Neither the granting of the Loans (or any conversion thereof) nor the use of the proceeds of the Loans will violate, or be inconsistent with, the provisions of Regulation T, U or X or any other Regulation of the FRB. Following the application of the proceeds of the Loans, not more than 25% of the value of the assets (either of the Borrower only or of the Borrower and its Subsidiaries on a consolidated basis) subject to the provisions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or subject to any restriction contained in any agreement or instrument between the Borrower and any Lender or Affiliate of a Lender relating to Indebtedness within the scope of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will be margin stock.</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Each Loan Party and each Subsidiary thereof owns, or has the right to use, all of the material patents, patent applications, industrial designs, designs, trademarks, service marks, copyrights, trade secrets, software and rights with respect to the foregoing necessary for the conduct of its business without any known conflict with the rights of others.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hereto sets forth all patents, trademarks, registered copyrights, and service marks, owned by each Loan Party as of the Closing Date.</w:t>
      </w:r>
    </w:p>
    <w:p>
      <w:pPr>
        <w:spacing w:after="0" w:line="180" w:lineRule="exact"/>
        <w:rPr>
          <w:sz w:val="20"/>
          <w:szCs w:val="20"/>
          <w:color w:val="auto"/>
        </w:rPr>
      </w:pPr>
    </w:p>
    <w:p>
      <w:pPr>
        <w:ind w:right="2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5.18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As of the Closing Date, except where the failure to do so, individually or in the aggregate, would not reasonably be expected to result in a Material Adverse Effect, each Loan Party and each Subsidiary thereof maintains with financially sound and reputable insurers (or is self-insured) insurance with coverage and limits as required by Law and as is customary with Persons engaged in the same businesses as the Loan Parties and their Subsidiaries. </w:t>
      </w:r>
      <w:r>
        <w:rPr>
          <w:rFonts w:ascii="Times New Roman" w:cs="Times New Roman" w:eastAsia="Times New Roman" w:hAnsi="Times New Roman"/>
          <w:sz w:val="17"/>
          <w:szCs w:val="17"/>
          <w:u w:val="single" w:color="auto"/>
          <w:color w:val="auto"/>
        </w:rPr>
        <w:t>Schedule 5.18</w:t>
      </w:r>
      <w:r>
        <w:rPr>
          <w:rFonts w:ascii="Times New Roman" w:cs="Times New Roman" w:eastAsia="Times New Roman" w:hAnsi="Times New Roman"/>
          <w:sz w:val="17"/>
          <w:szCs w:val="17"/>
          <w:color w:val="auto"/>
        </w:rPr>
        <w:t xml:space="preserve"> hereto sets forth all material insurance carried by the Loan Parties and their Subsidiaries on the Closing Date.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106" w:name="page107"/>
    <w:bookmarkEnd w:id="10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As of the Closing Date, there are no strikes, lockouts or slowdowns against any Loan Party or any Subsidiary pending or, to the knowledge of any Loan Party, threatened in writing.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Sanctions; Anti-Money Laundering Laws; Anti-Corruption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right="100" w:firstLine="419"/>
        <w:spacing w:after="0" w:line="276" w:lineRule="auto"/>
        <w:tabs>
          <w:tab w:leader="none" w:pos="1108"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Loan Parties or any of their Subsidiaries or any of the respective directors, officers or, to the knowledge of any Loan Party, any other Related Party of any of the Loan Parties or any of their Subsidiaries: (i) is a Sanctioned Person or (ii) is or has, within the previous five</w:t>
      </w:r>
    </w:p>
    <w:p>
      <w:pPr>
        <w:ind w:left="440" w:right="40" w:hanging="4"/>
        <w:spacing w:after="0" w:line="253"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engaged in any transaction or dealing with, involving or for the benefit of any Sanctioned Person. No Loan, and no proceeds from any Loan, have been used, directly or indirectly, or lent, contributed, provided or otherwise made available to any Subsidiary, joint venture partner or other Person, to fund any activity or business with, involving or for the benefit of any Sanctioned Person or any Designated Jurisdiction, or in any other manner that would constitute or give rise to any violation by any Person (including any Person participating in the transaction, whether as Lender, Administrative Agent or otherwise) of any Sanctions.</w:t>
      </w:r>
    </w:p>
    <w:p>
      <w:pPr>
        <w:spacing w:after="0" w:line="78"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or any of their Subsidiaries: (i) is under investigation by any Governmental Authority for, or has been charged with, or convicted of, money laundering or terrorist- related activities under any applicable Anti-Money Laundering Laws, (ii) has been assessed civil penalties under any applicable Anti-Money Laundering Laws or (iii) has had any of its funds seized or forfeited in an action under any applicable Anti-Money Laundering Laws.</w:t>
      </w:r>
    </w:p>
    <w:p>
      <w:pPr>
        <w:spacing w:after="0" w:line="71" w:lineRule="exact"/>
        <w:rPr>
          <w:rFonts w:ascii="Times New Roman" w:cs="Times New Roman" w:eastAsia="Times New Roman" w:hAnsi="Times New Roman"/>
          <w:sz w:val="18"/>
          <w:szCs w:val="18"/>
          <w:color w:val="auto"/>
        </w:rPr>
      </w:pPr>
    </w:p>
    <w:p>
      <w:pPr>
        <w:ind w:left="440" w:firstLine="419"/>
        <w:spacing w:after="0" w:line="255" w:lineRule="auto"/>
        <w:tabs>
          <w:tab w:leader="none" w:pos="110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or any of their Subsidiaries or any of the respective directors, officers or, to the knowledge of any Loan Party, any other Related Party of any of the Loan Parties or any of their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or any other applicable Anti- Corruption Laws; or (iv) made any bribe, rebate, payoff, influence payment, kickback or other unlawful payment. No Loan, and no proceeds from any Loan, have been used, directly or indirectly, in any manner that would constitute a violation of applicable Anti-Corruption Laws.</w:t>
      </w:r>
    </w:p>
    <w:p>
      <w:pPr>
        <w:spacing w:after="0" w:line="80"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or any of their Subsidiaries or any of the respective directors, officers or, to the knowledge of any Loan Party, any other Related Party of any of the Loan Parties or any of their Subsidiaries: is or has been, within the previous five (5) years, subject to any action, claim, charge, proceeding, litigation or judgment with regard to any actual or alleged violation of applicable Sanctions, applicable Anti-Money Laundering Laws or applicable Anti-Corruption Laws.</w:t>
      </w:r>
    </w:p>
    <w:p>
      <w:pPr>
        <w:spacing w:after="0" w:line="71"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0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have implemented and maintain in effect policies and procedures designed to promote and achieve compliance with applicable Sanctions, applicable Anti-Money Laundering Laws and applicable Anti-Corruption Laws.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107" w:name="page108"/>
    <w:bookmarkEnd w:id="107"/>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5.22 </w:t>
      </w:r>
      <w:r>
        <w:rPr>
          <w:rFonts w:ascii="Times New Roman" w:cs="Times New Roman" w:eastAsia="Times New Roman" w:hAnsi="Times New Roman"/>
          <w:sz w:val="18"/>
          <w:szCs w:val="18"/>
          <w:u w:val="single" w:color="auto"/>
          <w:color w:val="auto"/>
        </w:rPr>
        <w:t>Certain Treasury Regulation Matters</w:t>
      </w:r>
      <w:r>
        <w:rPr>
          <w:rFonts w:ascii="Times New Roman" w:cs="Times New Roman" w:eastAsia="Times New Roman" w:hAnsi="Times New Roman"/>
          <w:sz w:val="18"/>
          <w:szCs w:val="18"/>
          <w:color w:val="auto"/>
        </w:rPr>
        <w:t>. The Borrower does not intend to treat the Loans and related transactions as being a “reportable” transaction (within the meaning of Treasury Regulation 1.6011-4). The Borrower acknowledges that the Administrative Agent and one or more of the Lenders may treat its Loans as part of a transaction that is subject to Treasury Regulation Section 301.6112-1 to the extent that the Borrower’s application of the proceeds of the Loans requires the same and the Administrative Agent and such Lender or Lenders, as applicable, may, in connection therewith, maintain such lists and other records as they may determine is required by such Treasury Regulation.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Accurate and Complete Statements</w:t>
      </w:r>
      <w:r>
        <w:rPr>
          <w:rFonts w:ascii="Times New Roman" w:cs="Times New Roman" w:eastAsia="Times New Roman" w:hAnsi="Times New Roman"/>
          <w:sz w:val="18"/>
          <w:szCs w:val="18"/>
          <w:color w:val="auto"/>
        </w:rPr>
        <w:t xml:space="preserve">. No report, financial statement, certificate or other information furnished by or on behalf of any Loan Party or any Subsidiary to the Administrative Agent or any Lender in connection with the negotiation of this Agreement or delivered hereunder or any other Loan Document (as modified or supplemented by other information so furnished), when taken as a whole, contains any material misstatement of a material fact or omits to state any material fact necessary to make the statements therein (when taken as a whole),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 representation is made with respect to general economic or industry information and (b) with respect to projected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the Borrower represents only that such information was prepared in good faith based upon assumptions reasonably believed by the Borrower to be reasonable at the time of preparation; it being understood that such projections may vary from actual results and that such variances may be material.</w:t>
      </w:r>
    </w:p>
    <w:p>
      <w:pPr>
        <w:spacing w:after="0" w:line="19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No Loan Party or Subsidiary thereof is an “investment company” or a company “controlled” by an “investment company” within the meaning of the Investment Company Act of 1940, as amended.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No Default exists hereunder, nor will any exist immediately after the execution and delivery hereof.</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Senior Debt Status</w:t>
      </w:r>
      <w:r>
        <w:rPr>
          <w:rFonts w:ascii="Times New Roman" w:cs="Times New Roman" w:eastAsia="Times New Roman" w:hAnsi="Times New Roman"/>
          <w:sz w:val="18"/>
          <w:szCs w:val="18"/>
          <w:color w:val="auto"/>
        </w:rPr>
        <w:t>. The Obligations (a) rank at least pari passu in right of payment with all material senior Indebtedness of Borrower and its Subsidiaries and (b) are designated as “Senior Indebtedness,” “Designated Senior Debt” or such similar term under all instruments and documents relating to all Subordinated Indebtedness and all senior unsecured Indebtedness of such Person.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70" w:right="47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7"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(other than contingent indemnification obligations not then due), the Borrower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cause each Subsidiary to:</w:t>
      </w:r>
    </w:p>
    <w:p>
      <w:pPr>
        <w:spacing w:after="0" w:line="68"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Deliver to the Administrative Agent and each Lender, in form and detail satisfactory to the Administrative Agent and the Required Lenders:</w:t>
      </w:r>
    </w:p>
    <w:p>
      <w:pPr>
        <w:spacing w:after="0" w:line="54" w:lineRule="exact"/>
        <w:rPr>
          <w:sz w:val="20"/>
          <w:szCs w:val="20"/>
          <w:color w:val="auto"/>
        </w:rPr>
      </w:pPr>
    </w:p>
    <w:p>
      <w:pPr>
        <w:ind w:left="440" w:firstLine="419"/>
        <w:spacing w:after="0" w:line="254" w:lineRule="auto"/>
        <w:tabs>
          <w:tab w:leader="none" w:pos="11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ninety-five (95) days after the end of each fiscal year of the Borrower (commencing with the fiscal year ending December 31, 2020), an annual audit report of the Borrower and its Subsidiaries for that year prepared on a consolidated basis, in accordance with GAAP, and certified by an opinion of an independent public accountant of recognized national or regional standing (or otherwise reasonably satisfactory to the Administrative Agent) that is not subject to any qualification, exception or explanatory paragraph as to “going concern” or scope of the audit (other than any “emphasis of matter” paragraph or qualification, or any exception or explanatory paragraph that is solely with respect to, or resulting solely from (i) an upcoming maturity date under any Indebtedness or (ii) any potential or actual inability to satisfy any financial covenant (including a Financial Covenant)), which report shall include balance sheets and statements of income (loss), stockholders’ equity and cash-flow for that period;</w:t>
      </w:r>
    </w:p>
    <w:p>
      <w:pPr>
        <w:spacing w:after="0" w:line="83"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fifty (50) days after the end of each of the first three fiscal quarter periods of each fiscal year of the Borrower (commencing with the fiscal quarter ending March 31, 2021), balance sheets of the Borrower and its Subsidiaries as of the end of such period and statements of income (loss), stockholders’ equity and cash flow for the quarter and fiscal year to date periods, setting forth in comparative form the figures for the corresponding fiscal quarter of the previous fiscal year and the corresponding portion of the previous fiscal year, all prepared on a consolidated basis, in accordance with GAAP subject to normal year-end adjustments and the absence of footnotes, and certified by a Responsible Officer of the Borrower; and</w:t>
      </w:r>
    </w:p>
    <w:p>
      <w:pPr>
        <w:spacing w:after="0" w:line="79" w:lineRule="exact"/>
        <w:rPr>
          <w:rFonts w:ascii="Times New Roman" w:cs="Times New Roman" w:eastAsia="Times New Roman" w:hAnsi="Times New Roman"/>
          <w:sz w:val="18"/>
          <w:szCs w:val="18"/>
          <w:color w:val="auto"/>
        </w:rPr>
      </w:pPr>
    </w:p>
    <w:p>
      <w:pPr>
        <w:ind w:left="440" w:right="540" w:firstLine="419"/>
        <w:spacing w:after="0" w:line="266" w:lineRule="auto"/>
        <w:tabs>
          <w:tab w:leader="none" w:pos="11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fiscal year of the Borrower a copy of the plan and forecast (including a projected consolidated balance sheet, income statement and cash flow statement) of the Borrower for each month of the upcoming fiscal year in form reasonably satisfactory to the Administrative Agent.</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xml:space="preserve">, the Borrower shall not be separately required to furnish such information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but the foregoing shall not be in derogation of the obligation of the Borrower to furnish the information and materials described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at the times specified therein.</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Deliver to the Administrative Agent and each Lender, in form and detail satisfactory to the Administrative Agent and the Required Lenders: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109" w:name="page110"/>
    <w:bookmarkEnd w:id="109"/>
    <w:p>
      <w:pPr>
        <w:ind w:left="4" w:firstLine="419"/>
        <w:spacing w:after="0" w:line="255" w:lineRule="auto"/>
        <w:tabs>
          <w:tab w:leader="none" w:pos="68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(commencing with the delivery of the financial statements for the fiscal quarter ended March 31, 2021), a duly completed Compliance Certificate signed by a Responsible Officer of the Borrower (which delivery may, unless the Administrative Agent, or a Lender requests executed originals, be by electronic communication including fax or email and shall be deemed to be an original authentic counterpart thereof for all purposes), which Compliance Certificate shall</w:t>
      </w:r>
    </w:p>
    <w:p>
      <w:pPr>
        <w:spacing w:after="0" w:line="2" w:lineRule="exact"/>
        <w:rPr>
          <w:rFonts w:ascii="Times New Roman" w:cs="Times New Roman" w:eastAsia="Times New Roman" w:hAnsi="Times New Roman"/>
          <w:sz w:val="18"/>
          <w:szCs w:val="18"/>
          <w:color w:val="auto"/>
        </w:rPr>
      </w:pPr>
    </w:p>
    <w:p>
      <w:pPr>
        <w:ind w:left="4" w:right="80" w:hanging="4"/>
        <w:spacing w:after="0" w:line="252" w:lineRule="auto"/>
        <w:tabs>
          <w:tab w:leader="none" w:pos="25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that no Default exists or, if a Default exists, specifying the nature and extent thereof; (y) set forth (i) any change in the identity of any of the Immaterial Subsidiaries during such period and (ii) a detailed calculation of the Consolidated Net Leverage Ratio and the Consolidated Secured Net Leverage Ratio in each case as of the last day of such period, and solely with respect to the delivery concurrently with the financial statements referred to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 calculation of Excess Cash Flow for such fiscal year); and (z) set forth all patents, trademarks, registered copyrights, service marks, and material license agreements owned by each Loan Party or Subsidiary or to which a Loan Party or Subsidiary is a party and that is not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hereto or on any previously delivered Compliance Certificate;</w:t>
      </w:r>
    </w:p>
    <w:p>
      <w:pPr>
        <w:spacing w:after="0" w:line="81" w:lineRule="exact"/>
        <w:rPr>
          <w:rFonts w:ascii="Times New Roman" w:cs="Times New Roman" w:eastAsia="Times New Roman" w:hAnsi="Times New Roman"/>
          <w:sz w:val="18"/>
          <w:szCs w:val="18"/>
          <w:color w:val="auto"/>
        </w:rPr>
      </w:pPr>
    </w:p>
    <w:p>
      <w:pPr>
        <w:ind w:left="4" w:right="340" w:firstLine="419"/>
        <w:spacing w:after="0" w:line="266" w:lineRule="auto"/>
        <w:tabs>
          <w:tab w:leader="none" w:pos="67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request therefor, copies of any detailed audit reports or management letters submitted to the board of directors (or the audit committee of the board of directors) of the Borrower by independent accountants in connection with any audit of the Borrower or any Subsidiary as the Administrative Agent may reasonably request;</w:t>
      </w:r>
    </w:p>
    <w:p>
      <w:pPr>
        <w:spacing w:after="0" w:line="67" w:lineRule="exact"/>
        <w:rPr>
          <w:rFonts w:ascii="Times New Roman" w:cs="Times New Roman" w:eastAsia="Times New Roman" w:hAnsi="Times New Roman"/>
          <w:sz w:val="18"/>
          <w:szCs w:val="18"/>
          <w:color w:val="auto"/>
        </w:rPr>
      </w:pPr>
    </w:p>
    <w:p>
      <w:pPr>
        <w:jc w:val="both"/>
        <w:ind w:left="4" w:firstLine="419"/>
        <w:spacing w:after="0" w:line="261" w:lineRule="auto"/>
        <w:tabs>
          <w:tab w:leader="none" w:pos="68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definitive proxy statements and other materials filed by any Loan Party with the SEC (other than any routine ministerial statements, notices, reports or other documents), or any Governmental Authority succeeding to any or all of the functions of the SEC, or with any national securities exchange, or distributed by any Loan Party to its shareholders generally, as the case may be;</w:t>
      </w:r>
    </w:p>
    <w:p>
      <w:pPr>
        <w:spacing w:after="0" w:line="71" w:lineRule="exact"/>
        <w:rPr>
          <w:rFonts w:ascii="Times New Roman" w:cs="Times New Roman" w:eastAsia="Times New Roman" w:hAnsi="Times New Roman"/>
          <w:sz w:val="18"/>
          <w:szCs w:val="18"/>
          <w:color w:val="auto"/>
        </w:rPr>
      </w:pPr>
    </w:p>
    <w:p>
      <w:pPr>
        <w:ind w:left="4" w:firstLine="419"/>
        <w:spacing w:after="0" w:line="261" w:lineRule="auto"/>
        <w:tabs>
          <w:tab w:leader="none" w:pos="67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furnishing thereof, copies of any statement or report (</w:t>
      </w:r>
      <w:r>
        <w:rPr>
          <w:rFonts w:ascii="Times New Roman" w:cs="Times New Roman" w:eastAsia="Times New Roman" w:hAnsi="Times New Roman"/>
          <w:sz w:val="18"/>
          <w:szCs w:val="18"/>
          <w:color w:val="FF0000"/>
          <w:strike w:val="1"/>
        </w:rPr>
        <w:t>oth0065r</w:t>
      </w:r>
      <w:r>
        <w:rPr>
          <w:rFonts w:ascii="Times New Roman" w:cs="Times New Roman" w:eastAsia="Times New Roman" w:hAnsi="Times New Roman"/>
          <w:sz w:val="18"/>
          <w:szCs w:val="18"/>
          <w:u w:val="single" w:color="auto"/>
          <w:color w:val="0000FF"/>
        </w:rPr>
        <w:t>other</w:t>
      </w:r>
      <w:r>
        <w:rPr>
          <w:rFonts w:ascii="Times New Roman" w:cs="Times New Roman" w:eastAsia="Times New Roman" w:hAnsi="Times New Roman"/>
          <w:sz w:val="18"/>
          <w:szCs w:val="18"/>
          <w:color w:val="auto"/>
        </w:rPr>
        <w:t xml:space="preserve"> than any routine ministerial statements or reports) furnished to any holder of obligations pursuant to a Material Indebtedness Agreement of any Loan Party pursuant to the terms of any indenture, loan or credit or similar agreement and not otherwise required to be furnished to the Lenders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any other clause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4" w:right="220" w:firstLine="419"/>
        <w:spacing w:after="0" w:line="261" w:lineRule="auto"/>
        <w:tabs>
          <w:tab w:leader="none" w:pos="68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after receipt thereof by any Loan Party or any Subsidiary thereof, copies of each written notice or other correspondence received from the SEC (or comparable agency in any applicable non-U.S. jurisdiction) concerning any investigation or possible investigation or other material inquiry by such agency regarding financial or other operational results of any Loan Party or any Subsidiary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-1236980</wp:posOffset>
            </wp:positionV>
            <wp:extent cx="2317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92"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524"/>
          </w:cols>
          <w:pgMar w:left="876" w:top="270" w:right="499" w:bottom="1440" w:gutter="0" w:footer="0" w:header="0"/>
        </w:sectPr>
      </w:pPr>
    </w:p>
    <w:bookmarkStart w:id="110" w:name="page111"/>
    <w:bookmarkEnd w:id="110"/>
    <w:p>
      <w:pPr>
        <w:ind w:right="460" w:firstLine="419"/>
        <w:spacing w:after="0" w:line="258" w:lineRule="auto"/>
        <w:tabs>
          <w:tab w:leader="none" w:pos="67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so requested by the Administrative Agent, not later than five (5) Business Days after receipt thereof by any Loan Party or any Subsidiary thereof, copies of all material notices, requests and other documents (including amendments, waivers and other modifications) so received under or pursuant to any Related Document or any Material Indebtedness Agreement and, from time to time upon request by the Administrative Agent, such information and reports regarding any Related Document or any Material Indebtedness Agreement as the Administrative Agent may reasonably request;</w:t>
      </w:r>
    </w:p>
    <w:p>
      <w:pPr>
        <w:spacing w:after="0" w:line="75" w:lineRule="exact"/>
        <w:rPr>
          <w:rFonts w:ascii="Times New Roman" w:cs="Times New Roman" w:eastAsia="Times New Roman" w:hAnsi="Times New Roman"/>
          <w:sz w:val="18"/>
          <w:szCs w:val="18"/>
          <w:color w:val="auto"/>
        </w:rPr>
      </w:pPr>
    </w:p>
    <w:p>
      <w:pPr>
        <w:ind w:right="20" w:firstLine="419"/>
        <w:spacing w:after="0" w:line="271" w:lineRule="auto"/>
        <w:tabs>
          <w:tab w:leader="none" w:pos="63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receipt of any written notice of any investigation by a Governmental Authority or any litigation or proceeding commenced or threatened in writing against any Loan Party or any Subsidiary that (i) seeks damages in excess of $4,000,000, (ii) seeks injunctive relief that has resulted, or, either individually or in the aggregate, would reasonably be expected to result, in a Material Adverse Effect, (iii) is asserted or instituted against any Plan, its fiduciaries or its assets that has resulted, or, either individually or in the aggregate, would reasonably be expected to result, in a Material Adverse Effect, (iv) alleges criminal misconduct by any Loan Party or any Subsidiary, (v) alleges the violation of, or seeks to impose remedies under, any Environmental Law or related Requirement of Law, or seeks to impose Environmental Liability that has resulted, or, either individually or in the aggregate, would reasonably be expected to result, in a Material Adverse Effect, (vi) asserts liability on the part of any Loan Party or any Subsidiary in excess of $4,000,000 in respect of any tax, fee, assessment, or other governmental charge, or (vii) involves any product recall that has resulted, or, either individually or in the aggregate, would reasonably be expected to result, in a Material Adverse Effect;</w:t>
      </w:r>
    </w:p>
    <w:p>
      <w:pPr>
        <w:spacing w:after="0" w:line="65" w:lineRule="exact"/>
        <w:rPr>
          <w:rFonts w:ascii="Times New Roman" w:cs="Times New Roman" w:eastAsia="Times New Roman" w:hAnsi="Times New Roman"/>
          <w:sz w:val="17"/>
          <w:szCs w:val="17"/>
          <w:color w:val="auto"/>
        </w:rPr>
      </w:pPr>
    </w:p>
    <w:p>
      <w:pPr>
        <w:ind w:firstLine="419"/>
        <w:spacing w:after="0" w:line="254" w:lineRule="auto"/>
        <w:tabs>
          <w:tab w:leader="none" w:pos="63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forty-five (45) days after the end of each fiscal year of the Borrower, (i) a report supplementing </w:t>
      </w:r>
      <w:r>
        <w:rPr>
          <w:rFonts w:ascii="Times New Roman" w:cs="Times New Roman" w:eastAsia="Times New Roman" w:hAnsi="Times New Roman"/>
          <w:sz w:val="18"/>
          <w:szCs w:val="18"/>
          <w:u w:val="single" w:color="auto"/>
          <w:color w:val="auto"/>
        </w:rPr>
        <w:t>Schedule 5.05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including an identification of all owned and leased real property disposed of by any Loan Party or any Subsidiary thereof during such fiscal year, a list and description (including the street 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(ii) a report supplementing </w:t>
      </w:r>
      <w:r>
        <w:rPr>
          <w:rFonts w:ascii="Times New Roman" w:cs="Times New Roman" w:eastAsia="Times New Roman" w:hAnsi="Times New Roman"/>
          <w:sz w:val="18"/>
          <w:szCs w:val="18"/>
          <w:u w:val="single" w:color="auto"/>
          <w:color w:val="auto"/>
        </w:rPr>
        <w:t>Schedules 5.01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83" w:lineRule="exact"/>
        <w:rPr>
          <w:rFonts w:ascii="Times New Roman" w:cs="Times New Roman" w:eastAsia="Times New Roman" w:hAnsi="Times New Roman"/>
          <w:sz w:val="18"/>
          <w:szCs w:val="18"/>
          <w:color w:val="auto"/>
        </w:rPr>
      </w:pPr>
    </w:p>
    <w:p>
      <w:pPr>
        <w:ind w:right="60" w:firstLine="419"/>
        <w:spacing w:after="0" w:line="261" w:lineRule="auto"/>
        <w:tabs>
          <w:tab w:leader="none" w:pos="67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any Loan Party or any Subsidiary thereof obtains knowledge that any Loan Party or any Subsidiary thereof or any Person that owns, directly or indirectly, any Equity Interest of any Loan Party or any Subsidiary thereof, or any other holder at any time of any direct or indirect equitable, legal or beneficial interest therein is in violation or breach of any of </w:t>
      </w:r>
      <w:r>
        <w:rPr>
          <w:rFonts w:ascii="Times New Roman" w:cs="Times New Roman" w:eastAsia="Times New Roman" w:hAnsi="Times New Roman"/>
          <w:sz w:val="18"/>
          <w:szCs w:val="18"/>
          <w:u w:val="single" w:color="auto"/>
          <w:color w:val="auto"/>
        </w:rPr>
        <w:t>Section 6.08(b)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such Loan Party or Subsidiary will deliver reasonably prompt notice to the Administrative Agent and the Lenders of such violation; and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560"/>
          </w:cols>
          <w:pgMar w:left="880" w:top="270" w:right="459" w:bottom="1440" w:gutter="0" w:footer="0" w:header="0"/>
        </w:sectPr>
      </w:pPr>
    </w:p>
    <w:bookmarkStart w:id="111" w:name="page112"/>
    <w:bookmarkEnd w:id="111"/>
    <w:p>
      <w:pPr>
        <w:ind w:left="444" w:right="80" w:firstLine="419"/>
        <w:spacing w:after="0" w:line="258" w:lineRule="auto"/>
        <w:tabs>
          <w:tab w:leader="none" w:pos="108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following any request therefor, (i) such other information regarding the operations, changes in ownership of Equity Interests, business affairs and financial condition of any Loan Party or any Subsidiary, or compliance with the terms of this Agreement, as the Administrative Agent or any Lender may reasonably request, and (ii) information and documentation reasonably requested by the Administrative Agent or any Lender for purposes of compliance with applicable “know your customer” rules and Anti-Money Laundering Laws, including the USA PATRIOT Act and the Beneficial Ownership Regulation.</w:t>
      </w:r>
    </w:p>
    <w:p>
      <w:pPr>
        <w:spacing w:after="0" w:line="183" w:lineRule="exact"/>
        <w:rPr>
          <w:sz w:val="20"/>
          <w:szCs w:val="20"/>
          <w:color w:val="auto"/>
        </w:rPr>
      </w:pPr>
    </w:p>
    <w:p>
      <w:pPr>
        <w:ind w:left="4" w:right="60" w:firstLine="440"/>
        <w:spacing w:after="0" w:line="270" w:lineRule="auto"/>
        <w:rPr>
          <w:sz w:val="20"/>
          <w:szCs w:val="20"/>
          <w:color w:val="auto"/>
        </w:rPr>
      </w:pPr>
      <w:r>
        <w:rPr>
          <w:rFonts w:ascii="Times New Roman" w:cs="Times New Roman" w:eastAsia="Times New Roman" w:hAnsi="Times New Roman"/>
          <w:sz w:val="17"/>
          <w:szCs w:val="17"/>
          <w:color w:val="auto"/>
        </w:rPr>
        <w:t xml:space="preserve">Documents required to be delivered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6.02(d)</w:t>
      </w:r>
      <w:r>
        <w:rPr>
          <w:rFonts w:ascii="Times New Roman" w:cs="Times New Roman" w:eastAsia="Times New Roman" w:hAnsi="Times New Roman"/>
          <w:sz w:val="17"/>
          <w:szCs w:val="17"/>
          <w:color w:val="auto"/>
        </w:rPr>
        <w:t xml:space="preserv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the Borrower posts such documents, or provides a link thereto on the Borrower’s website on the Internet at the website address listed on </w:t>
      </w:r>
      <w:r>
        <w:rPr>
          <w:rFonts w:ascii="Times New Roman" w:cs="Times New Roman" w:eastAsia="Times New Roman" w:hAnsi="Times New Roman"/>
          <w:sz w:val="17"/>
          <w:szCs w:val="17"/>
          <w:u w:val="single" w:color="auto"/>
          <w:color w:val="auto"/>
        </w:rPr>
        <w:t>Schedule 10.02</w:t>
      </w:r>
      <w:r>
        <w:rPr>
          <w:rFonts w:ascii="Times New Roman" w:cs="Times New Roman" w:eastAsia="Times New Roman" w:hAnsi="Times New Roman"/>
          <w:sz w:val="17"/>
          <w:szCs w:val="17"/>
          <w:color w:val="auto"/>
        </w:rPr>
        <w:t>; or</w:t>
      </w:r>
    </w:p>
    <w:p>
      <w:pPr>
        <w:spacing w:after="0" w:line="3" w:lineRule="exact"/>
        <w:rPr>
          <w:sz w:val="20"/>
          <w:szCs w:val="20"/>
          <w:color w:val="auto"/>
        </w:rPr>
      </w:pPr>
    </w:p>
    <w:p>
      <w:pPr>
        <w:ind w:left="4" w:hanging="4"/>
        <w:spacing w:after="0" w:line="252" w:lineRule="auto"/>
        <w:tabs>
          <w:tab w:leader="none" w:pos="31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deliver paper copies of such documents to the Administrative Agent or any Lender upon its request to the Borrower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88"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Borrower hereby acknowledges that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(for purposes of the United States Federal and state securities laws)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(x) all such Borrower Materials that are to be made available to Public Lenders shall be clearly and conspicuously marked “PUBLIC” which, at a minimum, means that the word “PUBLIC” shall appear prominently on the first page thereof and (y) by marking Borrower Materials “PUBLIC,” the Borrower shall be deemed to have authorized the Administrative Agent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84"/>
          </w:cols>
          <w:pgMar w:left="436" w:top="270" w:right="479" w:bottom="1440" w:gutter="0" w:footer="0" w:header="0"/>
        </w:sectPr>
      </w:pPr>
    </w:p>
    <w:bookmarkStart w:id="112" w:name="page113"/>
    <w:bookmarkEnd w:id="112"/>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after a Responsible Officer of the Borrower or any of its Subsidiaries has knowledge thereof, notify the Administrative Agent and each Lender:</w:t>
      </w:r>
    </w:p>
    <w:p>
      <w:pPr>
        <w:spacing w:after="0" w:line="54" w:lineRule="exact"/>
        <w:rPr>
          <w:sz w:val="20"/>
          <w:szCs w:val="20"/>
          <w:color w:val="auto"/>
        </w:rPr>
      </w:pPr>
    </w:p>
    <w:p>
      <w:pPr>
        <w:ind w:left="1100" w:hanging="241"/>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within five (5) Business Days after any Loan Party’s actual knowledge thereof;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matter that has resulted, or, either individually or in the aggregate, would reasonably be expected to result, in a Material Adverse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98"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liability of the Loan Parties and their Subsidiaries in an aggregate amount exceeding $4,000,000;</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material change in accounting policies or financial reporting practices by any Loan Party or any Subsidiary thereof;</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(i) occurrence of any Disposition of property or assets for which the Borrower is required to make a mandatory prepayment pursuant to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(ii) incurrence or issuance of any Indebtedness for which the Borrower is required to make a mandatory prepayment pursuant to </w:t>
      </w:r>
      <w:r>
        <w:rPr>
          <w:rFonts w:ascii="Times New Roman" w:cs="Times New Roman" w:eastAsia="Times New Roman" w:hAnsi="Times New Roman"/>
          <w:sz w:val="18"/>
          <w:szCs w:val="18"/>
          <w:u w:val="single" w:color="auto"/>
          <w:color w:val="auto"/>
        </w:rPr>
        <w:t>Section 2.05(b)(iii)</w:t>
      </w:r>
      <w:r>
        <w:rPr>
          <w:rFonts w:ascii="Times New Roman" w:cs="Times New Roman" w:eastAsia="Times New Roman" w:hAnsi="Times New Roman"/>
          <w:sz w:val="18"/>
          <w:szCs w:val="18"/>
          <w:color w:val="auto"/>
        </w:rPr>
        <w:t xml:space="preserve">, and (iii) receipt of any Extraordinary Receipt for which the Borrower is required to make a mandatory prepayment pursuant to </w:t>
      </w:r>
      <w:r>
        <w:rPr>
          <w:rFonts w:ascii="Times New Roman" w:cs="Times New Roman" w:eastAsia="Times New Roman" w:hAnsi="Times New Roman"/>
          <w:sz w:val="18"/>
          <w:szCs w:val="18"/>
          <w:u w:val="single" w:color="auto"/>
          <w:color w:val="auto"/>
        </w:rPr>
        <w:t>Section 2.05(b)(iv)</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jc w:val="both"/>
        <w:ind w:left="440" w:right="300" w:firstLine="419"/>
        <w:spacing w:after="0" w:line="266" w:lineRule="auto"/>
        <w:tabs>
          <w:tab w:leader="none" w:pos="108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credit ratings from a credit rating agency, or the placement by a credit rating agency of any Loan Party on a “Credit Watch” or “WatchList” or any similar list, in each case with negative implications, or the cessation by a credit rating agency of, or its intent to cease, rating such Loan Party’s debt.</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Each notice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6.03(f)</w:t>
      </w:r>
      <w:r>
        <w:rPr>
          <w:rFonts w:ascii="Times New Roman" w:cs="Times New Roman" w:eastAsia="Times New Roman" w:hAnsi="Times New Roman"/>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180"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 xml:space="preserve">6.04 </w:t>
      </w:r>
      <w:r>
        <w:rPr>
          <w:rFonts w:ascii="Times New Roman" w:cs="Times New Roman" w:eastAsia="Times New Roman" w:hAnsi="Times New Roman"/>
          <w:sz w:val="17"/>
          <w:szCs w:val="17"/>
          <w:u w:val="single" w:color="auto"/>
          <w:color w:val="auto"/>
        </w:rPr>
        <w:t>Payment of Taxes and Other Obligations</w:t>
      </w:r>
      <w:r>
        <w:rPr>
          <w:rFonts w:ascii="Times New Roman" w:cs="Times New Roman" w:eastAsia="Times New Roman" w:hAnsi="Times New Roman"/>
          <w:sz w:val="17"/>
          <w:szCs w:val="17"/>
          <w:color w:val="auto"/>
        </w:rPr>
        <w:t>. Pay in full (a) prior in each case to the date when penalties would attach, all material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the Borrower and Domestic Subsidiaries, all of its material wage obligations to its employees in compliance with the Fair Labor Standards Act (29 U.S.C. §§ 206-207) or any comparable provisions, and, in the case of the Foreign Subsidiaries, those obligations under foreign laws with respect to employee source deductions, obligations and employer obligations to its employees; and (c) except where failure to pay such obligations, either individually or in the aggregate, would not reasonably be expected to have a Material Adverse Effect, all of its other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113" w:name="page114"/>
    <w:bookmarkEnd w:id="113"/>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6.05 </w:t>
      </w:r>
      <w:r>
        <w:rPr>
          <w:rFonts w:ascii="Times New Roman" w:cs="Times New Roman" w:eastAsia="Times New Roman" w:hAnsi="Times New Roman"/>
          <w:sz w:val="17"/>
          <w:szCs w:val="17"/>
          <w:u w:val="single" w:color="auto"/>
          <w:color w:val="auto"/>
        </w:rPr>
        <w:t>Preservation of Existence, Etc.</w:t>
      </w:r>
      <w:r>
        <w:rPr>
          <w:rFonts w:ascii="Times New Roman" w:cs="Times New Roman" w:eastAsia="Times New Roman" w:hAnsi="Times New Roman"/>
          <w:sz w:val="17"/>
          <w:szCs w:val="17"/>
          <w:color w:val="auto"/>
        </w:rPr>
        <w:t xml:space="preserve"> Other than any Immaterial Subsidiary (a) 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7.05</w:t>
      </w:r>
      <w:r>
        <w:rPr>
          <w:rFonts w:ascii="Times New Roman" w:cs="Times New Roman" w:eastAsia="Times New Roman" w:hAnsi="Times New Roman"/>
          <w:sz w:val="17"/>
          <w:szCs w:val="17"/>
          <w:color w:val="auto"/>
        </w:rPr>
        <w:t>; (b) take all reasonable action to maintain all rights, privileges, permits, licenses and franchises necessary or desirable in the normal conduct of its business, except to the extent that failure to do so, either individually or in the aggregate, would not reasonably be expected to have a Material Adverse Effect; and</w:t>
      </w:r>
    </w:p>
    <w:p>
      <w:pPr>
        <w:spacing w:after="0" w:line="3" w:lineRule="exact"/>
        <w:rPr>
          <w:sz w:val="20"/>
          <w:szCs w:val="20"/>
          <w:color w:val="auto"/>
        </w:rPr>
      </w:pPr>
    </w:p>
    <w:p>
      <w:pPr>
        <w:ind w:left="4" w:right="220" w:hanging="4"/>
        <w:spacing w:after="0" w:line="260" w:lineRule="auto"/>
        <w:tabs>
          <w:tab w:leader="none" w:pos="24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or renew all of its registered material patents, trademarks, trade names and service marks in accordance with the Security Agreement, the non-preservation of which, either individually or in the aggregate, would reasonably be expected to have a Material Adverse Effect.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6.07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80" w:firstLine="419"/>
        <w:spacing w:after="0" w:line="254" w:lineRule="auto"/>
        <w:tabs>
          <w:tab w:leader="none" w:pos="111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insurance upon its inventory, equipment and other personal and real property in such form, written by such companies, in such amounts, for such periods, and against such risks as customarily insured against by Persons engaged in the same or similar business and as required by applicable Laws and the Collateral Documents, with provisions for, with respect to Loan Parties, payment of all losses thereunder to the Administrative Agent and such Loan Parties as their interests may appear (with lender’s loss payable, mortgagee, and additional insured endorsements, as appropriate, in favor of the Administrative Agent). Any such policies of insurance shall provide for no fewer than thirty</w:t>
      </w:r>
    </w:p>
    <w:p>
      <w:pPr>
        <w:spacing w:after="0" w:line="3" w:lineRule="exact"/>
        <w:rPr>
          <w:rFonts w:ascii="Times New Roman" w:cs="Times New Roman" w:eastAsia="Times New Roman" w:hAnsi="Times New Roman"/>
          <w:sz w:val="18"/>
          <w:szCs w:val="18"/>
          <w:color w:val="auto"/>
        </w:rPr>
      </w:pPr>
    </w:p>
    <w:p>
      <w:pPr>
        <w:ind w:left="444" w:hanging="4"/>
        <w:spacing w:after="0" w:line="252" w:lineRule="auto"/>
        <w:tabs>
          <w:tab w:leader="none" w:pos="78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of cancellation to the Administrative Agent and the Lenders except for cancellation with respect to the nonpayment of premium (which shall provide for ten (10) days’ prior written notice of cancellation). The Administrative Agent is hereby authorized to act as attorney-in-fact for the Loan Parties in (after the occurrence and during the continuation of an Event of Default) obtaining, adjusting, settling and canceling such insurance and indorsing any drafts. Within ten (10) Business Days of the Administrative Agent’s written request, the Borrower shall furnish to the Administrative Agent such information about the insurance of the Loan Parties and the Subsidiaries thereof (including, without limitation, copies of insurance policies of the Loan Parties and the Subsidiaries) as the Administrative Agent may from time to time reasonably request.</w:t>
      </w:r>
    </w:p>
    <w:p>
      <w:pPr>
        <w:spacing w:after="0" w:line="80" w:lineRule="exact"/>
        <w:rPr>
          <w:rFonts w:ascii="Times New Roman" w:cs="Times New Roman" w:eastAsia="Times New Roman" w:hAnsi="Times New Roman"/>
          <w:sz w:val="18"/>
          <w:szCs w:val="18"/>
          <w:color w:val="auto"/>
        </w:rPr>
      </w:pPr>
    </w:p>
    <w:p>
      <w:pPr>
        <w:ind w:left="444" w:right="40" w:firstLine="419"/>
        <w:spacing w:after="0" w:line="257" w:lineRule="auto"/>
        <w:tabs>
          <w:tab w:leader="none" w:pos="112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w:t>
      </w:r>
    </w:p>
    <w:p>
      <w:pPr>
        <w:spacing w:after="0" w:line="1" w:lineRule="exact"/>
        <w:rPr>
          <w:rFonts w:ascii="Times New Roman" w:cs="Times New Roman" w:eastAsia="Times New Roman" w:hAnsi="Times New Roman"/>
          <w:sz w:val="18"/>
          <w:szCs w:val="18"/>
          <w:color w:val="auto"/>
        </w:rPr>
      </w:pPr>
    </w:p>
    <w:p>
      <w:pPr>
        <w:jc w:val="both"/>
        <w:ind w:left="444"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maintain, or cause to be maintained, with a financially sound and reputable insurer, flood insurance in an amount and otherwise sufficient to comply with all applicable rules and regulations promulgated pursuant to applicable flood insurance Laws and (ii) deliver to the Administrative Agent evidence of such compliance in form and substance reasonably acceptable to the Administrative Agent.</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4"/>
          </w:cols>
          <w:pgMar w:left="436" w:top="270" w:right="479" w:bottom="1440" w:gutter="0" w:footer="0" w:header="0"/>
        </w:sectPr>
      </w:pPr>
    </w:p>
    <w:bookmarkStart w:id="114" w:name="page115"/>
    <w:bookmarkEnd w:id="1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60" w:firstLine="419"/>
        <w:spacing w:after="0" w:line="256" w:lineRule="auto"/>
        <w:tabs>
          <w:tab w:leader="none" w:pos="110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 in all material respects with the requirements of all Laws (including, without limitation, ERISA and Environmental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 provided that compliance with applicable Sanctions, applicable Anti- Corruption Laws, and applicable Anti-Money Laundering Laws shall be subject to </w:t>
      </w:r>
      <w:r>
        <w:rPr>
          <w:rFonts w:ascii="Times New Roman" w:cs="Times New Roman" w:eastAsia="Times New Roman" w:hAnsi="Times New Roman"/>
          <w:sz w:val="18"/>
          <w:szCs w:val="18"/>
          <w:u w:val="single" w:color="auto"/>
          <w:color w:val="auto"/>
        </w:rPr>
        <w:t>Section 6.08(b)</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Sanctions and applicable Anti-Corruption Laws in all respects and applicable Anti-Money Laundering Laws in all material respects, and maintain policies and procedures designed to promote and achieve compliance with applicable Sanctions, applicable Anti-Corruption Laws, and applicable Anti-Money Laundering Laws.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6.09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80" w:firstLine="419"/>
        <w:spacing w:after="0" w:line="282" w:lineRule="auto"/>
        <w:tabs>
          <w:tab w:leader="none" w:pos="11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proper books of record and account, in which full, true and correct entries in conformity with GAAP consistently applied shall be made of all financial transactions and matters involving the assets and business of each Loan Party, as the case may be.</w:t>
      </w:r>
    </w:p>
    <w:p>
      <w:pPr>
        <w:spacing w:after="0" w:line="161"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such books of record and account in material conformity with all applicable requirements of any Governmental Authority having regulatory jurisdiction over the Loan Parties, as the case may be.</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xml:space="preserve">. Upon reasonable prior notice, at any time during normal business hours, allow the Administrative Agent and the Lenders by or through any of the Administrative Agent’s officers, agents, employees, attorneys or accountants to (a) examine, inspect and make extracts from any Loan Party’s or any Subsidiary’s books, corporate, financial and operating records and other records, including, without limitation, the tax returns of such Loan Party or such Subsidiary and make copies thereof or abstracts therefrom, and to discuss its affairs, finances and accounts with its directors, officers, and independent public accountants and (b) examine and inspect any Loan Party’s or Subsidiary’s properties, inventory and equipment, wherever located, in each case, at the expense of the Borrower and upon reasonable advance notice to such Loan Party or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if an Event of Default does not exist, such examinations and inspections shall be limited to not more than one time per any calendar year and (ii) if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8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Use the proceeds of (a) the Term Loans solely for the repayment in full of 100% of the principal amount of Existing Credit Agreement Indebtedness and associated fees and expenses on the Closing Date and (b) to the extent any portion of the Loans is remaining after giving effect to the items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for working capital and other general corporate purposes of the Borrower and its Subsidiaries (including for capital expenditures, permitted acquisitions, the repayment or refinancing of Indebtedness and the making of Investments).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40" w:top="270"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6.12 </w:t>
      </w:r>
      <w:r>
        <w:rPr>
          <w:rFonts w:ascii="Times New Roman" w:cs="Times New Roman" w:eastAsia="Times New Roman" w:hAnsi="Times New Roman"/>
          <w:sz w:val="18"/>
          <w:szCs w:val="18"/>
          <w:u w:val="single" w:color="auto"/>
          <w:color w:val="auto"/>
        </w:rPr>
        <w:t>Covenant to Guarantee Obligations and Give Security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and Security Documents</w:t>
      </w:r>
      <w:r>
        <w:rPr>
          <w:rFonts w:ascii="Times New Roman" w:cs="Times New Roman" w:eastAsia="Times New Roman" w:hAnsi="Times New Roman"/>
          <w:sz w:val="18"/>
          <w:szCs w:val="18"/>
          <w:color w:val="auto"/>
        </w:rPr>
        <w:t xml:space="preserve">. Each Domestic Subsidiary (other than any Immaterial Subsidiary) created, acquired or held subsequent to the Closing Date, and each Domestic Subsidiary that at any time ceases to be an Immaterial Subsidiary (including by virtue of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within forty-five (45) days (or such longer period as the Administrative Agent shall approve in its sole discretion) after such creation, acquisition, holding or cessation execute and deliver to the Administrative Agent, for the benefit of the Lenders, a Guaranty (or guaranty supplement) and the appropriate Collateral Documents, such agreements to be in form and substance acceptable to the Administrative Agent, along with any such other supporting documentation, corporate governance and authorization documents, and an opinion of counsel as may reasonably be deemed necessary or advisable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Guaranty or Collateral Documents shall be required from any subsidiary of the Borrower that is an Excluded Subsidiary. Notwithstanding anything herein or in the ABL Loan Documents to the contrary and subject to the Lien priorities specified within the ABL Intercreditor Agreement, (x) no Person shall become a Guarantor (as defined in the ABL Credit Agreement) under the ABL Credit Agreement if they are not a Guarantor hereunder, and (y) no Person shall grant Liens to the ABL Agent in any property of such Loan Party that constitutes Collateral (as defined in the ABL Credit Agreement) under the ABL Credit Agreement or the ABL Loan Documents if they do not grant Liens to the Administrative Agent in such property of such Loan Party that constitutes Collateral under this Agreement or the Loan Documents.</w:t>
      </w:r>
    </w:p>
    <w:p>
      <w:pPr>
        <w:spacing w:after="0" w:line="79" w:lineRule="exact"/>
        <w:rPr>
          <w:rFonts w:ascii="Times New Roman" w:cs="Times New Roman" w:eastAsia="Times New Roman" w:hAnsi="Times New Roman"/>
          <w:sz w:val="18"/>
          <w:szCs w:val="18"/>
          <w:color w:val="auto"/>
        </w:rPr>
      </w:pPr>
    </w:p>
    <w:p>
      <w:pPr>
        <w:ind w:right="60" w:firstLine="419"/>
        <w:spacing w:after="0" w:line="253" w:lineRule="auto"/>
        <w:tabs>
          <w:tab w:leader="none" w:pos="6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 of Equity Interests</w:t>
      </w:r>
      <w:r>
        <w:rPr>
          <w:rFonts w:ascii="Times New Roman" w:cs="Times New Roman" w:eastAsia="Times New Roman" w:hAnsi="Times New Roman"/>
          <w:sz w:val="18"/>
          <w:szCs w:val="18"/>
          <w:color w:val="auto"/>
        </w:rPr>
        <w:t xml:space="preserve">. Subject to Section 6.17, with respect to the creation or acquisition of a Subsidiary, the appropriate Loan Party shall within forty-five (45) days (or such longer period as the Administrative Agent shall approve in its sole discretion) after such creation or acquisition execute a Security Agreement (or a Security Agreement Supplement) and, in connection therewith, pledge all of its Equity Interests in such Subsidiary to the Administrative Agent as security for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Loan Party will cause (i) 100% of the issued and outstanding Equity Interests of each of its Domestic Subsidiaries and (ii) 65% of the issued and outstanding Equity Interests entitled to vote (within the meaning of Treas. Reg. Section 1.956-2(c)(2)) and 100% of the issued and outstanding Equity Interests not entitled to vote (within the meaning of Treas. Reg. Section 1.956-2(c)(2) in each Foreign Subsidiary organized in Mexico, Brazil and Poland or Foreign Subsidiary Holding Company directly owned by the Borrower or any Domestic Subsidiary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 The Borrower shall deliver to the Administrative Agent the share certificates (or other evidence of equity) evidencing any of the Equity Interests pledged pursuant to this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xml:space="preserve"> if such Equity Interests are certificated or so evidenced.</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560"/>
          </w:cols>
          <w:pgMar w:left="880" w:top="270" w:right="459" w:bottom="1440" w:gutter="0" w:footer="0" w:header="0"/>
        </w:sectPr>
      </w:pPr>
    </w:p>
    <w:bookmarkStart w:id="116" w:name="page117"/>
    <w:bookmarkEnd w:id="116"/>
    <w:p>
      <w:pPr>
        <w:ind w:right="40" w:firstLine="419"/>
        <w:spacing w:after="0" w:line="258" w:lineRule="auto"/>
        <w:tabs>
          <w:tab w:leader="none" w:pos="66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Perfection or Registration of Interest in Foreign Equity Interests</w:t>
      </w:r>
      <w:r>
        <w:rPr>
          <w:rFonts w:ascii="Times New Roman" w:cs="Times New Roman" w:eastAsia="Times New Roman" w:hAnsi="Times New Roman"/>
          <w:sz w:val="18"/>
          <w:szCs w:val="18"/>
          <w:color w:val="auto"/>
        </w:rPr>
        <w:t>. Subject to Section 6.17, with respect to any foreign Equity Interests pledged to the Administrative Agent by the Borrower or any Domestic Subsidiary that is a Loan Party, on or after the Closing Date, the Administrative Agent shall at all times, in the reasonable discretion of the Administrative Agent or the Required Lenders, have the right to require the perfection, at Borrowers’ cost, payable upon request therefor (including, without limitation, any foreign counsel, or foreign notary, filing, registration or similar, fees, costs or expenses), of the security interest in such Equity Interests in the respective foreign jurisdiction.</w:t>
      </w:r>
    </w:p>
    <w:p>
      <w:pPr>
        <w:spacing w:after="0" w:line="75" w:lineRule="exact"/>
        <w:rPr>
          <w:rFonts w:ascii="Times New Roman" w:cs="Times New Roman" w:eastAsia="Times New Roman" w:hAnsi="Times New Roman"/>
          <w:sz w:val="18"/>
          <w:szCs w:val="18"/>
          <w:color w:val="auto"/>
        </w:rPr>
      </w:pPr>
    </w:p>
    <w:p>
      <w:pPr>
        <w:ind w:right="340" w:firstLine="419"/>
        <w:spacing w:after="0" w:line="261" w:lineRule="auto"/>
        <w:tabs>
          <w:tab w:leader="none" w:pos="67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Intercompany Notes</w:t>
      </w:r>
      <w:r>
        <w:rPr>
          <w:rFonts w:ascii="Times New Roman" w:cs="Times New Roman" w:eastAsia="Times New Roman" w:hAnsi="Times New Roman"/>
          <w:sz w:val="18"/>
          <w:szCs w:val="18"/>
          <w:color w:val="auto"/>
        </w:rPr>
        <w:t>. With respect to the creation or acquisition by a Loan Party of a Pledged Intercompany Note, the appropriate Loan Party shall pledge to the Administrative Agent, as security for the Obligations, such Pledged Intercompany Note. Such Loan Party shall promptly deliver to the Administrative Agent such Pledged Intercompany Note and an accompanying allonge if such Pledged Intercompany Note is evidenced in writing and has a stated principal amount equal to or greater than $100,000.</w:t>
      </w:r>
    </w:p>
    <w:p>
      <w:pPr>
        <w:spacing w:after="0" w:line="71"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Generally</w:t>
      </w:r>
      <w:r>
        <w:rPr>
          <w:rFonts w:ascii="Times New Roman" w:cs="Times New Roman" w:eastAsia="Times New Roman" w:hAnsi="Times New Roman"/>
          <w:sz w:val="18"/>
          <w:szCs w:val="18"/>
          <w:color w:val="auto"/>
        </w:rPr>
        <w:t>. The Borrower shall:</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1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furnish to the Administrative Agent or any Lender upon request (x) additional statements and information with respect to the Collateral, and all writings and information relating to or evidencing any of the Borrower’s or any Subsidiary’s accounts (including, without limitation, computer printouts or typewritten reports listing the mailing addresses of all present account debtors), and (y) any other writings and information as the Administrative Agent or such Lender may reasonably request;</w:t>
      </w:r>
    </w:p>
    <w:p>
      <w:pPr>
        <w:spacing w:after="0" w:line="71" w:lineRule="exact"/>
        <w:rPr>
          <w:rFonts w:ascii="Times New Roman" w:cs="Times New Roman" w:eastAsia="Times New Roman" w:hAnsi="Times New Roman"/>
          <w:sz w:val="18"/>
          <w:szCs w:val="18"/>
          <w:color w:val="auto"/>
        </w:rPr>
      </w:pPr>
    </w:p>
    <w:p>
      <w:pPr>
        <w:ind w:left="540" w:firstLine="408"/>
        <w:spacing w:after="0" w:line="282" w:lineRule="auto"/>
        <w:tabs>
          <w:tab w:leader="none" w:pos="120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Administrative Agent in writing upon the creation of any accounts with respect to which the account debtor is the United States or any other Governmental Authority, or any business that is located in a foreign country;</w:t>
      </w:r>
    </w:p>
    <w:p>
      <w:pPr>
        <w:spacing w:after="0" w:line="53" w:lineRule="exact"/>
        <w:rPr>
          <w:rFonts w:ascii="Times New Roman" w:cs="Times New Roman" w:eastAsia="Times New Roman" w:hAnsi="Times New Roman"/>
          <w:sz w:val="18"/>
          <w:szCs w:val="18"/>
          <w:color w:val="auto"/>
        </w:rPr>
      </w:pPr>
    </w:p>
    <w:p>
      <w:pPr>
        <w:jc w:val="both"/>
        <w:ind w:left="540" w:right="420" w:firstLine="408"/>
        <w:spacing w:after="0" w:line="261" w:lineRule="auto"/>
        <w:tabs>
          <w:tab w:leader="none" w:pos="12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notify the Administrative Agent in writing upon the creation by any Loan Party of a deposit account or securities account not listed on </w:t>
      </w:r>
      <w:r>
        <w:rPr>
          <w:rFonts w:ascii="Times New Roman" w:cs="Times New Roman" w:eastAsia="Times New Roman" w:hAnsi="Times New Roman"/>
          <w:sz w:val="18"/>
          <w:szCs w:val="18"/>
          <w:u w:val="single" w:color="auto"/>
          <w:color w:val="auto"/>
        </w:rPr>
        <w:t>Schedule 5.23</w:t>
      </w:r>
      <w:r>
        <w:rPr>
          <w:rFonts w:ascii="Times New Roman" w:cs="Times New Roman" w:eastAsia="Times New Roman" w:hAnsi="Times New Roman"/>
          <w:sz w:val="18"/>
          <w:szCs w:val="18"/>
          <w:color w:val="auto"/>
        </w:rPr>
        <w:t xml:space="preserve"> hereto and, if such deposit account is owned by the Borrower or another Loan Party and is not an Excluded Account, promptly provide for the execution of a Deposit Account Control Agreement or Securities Account Control Agreement, as applicable, with respect thereto, if required by the Administrative Agent or the Required Lenders;</w:t>
      </w:r>
    </w:p>
    <w:p>
      <w:pPr>
        <w:spacing w:after="0" w:line="71" w:lineRule="exact"/>
        <w:rPr>
          <w:rFonts w:ascii="Times New Roman" w:cs="Times New Roman" w:eastAsia="Times New Roman" w:hAnsi="Times New Roman"/>
          <w:sz w:val="18"/>
          <w:szCs w:val="18"/>
          <w:color w:val="auto"/>
        </w:rPr>
      </w:pPr>
    </w:p>
    <w:p>
      <w:pPr>
        <w:ind w:left="540" w:right="200" w:firstLine="408"/>
        <w:spacing w:after="0" w:line="261" w:lineRule="auto"/>
        <w:tabs>
          <w:tab w:leader="none" w:pos="124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notify the Administrative Agent in writing whenever assets of a Loan Party having a value in excess of $250,000 are located at a location of a third party (other than another Loan Party) that is not listed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hereto and use commercially reasonable efforts to cause to be executed any bailee’s waiver, processor’s waiver, consignee’s waiver or similar document or notice or reserves that reasonably may be required by the Administrative Agent or the Required Lenders;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560"/>
          </w:cols>
          <w:pgMar w:left="880" w:top="270" w:right="459" w:bottom="1440" w:gutter="0" w:footer="0" w:header="0"/>
        </w:sectPr>
      </w:pPr>
    </w:p>
    <w:bookmarkStart w:id="117" w:name="page118"/>
    <w:bookmarkEnd w:id="117"/>
    <w:p>
      <w:pPr>
        <w:jc w:val="both"/>
        <w:ind w:left="980" w:right="180" w:firstLine="408"/>
        <w:spacing w:after="0" w:line="266" w:lineRule="auto"/>
        <w:tabs>
          <w:tab w:leader="none" w:pos="16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notify the Administrative Agent in writing of any information that the Borrower or any of its Subsidiaries has or may receive in writing with respect to the Collateral that would reasonably be expected to materially and adversely affect the value thereof or the rights of the Administrative Agent and the Lenders with respect thereto;</w:t>
      </w:r>
    </w:p>
    <w:p>
      <w:pPr>
        <w:spacing w:after="0" w:line="67" w:lineRule="exact"/>
        <w:rPr>
          <w:rFonts w:ascii="Times New Roman" w:cs="Times New Roman" w:eastAsia="Times New Roman" w:hAnsi="Times New Roman"/>
          <w:sz w:val="18"/>
          <w:szCs w:val="18"/>
          <w:color w:val="auto"/>
        </w:rPr>
      </w:pPr>
    </w:p>
    <w:p>
      <w:pPr>
        <w:ind w:left="980" w:right="80" w:firstLine="408"/>
        <w:spacing w:after="0" w:line="256" w:lineRule="auto"/>
        <w:tabs>
          <w:tab w:leader="none" w:pos="16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deliver to the Administrative Agent, to hold as security for the Obligations, within ten (10) Business Days after the written request of the Administrative Agent, all certificated investment property owned by a Loan Party, in suitable form for transfer by delivery, or accompanied by duly executed instruments of transfer or assignment in blank, all in form and substance satisfactory to the Administrative Agent, or in the event such investment property is in the possession of a securities intermediary or credited to a securities account (other than an Excluded Account), execute with the related securities intermediary an investment property control agreement over such securities account in favor of the Administrative Agent in form and substance satisfactory to the Administrative Agent;</w:t>
      </w:r>
    </w:p>
    <w:p>
      <w:pPr>
        <w:spacing w:after="0" w:line="79" w:lineRule="exact"/>
        <w:rPr>
          <w:rFonts w:ascii="Times New Roman" w:cs="Times New Roman" w:eastAsia="Times New Roman" w:hAnsi="Times New Roman"/>
          <w:sz w:val="18"/>
          <w:szCs w:val="18"/>
          <w:color w:val="auto"/>
        </w:rPr>
      </w:pPr>
    </w:p>
    <w:p>
      <w:pPr>
        <w:jc w:val="both"/>
        <w:ind w:left="980" w:right="100" w:firstLine="408"/>
        <w:spacing w:after="0" w:line="266" w:lineRule="auto"/>
        <w:tabs>
          <w:tab w:leader="none" w:pos="17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provide to the Administrative Agent, after written request therefor, a list of any patents, trademarks or copyrights that have been federally registered by the Borrower or any other Loan Party since the last list so delivered, and provide for the execution of an appropriate Intellectual Property Security Agreement; and</w:t>
      </w:r>
    </w:p>
    <w:p>
      <w:pPr>
        <w:spacing w:after="0" w:line="67" w:lineRule="exact"/>
        <w:rPr>
          <w:rFonts w:ascii="Times New Roman" w:cs="Times New Roman" w:eastAsia="Times New Roman" w:hAnsi="Times New Roman"/>
          <w:sz w:val="18"/>
          <w:szCs w:val="18"/>
          <w:color w:val="auto"/>
        </w:rPr>
      </w:pPr>
    </w:p>
    <w:p>
      <w:pPr>
        <w:ind w:left="980" w:right="100" w:firstLine="408"/>
        <w:spacing w:after="0" w:line="258" w:lineRule="auto"/>
        <w:tabs>
          <w:tab w:leader="none" w:pos="17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the Administrative Agent, promptly take such action and promptly make, execute, and deliver all such additional and further items, deeds, assurances, instruments and any other writings as the Administrative Agent may from time to time deem necessary or appropriate, including, without limitation, chattel paper, to carry into effect the intention of this Agreement, or so as to completely vest in and ensure to the Administrative Agent and the Lenders their respective rights hereunder and in or to the Collateral.</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Borrower hereby authorizes the Administrative Agent to file UCC financing statements (or similar notice filings applicable in foreign jurisdictions) with respect to the Collateral. If certificates of title or applications for title are issued or outstanding with respect to any of the inventory or equipment of any Loan Party that constitutes Collateral, the Borrower shall (or cause such applicable Loan Party to), upon request of the Administrative Agent, (i) execute and deliver to the Administrative Agent a short form security agreement, in form and substance satisfactory to the Administrative Agent, and (ii) deliver such certificate or application to the Administrative Agent and cause the interest of the Administrative Agent to be properly noted thereon. The Borrower hereby authorizes the Administrative Agent or its respective designated agent (but without obligation by the Administrative Agent to do so) to incur reasonable expenses with respect to the foregoing (whether prior to, upon, or subsequent to any Default), and the Borrower shall promptly repay, reimburse, and indemnify the Administrative Agent and the Lenders for any and all such reasonable and documented out of pocket expenses.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18" w:name="page119"/>
    <w:bookmarkEnd w:id="118"/>
    <w:p>
      <w:pPr>
        <w:ind w:left="440" w:firstLine="419"/>
        <w:spacing w:after="0" w:line="269" w:lineRule="auto"/>
        <w:tabs>
          <w:tab w:leader="none" w:pos="1088"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Acquired Subsequent to the Closing Date and Right to Take Additional Collateral</w:t>
      </w:r>
      <w:r>
        <w:rPr>
          <w:rFonts w:ascii="Times New Roman" w:cs="Times New Roman" w:eastAsia="Times New Roman" w:hAnsi="Times New Roman"/>
          <w:sz w:val="17"/>
          <w:szCs w:val="17"/>
          <w:color w:val="auto"/>
        </w:rPr>
        <w:t>. The Borrower shall provide the Administrative Agent with prompt written notice with respect to any Material Real Property or material personal property (other than accounts, inventory, equipment and general intangibles and other property acquired in the ordinary course of business) acquired by any Loan Party subsequent to the Closing Date. In addition to any other right that the Administrative Agent and the Lenders may have pursuant to this Agreement or otherwise, upon written request of the Administrative Agent, whenever made, the Borrower shall, and shall cause each Loan Party to, grant to the Administrative Agent, for the benefit of the Lenders, as additional security for the Obligations, a perfected Lien on any Material Real Property or personal property of each Loan Party, including, without limitation, such property acquired subsequent to the Closing Date, in which the Administrative Agent does not have a perfected first priority Lien. The Borrower agrees, (i) in the case of Material Real Property, to provide all Real Estate Requirements with respect to such Material Real Property within ninety (90) days (or such later time as may be specified by the Administrative Agent in its sole but reasonable discretion), and (ii) in all other cases, within ten (10) days after the date of a written request by the Administrative Agent,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may reasonably require. The Borrower shall pay all recordation, legal and other expenses in connection therewith.</w:t>
      </w:r>
    </w:p>
    <w:p>
      <w:pPr>
        <w:spacing w:after="0" w:line="67" w:lineRule="exact"/>
        <w:rPr>
          <w:rFonts w:ascii="Times New Roman" w:cs="Times New Roman" w:eastAsia="Times New Roman" w:hAnsi="Times New Roman"/>
          <w:sz w:val="17"/>
          <w:szCs w:val="17"/>
          <w:color w:val="auto"/>
        </w:rPr>
      </w:pPr>
    </w:p>
    <w:p>
      <w:pPr>
        <w:ind w:left="440" w:right="40" w:firstLine="419"/>
        <w:spacing w:after="0" w:line="254" w:lineRule="auto"/>
        <w:tabs>
          <w:tab w:leader="none" w:pos="11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Immaterial Subsidiaries</w:t>
      </w:r>
      <w:r>
        <w:rPr>
          <w:rFonts w:ascii="Times New Roman" w:cs="Times New Roman" w:eastAsia="Times New Roman" w:hAnsi="Times New Roman"/>
          <w:sz w:val="18"/>
          <w:szCs w:val="18"/>
          <w:color w:val="auto"/>
        </w:rPr>
        <w:t xml:space="preserve">. In the event that the Immaterial Subsidiaries, when taken as a whole, (i) contribute more than 5% of the Consolidated EBITDA of the Borrower and its Subsidiaries, taken as a whole, during the most recently-ended four fiscal quarter period (taken as a single period) or (ii) as of any applicable date of determination have assets that in the aggregate constitute more than 5% aggregate net book value of the assets of the Borrower and its Subsidiaries, taken as a whole, the Borrower shall promptly designate one or more Immaterial Subsidiaries to be Loan Parties hereunder (at which time such Subsidiaries shall cease to be Immaterial Subsidiaries) such that the resulting EBITDA attributable to, and net book value of the assets held by, the remaining Immaterial Subsidiaries, when taken as a whole, shall be less than the required percentages set forth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Notwithstanding anything contained herein to the contrary and for the avoidance of doubt, no Subsidiary shall constitute either an Immaterial Subsidiary if such Subsidiary guarantees or provides a Lien on its assets or otherwise provide credit support with respect to any other Indebtedness of any Loan Party.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no Loan Party shall be required to pledge or grant a Lien on any Excluded Assets.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The Borrower and its Subsidiaries shall furnish to the Administrative Agent and the Lenders, promptly after receipt thereof, a copy of any notice the Borrower or such Subsidiary may receive from any Governmental Authority or private Person, or otherwise, that any material litigation or proceeding pertaining to any environmental, health or safety matter has been filed or is threatened against the Borrower or such Subsidiary,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19" w:name="page120"/>
    <w:bookmarkEnd w:id="119"/>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real property in which the Borrower or such Subsidiary holds any interest or any past or present operation of the Borrower or such Subsidiary. Neither the Borrower nor any of its Subsidiaries shall allow the material release or material disposal of hazardous waste, solid waste or other wastes on, under or to any real property in which the Borrower or any of its Subsidiaries holds any ownership interest or performs any of its operations, in violation of or which result in material liability under any Environmental Law. As used in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litigation or proceeding</w:t>
      </w:r>
      <w:r>
        <w:rPr>
          <w:rFonts w:ascii="Times New Roman" w:cs="Times New Roman" w:eastAsia="Times New Roman" w:hAnsi="Times New Roman"/>
          <w:sz w:val="18"/>
          <w:szCs w:val="18"/>
          <w:color w:val="auto"/>
        </w:rPr>
        <w:t>” means any demand, claim, notice, suit, suit in equity action, administrative action, investigation or inquiry whether brought by any Governmental Authority or private Person, or otherwise.</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Regarding Collateral</w:t>
      </w:r>
      <w:r>
        <w:rPr>
          <w:rFonts w:ascii="Times New Roman" w:cs="Times New Roman" w:eastAsia="Times New Roman" w:hAnsi="Times New Roman"/>
          <w:sz w:val="18"/>
          <w:szCs w:val="18"/>
          <w:color w:val="auto"/>
        </w:rPr>
        <w:t>. Provide the Administrative Agent and the Lenders with at least ten (10) days’ prior written notice before any change its legal name, organizational structure or its state, province or other jurisdiction of organization. The Borrower shall promptly notify the Administrative Agent of (a) any change in any location where a portion of any Loan Party’s assets having a value in excess of $250,000 are maintained, and any new locations where any portion of any Loan Party’s assets having a value in excess of $250,000 are to be maintained; (b) any change in the location of the office where any Loan Party’s material records pertaining to its accounts are kept; and (c) any change in the location of any Loan Party’s chief executive office.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80" w:firstLine="419"/>
        <w:spacing w:after="0" w:line="258" w:lineRule="auto"/>
        <w:tabs>
          <w:tab w:leader="none" w:pos="110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request by the Administrative Agent or the Required Lenders through the Administrative Agent, (i) 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or the Required Lenders through the Administrative Agent, may reasonably require from time to time in order to carry out the purposes of the Loan Documents.</w:t>
      </w:r>
    </w:p>
    <w:p>
      <w:pPr>
        <w:spacing w:after="0" w:line="75"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deemed appropriate by the Administrative Agent, the Administrative Agent is hereby authorized to file new UCC financing statements (or similar notice filings applicable in foreign jurisdictions) describing the Collateral and otherwise in form and substance sufficient for recordation wherever necessary or appropriate, as determined in the Administrative Agent’s sole but reasonable discretion, to perfect or continue perfected the security interest of the Administrative Agent in the Collateral. The Borrower shall pay all filing and recording fees and taxes in connection with the filing or recordation of such UCC financing statements (or similar notice filings applicable in foreign jurisdictions) and security interests and shall promptly reimburse the Administrative Agent therefor if the Administrative Agent pays the same.</w:t>
      </w:r>
    </w:p>
    <w:p>
      <w:pPr>
        <w:spacing w:after="0" w:line="187"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Post-Closing Matters</w:t>
      </w:r>
      <w:r>
        <w:rPr>
          <w:rFonts w:ascii="Times New Roman" w:cs="Times New Roman" w:eastAsia="Times New Roman" w:hAnsi="Times New Roman"/>
          <w:sz w:val="18"/>
          <w:szCs w:val="18"/>
          <w:color w:val="auto"/>
        </w:rPr>
        <w:t xml:space="preserve">. Execute and deliver the documents and complete the tasks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in each case within the time limits specified on such schedule.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hereunder shall remain unpaid or unsatisfied (other than contingent indemnification obligations not then due), the Borrower shall not, nor shall it permit any Subsidiary to:</w:t>
      </w:r>
    </w:p>
    <w:p>
      <w:pPr>
        <w:spacing w:after="0" w:line="5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Create, incur, assume or suffer to exist (upon the happening of a contingency or otherwise) any Lien upon any of its property or assets, whether now owned or hereafter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shall not apply to the following:</w:t>
      </w:r>
    </w:p>
    <w:p>
      <w:pPr>
        <w:spacing w:after="0" w:line="54" w:lineRule="exact"/>
        <w:rPr>
          <w:sz w:val="20"/>
          <w:szCs w:val="20"/>
          <w:color w:val="auto"/>
        </w:rPr>
      </w:pPr>
    </w:p>
    <w:p>
      <w:pPr>
        <w:ind w:left="440" w:right="20" w:firstLine="419"/>
        <w:spacing w:after="0" w:line="282" w:lineRule="auto"/>
        <w:tabs>
          <w:tab w:leader="none" w:pos="11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actively contested in good faith by appropriate proceedings and for which adequate reserves shall have been established in accordance with GAAP;</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6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of a (i) Subsidiary to secure obligations of such Subsidiary to a Loan Party and (ii) Foreign Subsidiary to secure obligations of such Foreign Subsidiary;</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on fixed assets securing the loans and Indebtedness under Financing Lease Obligations pursuant to</w:t>
      </w:r>
    </w:p>
    <w:p>
      <w:pPr>
        <w:spacing w:after="0" w:line="27" w:lineRule="exact"/>
        <w:rPr>
          <w:sz w:val="20"/>
          <w:szCs w:val="20"/>
          <w:color w:val="auto"/>
        </w:rPr>
      </w:pPr>
    </w:p>
    <w:p>
      <w:pPr>
        <w:ind w:left="440" w:right="20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is limited to the purchase price and only attaches to the property being acquired or financed thereby;</w:t>
      </w:r>
    </w:p>
    <w:p>
      <w:pPr>
        <w:spacing w:after="0" w:line="73" w:lineRule="exact"/>
        <w:rPr>
          <w:sz w:val="20"/>
          <w:szCs w:val="20"/>
          <w:color w:val="auto"/>
        </w:rPr>
      </w:pPr>
    </w:p>
    <w:p>
      <w:pPr>
        <w:ind w:left="1100" w:hanging="241"/>
        <w:spacing w:after="0"/>
        <w:tabs>
          <w:tab w:leader="none" w:pos="11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of the Administrative Agent, for the benefit of the Secured Parties;</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08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Liens existing on the Closing Date as set forth in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hereto and replacements, extensions, renewals, refundings or refinancings thereof, but only to the extent that the amount of Indebtedness secured thereby shall not be increased (except by an amount equal to a reasonable premium or other reasonable amount paid, and fees and expenses reasonably incurred, in connection with such replacement, extension, renewal, refunding or refinancing and by an amount equal to any existing commitments unutilized thereunder) and the property covered thereby is not changed;</w:t>
      </w:r>
    </w:p>
    <w:p>
      <w:pPr>
        <w:spacing w:after="0" w:line="75"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and similar encumbrances, defects or irregularities in title of real property imposed by law or arising in the ordinary course of business that do not materially detract from the value of the affected property or interfere with the ordinary conduct of business of the Borrower or any Subsidiary;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connection with workers’ compensation insurance, unemployment insurance and like matters;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70" w:right="479" w:bottom="1440" w:gutter="0" w:footer="0" w:header="0"/>
        </w:sectPr>
      </w:pPr>
    </w:p>
    <w:bookmarkStart w:id="121" w:name="page122"/>
    <w:bookmarkEnd w:id="121"/>
    <w:p>
      <w:pPr>
        <w:ind w:left="4" w:right="340" w:firstLine="419"/>
        <w:spacing w:after="0" w:line="282" w:lineRule="auto"/>
        <w:tabs>
          <w:tab w:leader="none" w:pos="64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in respect of any writ of execution, attachment, garnishment, judgment or judicial award solely to the extent not constituting an Event of Default under </w:t>
      </w:r>
      <w:r>
        <w:rPr>
          <w:rFonts w:ascii="Times New Roman" w:cs="Times New Roman" w:eastAsia="Times New Roman" w:hAnsi="Times New Roman"/>
          <w:sz w:val="18"/>
          <w:szCs w:val="18"/>
          <w:u w:val="single" w:color="auto"/>
          <w:color w:val="auto"/>
        </w:rPr>
        <w:t>Section 8.01(h)(i)</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500" w:firstLine="419"/>
        <w:spacing w:after="0" w:line="282" w:lineRule="auto"/>
        <w:tabs>
          <w:tab w:leader="none" w:pos="64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solely from precautionary UCC financing statements filed with respect to any consignment agreement entered into by Borrower or any Subsidiary in the ordinary course of business;</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Collateral or any portion thereof securing Indebtedness under </w:t>
      </w:r>
      <w:r>
        <w:rPr>
          <w:rFonts w:ascii="Times New Roman" w:cs="Times New Roman" w:eastAsia="Times New Roman" w:hAnsi="Times New Roman"/>
          <w:sz w:val="18"/>
          <w:szCs w:val="18"/>
          <w:u w:val="single" w:color="auto"/>
          <w:color w:val="auto"/>
        </w:rPr>
        <w:t>Section 7.02(k</w:t>
      </w:r>
      <w:r>
        <w:rPr>
          <w:rFonts w:ascii="Times New Roman" w:cs="Times New Roman" w:eastAsia="Times New Roman" w:hAnsi="Times New Roman"/>
          <w:sz w:val="18"/>
          <w:szCs w:val="18"/>
          <w:color w:val="auto"/>
        </w:rPr>
        <w:t>) (subject to the ABL Intercreditor Agreement);</w:t>
      </w:r>
    </w:p>
    <w:p>
      <w:pPr>
        <w:spacing w:after="0" w:line="117" w:lineRule="exact"/>
        <w:rPr>
          <w:rFonts w:ascii="Times New Roman" w:cs="Times New Roman" w:eastAsia="Times New Roman" w:hAnsi="Times New Roman"/>
          <w:sz w:val="18"/>
          <w:szCs w:val="18"/>
          <w:color w:val="auto"/>
        </w:rPr>
      </w:pPr>
    </w:p>
    <w:p>
      <w:pPr>
        <w:ind w:left="4" w:right="80" w:firstLine="419"/>
        <w:spacing w:after="0" w:line="261" w:lineRule="auto"/>
        <w:tabs>
          <w:tab w:leader="none" w:pos="64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tangible property of a Person existing at the time such Person is acquired by the Borrower or a Subsidiary pursuant to an Acquisition permitted under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created in contemplation of such Acquisition and do not extend to any assets other than those of the Person acquired by the Borrower or such Subsidiary, and the applicable Indebtedness secured by such Lien is permitted under </w:t>
      </w:r>
      <w:r>
        <w:rPr>
          <w:rFonts w:ascii="Times New Roman" w:cs="Times New Roman" w:eastAsia="Times New Roman" w:hAnsi="Times New Roman"/>
          <w:sz w:val="18"/>
          <w:szCs w:val="18"/>
          <w:u w:val="single" w:color="auto"/>
          <w:color w:val="auto"/>
        </w:rPr>
        <w:t>Section 7.02(l)</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right="140" w:firstLine="419"/>
        <w:spacing w:after="0" w:line="282" w:lineRule="auto"/>
        <w:tabs>
          <w:tab w:leader="none" w:pos="73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Indebtedness permitted by </w:t>
      </w:r>
      <w:r>
        <w:rPr>
          <w:rFonts w:ascii="Times New Roman" w:cs="Times New Roman" w:eastAsia="Times New Roman" w:hAnsi="Times New Roman"/>
          <w:sz w:val="18"/>
          <w:szCs w:val="18"/>
          <w:u w:val="single" w:color="auto"/>
          <w:color w:val="auto"/>
        </w:rPr>
        <w:t>Section 7.02(m)</w:t>
      </w:r>
      <w:r>
        <w:rPr>
          <w:rFonts w:ascii="Times New Roman" w:cs="Times New Roman" w:eastAsia="Times New Roman" w:hAnsi="Times New Roman"/>
          <w:sz w:val="18"/>
          <w:szCs w:val="18"/>
          <w:color w:val="auto"/>
        </w:rPr>
        <w:t xml:space="preserve"> the amount of which does not exceed $10,000,000;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must be junior to the Liens securing the Obligations and the ABL Obligations;</w:t>
      </w:r>
    </w:p>
    <w:p>
      <w:pPr>
        <w:spacing w:after="0" w:line="53" w:lineRule="exact"/>
        <w:rPr>
          <w:rFonts w:ascii="Times New Roman" w:cs="Times New Roman" w:eastAsia="Times New Roman" w:hAnsi="Times New Roman"/>
          <w:sz w:val="18"/>
          <w:szCs w:val="18"/>
          <w:color w:val="auto"/>
        </w:rPr>
      </w:pPr>
    </w:p>
    <w:p>
      <w:pPr>
        <w:ind w:left="4" w:firstLine="419"/>
        <w:spacing w:after="0" w:line="276" w:lineRule="auto"/>
        <w:tabs>
          <w:tab w:leader="none" w:pos="681"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non-consensual Liens not securing Indebtedness, (i) the amount of which does not exceed $5,000,000 in the aggregate, and (ii) the existence of which, either individually or in the aggregate, will not have a Material Adverse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Lien permitted by this </w:t>
      </w:r>
      <w:r>
        <w:rPr>
          <w:rFonts w:ascii="Times New Roman" w:cs="Times New Roman" w:eastAsia="Times New Roman" w:hAnsi="Times New Roman"/>
          <w:sz w:val="17"/>
          <w:szCs w:val="17"/>
          <w:u w:val="single" w:color="auto"/>
          <w:color w:val="auto"/>
        </w:rPr>
        <w:t>clause</w:t>
      </w:r>
    </w:p>
    <w:p>
      <w:pPr>
        <w:ind w:left="4" w:right="140" w:hanging="4"/>
        <w:spacing w:after="0" w:line="253" w:lineRule="auto"/>
        <w:tabs>
          <w:tab w:leader="none" w:pos="258" w:val="left"/>
        </w:tabs>
        <w:numPr>
          <w:ilvl w:val="0"/>
          <w:numId w:val="1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is permitted only for so long as is reasonably necessary for the affected Loan Party or the affected Subsidiary, using its best efforts, to remove or eliminate such Lien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Lien not otherwise permitted by this </w:t>
      </w:r>
      <w:r>
        <w:rPr>
          <w:rFonts w:ascii="Times New Roman" w:cs="Times New Roman" w:eastAsia="Times New Roman" w:hAnsi="Times New Roman"/>
          <w:sz w:val="18"/>
          <w:szCs w:val="18"/>
          <w:u w:val="single" w:color="auto"/>
          <w:color w:val="auto"/>
        </w:rPr>
        <w:t>clause (n)</w:t>
      </w:r>
      <w:r>
        <w:rPr>
          <w:rFonts w:ascii="Times New Roman" w:cs="Times New Roman" w:eastAsia="Times New Roman" w:hAnsi="Times New Roman"/>
          <w:sz w:val="18"/>
          <w:szCs w:val="18"/>
          <w:color w:val="auto"/>
        </w:rPr>
        <w:t xml:space="preserve"> shall be permitted so long as such Loan Party or the affected Subsidiary shall within thirty (30) days after the filing thereof either (A) cause such Lien to be discharged, or (B) post with the Administrative Agent a bond or other security in form and amount satisfactory to the Administrative Agent in all respects and shall thereafter diligently pursue its discharge;</w:t>
      </w:r>
    </w:p>
    <w:p>
      <w:pPr>
        <w:spacing w:after="0" w:line="78" w:lineRule="exact"/>
        <w:rPr>
          <w:rFonts w:ascii="Times New Roman" w:cs="Times New Roman" w:eastAsia="Times New Roman" w:hAnsi="Times New Roman"/>
          <w:sz w:val="18"/>
          <w:szCs w:val="18"/>
          <w:u w:val="single" w:color="auto"/>
          <w:color w:val="auto"/>
        </w:rPr>
      </w:pPr>
    </w:p>
    <w:p>
      <w:pPr>
        <w:ind w:left="684" w:hanging="261"/>
        <w:spacing w:after="0"/>
        <w:tabs>
          <w:tab w:leader="none" w:pos="6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Lien on a Sold Account;</w:t>
      </w:r>
    </w:p>
    <w:p>
      <w:pPr>
        <w:spacing w:after="0" w:line="117" w:lineRule="exact"/>
        <w:rPr>
          <w:rFonts w:ascii="Times New Roman" w:cs="Times New Roman" w:eastAsia="Times New Roman" w:hAnsi="Times New Roman"/>
          <w:sz w:val="18"/>
          <w:szCs w:val="18"/>
          <w:color w:val="auto"/>
        </w:rPr>
      </w:pPr>
    </w:p>
    <w:p>
      <w:pPr>
        <w:ind w:left="4" w:right="280" w:firstLine="419"/>
        <w:spacing w:after="0" w:line="261" w:lineRule="auto"/>
        <w:tabs>
          <w:tab w:leader="none" w:pos="681"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Closing Date securing Indebtedness that has been 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Lien permitted by this </w:t>
      </w:r>
      <w:r>
        <w:rPr>
          <w:rFonts w:ascii="Times New Roman" w:cs="Times New Roman" w:eastAsia="Times New Roman" w:hAnsi="Times New Roman"/>
          <w:sz w:val="18"/>
          <w:szCs w:val="18"/>
          <w:u w:val="single" w:color="auto"/>
          <w:color w:val="auto"/>
        </w:rPr>
        <w:t>clause (p)</w:t>
      </w:r>
      <w:r>
        <w:rPr>
          <w:rFonts w:ascii="Times New Roman" w:cs="Times New Roman" w:eastAsia="Times New Roman" w:hAnsi="Times New Roman"/>
          <w:sz w:val="18"/>
          <w:szCs w:val="18"/>
          <w:color w:val="auto"/>
        </w:rPr>
        <w:t xml:space="preserve"> is permitted only for so long as is reasonably necessary for the affected Loan Party or the affected Subsidiary, using its best efforts, to remove, discharge or otherwise eliminate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no event shall any Lien permitted by this </w:t>
      </w:r>
      <w:r>
        <w:rPr>
          <w:rFonts w:ascii="Times New Roman" w:cs="Times New Roman" w:eastAsia="Times New Roman" w:hAnsi="Times New Roman"/>
          <w:sz w:val="18"/>
          <w:szCs w:val="18"/>
          <w:u w:val="single" w:color="auto"/>
          <w:color w:val="auto"/>
        </w:rPr>
        <w:t>clause (p)</w:t>
      </w:r>
      <w:r>
        <w:rPr>
          <w:rFonts w:ascii="Times New Roman" w:cs="Times New Roman" w:eastAsia="Times New Roman" w:hAnsi="Times New Roman"/>
          <w:sz w:val="18"/>
          <w:szCs w:val="18"/>
          <w:color w:val="auto"/>
        </w:rPr>
        <w:t xml:space="preserve"> be permitted for more than ninety (90) days;</w:t>
      </w:r>
    </w:p>
    <w:p>
      <w:pPr>
        <w:spacing w:after="0" w:line="71" w:lineRule="exact"/>
        <w:rPr>
          <w:rFonts w:ascii="Times New Roman" w:cs="Times New Roman" w:eastAsia="Times New Roman" w:hAnsi="Times New Roman"/>
          <w:sz w:val="18"/>
          <w:szCs w:val="18"/>
          <w:color w:val="auto"/>
        </w:rPr>
      </w:pPr>
    </w:p>
    <w:p>
      <w:pPr>
        <w:ind w:left="4" w:right="40" w:firstLine="419"/>
        <w:spacing w:after="0" w:line="282" w:lineRule="auto"/>
        <w:tabs>
          <w:tab w:leader="none" w:pos="681"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9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584"/>
          </w:cols>
          <w:pgMar w:left="876" w:top="270" w:right="439" w:bottom="1440" w:gutter="0" w:footer="0" w:header="0"/>
        </w:sectPr>
      </w:pPr>
    </w:p>
    <w:bookmarkStart w:id="122" w:name="page123"/>
    <w:bookmarkEnd w:id="122"/>
    <w:p>
      <w:pPr>
        <w:ind w:left="440" w:right="100" w:firstLine="419"/>
        <w:spacing w:after="0" w:line="282" w:lineRule="auto"/>
        <w:tabs>
          <w:tab w:leader="none" w:pos="108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of a collecting bank arising in the ordinary course of business under Section 4-210 of the UCC in effect in the relevant jurisdiction covering only the items being collected upon;</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sale and leaseback transactions permitted hereunder;</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Indebtedness permitted by </w:t>
      </w: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shall extend to, or cover, any Collateral;</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pursuant to the Precious Metal Consignment Agreements so long as such Lien does not secure Indebtedness;</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non-consensual statutory or civil law Lien arising in the Netherlands under Netherland’s General Banking Conditions (other than arising under article 26 thereof) so long as such Lien does not secure Indebtedness and arises in the ordinary course of business;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Collateral securing Incremental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must be junior to the Liens securing the Obligations.</w:t>
      </w:r>
    </w:p>
    <w:p>
      <w:pPr>
        <w:spacing w:after="0" w:line="22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Neither the Borrower nor any of its Subsidiaries shall enter into any contract or agreement (other than a contract or agreement entered into in connection with the purchase or lease of fixed assets that prohibits Liens on such fixed assets) that would prohibit the Administrative Agent or the Lenders from acquiring a security interest, mortgage or other Lien on, or a collateral assignment of, any of the property or assets of the Borrower or such Subsidiary.</w:t>
      </w:r>
    </w:p>
    <w:p>
      <w:pPr>
        <w:spacing w:after="0" w:line="15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Create, incur, assume or have outstanding any Indebtedness of any kind;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shall not apply to the following:</w:t>
      </w:r>
    </w:p>
    <w:p>
      <w:pPr>
        <w:spacing w:after="0" w:line="54" w:lineRule="exact"/>
        <w:rPr>
          <w:sz w:val="20"/>
          <w:szCs w:val="20"/>
          <w:color w:val="auto"/>
        </w:rPr>
      </w:pPr>
    </w:p>
    <w:p>
      <w:pPr>
        <w:ind w:left="1100" w:hanging="241"/>
        <w:spacing w:after="0"/>
        <w:tabs>
          <w:tab w:leader="none" w:pos="11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and any other Obligation under this Agreement or under any other Loan Document;</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loans granted to or Indebtedness under Financing Lease Obligations entered into by the Borrower or any of its Subsidiaries for the purchase or lease of fixed assets and any Refinance Indebtedness in respect thereof permitted by clause (g) below, which loans and Indebtedness under Financing Lease Obligations shall only be secured by the fixed assets being purchased or leased, so long as the aggregate principal amount of all such loans and Indebtedness under Financing Lease Obligations </w:t>
      </w:r>
      <w:r>
        <w:rPr>
          <w:rFonts w:ascii="Times New Roman" w:cs="Times New Roman" w:eastAsia="Times New Roman" w:hAnsi="Times New Roman"/>
          <w:sz w:val="18"/>
          <w:szCs w:val="18"/>
          <w:u w:val="single" w:color="auto"/>
          <w:color w:val="0000FF"/>
        </w:rPr>
        <w:t>(other than with respect to the 2024 Sale and Leaseback Transaction)</w:t>
      </w:r>
      <w:r>
        <w:rPr>
          <w:rFonts w:ascii="Times New Roman" w:cs="Times New Roman" w:eastAsia="Times New Roman" w:hAnsi="Times New Roman"/>
          <w:sz w:val="18"/>
          <w:szCs w:val="18"/>
          <w:color w:val="auto"/>
        </w:rPr>
        <w:t xml:space="preserve"> for the Borrower and all of its Subsidiaries shall not exceed $20,000,000 at any time outstanding;</w:t>
      </w:r>
    </w:p>
    <w:p>
      <w:pPr>
        <w:spacing w:after="0" w:line="75" w:lineRule="exact"/>
        <w:rPr>
          <w:rFonts w:ascii="Times New Roman" w:cs="Times New Roman" w:eastAsia="Times New Roman" w:hAnsi="Times New Roman"/>
          <w:sz w:val="18"/>
          <w:szCs w:val="18"/>
          <w:color w:val="auto"/>
        </w:rPr>
      </w:pPr>
    </w:p>
    <w:p>
      <w:pPr>
        <w:ind w:left="440" w:right="640" w:firstLine="419"/>
        <w:spacing w:after="0" w:line="276" w:lineRule="auto"/>
        <w:tabs>
          <w:tab w:leader="none" w:pos="1108"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Indebtedness existing on the Amendment No. 1 Effective Date, in addition to the other Indebtedness permitted to be incurred pursuant to this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as set forth in </w:t>
      </w:r>
      <w:r>
        <w:rPr>
          <w:rFonts w:ascii="Times New Roman" w:cs="Times New Roman" w:eastAsia="Times New Roman" w:hAnsi="Times New Roman"/>
          <w:sz w:val="17"/>
          <w:szCs w:val="17"/>
          <w:u w:val="single" w:color="auto"/>
          <w:color w:val="auto"/>
        </w:rPr>
        <w:t>Schedule 7.02</w:t>
      </w:r>
      <w:r>
        <w:rPr>
          <w:rFonts w:ascii="Times New Roman" w:cs="Times New Roman" w:eastAsia="Times New Roman" w:hAnsi="Times New Roman"/>
          <w:sz w:val="17"/>
          <w:szCs w:val="17"/>
          <w:color w:val="auto"/>
        </w:rPr>
        <w:t xml:space="preserve"> hereto and any Refinance Indebtedness in respect thereof permitted by clause</w:t>
      </w:r>
    </w:p>
    <w:p>
      <w:pPr>
        <w:ind w:left="700" w:hanging="264"/>
        <w:spacing w:after="0"/>
        <w:tabs>
          <w:tab w:leader="none" w:pos="7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-601980</wp:posOffset>
            </wp:positionV>
            <wp:extent cx="31800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23" w:name="page124"/>
    <w:bookmarkEnd w:id="123"/>
    <w:p>
      <w:pPr>
        <w:ind w:left="4" w:right="40" w:firstLine="419"/>
        <w:spacing w:after="0" w:line="256" w:lineRule="auto"/>
        <w:tabs>
          <w:tab w:leader="none" w:pos="68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of (i) any Loan Party owing to any other Loan Party, (ii) any Subsidiary that is not a Loan Party owing to any other Subsidiary that is not a Loan Party, (iii) any Loan Party to any Subsidiary that is not a Loan Party (provided that such Indebtedness is subordinate to the Loans on terms reasonably satisfactory to the Administrative Agent) and (iv) any Subsidiary that is not a Loan Party owing to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all Indebtedness incurred pursuant to this </w:t>
      </w:r>
      <w:r>
        <w:rPr>
          <w:rFonts w:ascii="Times New Roman" w:cs="Times New Roman" w:eastAsia="Times New Roman" w:hAnsi="Times New Roman"/>
          <w:sz w:val="18"/>
          <w:szCs w:val="18"/>
          <w:u w:val="single" w:color="auto"/>
          <w:color w:val="auto"/>
        </w:rPr>
        <w:t>clause (d)(iv)</w:t>
      </w:r>
      <w:r>
        <w:rPr>
          <w:rFonts w:ascii="Times New Roman" w:cs="Times New Roman" w:eastAsia="Times New Roman" w:hAnsi="Times New Roman"/>
          <w:sz w:val="18"/>
          <w:szCs w:val="18"/>
          <w:color w:val="auto"/>
        </w:rPr>
        <w:t xml:space="preserve"> (including any outstanding amounts under the Non-Loan Party Investments Cap) shall not exceed $15,000,000 in any fiscal year and $50,000,000 during the term of this Agreement (this </w:t>
      </w:r>
      <w:r>
        <w:rPr>
          <w:rFonts w:ascii="Times New Roman" w:cs="Times New Roman" w:eastAsia="Times New Roman" w:hAnsi="Times New Roman"/>
          <w:sz w:val="18"/>
          <w:szCs w:val="18"/>
          <w:u w:val="single" w:color="auto"/>
          <w:color w:val="auto"/>
        </w:rPr>
        <w:t>clause (d)(iv)</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Non-Loan Party Debt Cap</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Incremental Term Loans permitted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300" w:firstLine="419"/>
        <w:spacing w:after="0" w:line="282" w:lineRule="auto"/>
        <w:tabs>
          <w:tab w:leader="none" w:pos="65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any Swap Contract, so long as such Swap Contract shall have been entered into in the ordinary course of business and not for speculative purposes and any Refinance Indebtedness in respect thereof permitted by clause (g) below;</w:t>
      </w:r>
    </w:p>
    <w:p>
      <w:pPr>
        <w:spacing w:after="0" w:line="53" w:lineRule="exact"/>
        <w:rPr>
          <w:rFonts w:ascii="Times New Roman" w:cs="Times New Roman" w:eastAsia="Times New Roman" w:hAnsi="Times New Roman"/>
          <w:sz w:val="18"/>
          <w:szCs w:val="18"/>
          <w:color w:val="auto"/>
        </w:rPr>
      </w:pPr>
    </w:p>
    <w:p>
      <w:pPr>
        <w:ind w:left="4" w:right="240" w:firstLine="419"/>
        <w:spacing w:after="0" w:line="276" w:lineRule="auto"/>
        <w:tabs>
          <w:tab w:leader="none" w:pos="681"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that represents extensions, renewals, refinancing or replacements (such Indebtedness being so extended, renewed, refinanced or replaced being referred to herein as the “</w:t>
      </w:r>
      <w:r>
        <w:rPr>
          <w:rFonts w:ascii="Times New Roman" w:cs="Times New Roman" w:eastAsia="Times New Roman" w:hAnsi="Times New Roman"/>
          <w:sz w:val="17"/>
          <w:szCs w:val="17"/>
          <w:u w:val="single" w:color="auto"/>
          <w:color w:val="auto"/>
        </w:rPr>
        <w:t>Refinance Indebtedness</w:t>
      </w:r>
      <w:r>
        <w:rPr>
          <w:rFonts w:ascii="Times New Roman" w:cs="Times New Roman" w:eastAsia="Times New Roman" w:hAnsi="Times New Roman"/>
          <w:sz w:val="17"/>
          <w:szCs w:val="17"/>
          <w:color w:val="auto"/>
        </w:rPr>
        <w:t>”) of any of the Indebtedness described in clauses (b), (c), (f) and</w:t>
      </w:r>
    </w:p>
    <w:p>
      <w:pPr>
        <w:ind w:left="4" w:hanging="4"/>
        <w:spacing w:after="0" w:line="251" w:lineRule="auto"/>
        <w:tabs>
          <w:tab w:leader="none" w:pos="21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(such Indebtedness being referred to herein as the “</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or security to the Obligations or the Guarantees thereof or Liens thereof, then the terms and conditions of such Refinance Indebtedness must include terms and conditions that are at least as favorable to the Administrative Agent and the Lenders as those that were applicable to such Original Indebtedness;</w:t>
      </w:r>
    </w:p>
    <w:p>
      <w:pPr>
        <w:spacing w:after="0" w:line="8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the financing of insurance premiums, not to exceed $5,000,000 at any time outstanding;</w:t>
      </w:r>
    </w:p>
    <w:p>
      <w:pPr>
        <w:spacing w:after="0" w:line="117" w:lineRule="exact"/>
        <w:rPr>
          <w:rFonts w:ascii="Times New Roman" w:cs="Times New Roman" w:eastAsia="Times New Roman" w:hAnsi="Times New Roman"/>
          <w:sz w:val="18"/>
          <w:szCs w:val="18"/>
          <w:color w:val="auto"/>
        </w:rPr>
      </w:pPr>
    </w:p>
    <w:p>
      <w:pPr>
        <w:ind w:left="4" w:right="140" w:firstLine="419"/>
        <w:spacing w:after="0" w:line="257" w:lineRule="auto"/>
        <w:tabs>
          <w:tab w:leader="none" w:pos="64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consisting of Guarantees executed by (i) any Loan Party with respect to Indebtedness otherwise permitted by this Agreement and (ii) any Subsidiary with respect to any Indebtedness of a Subsidiary otherwise permitted by this Agreement (provided that Guarantees by the Borrower or any other Loan Party of Indebtedness of any Subsidiary that is not a Loan Party shall be subject to</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7.02(d));</w:t>
      </w:r>
    </w:p>
    <w:p>
      <w:pPr>
        <w:spacing w:after="0" w:line="98"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64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in respect of performance bonds, bid bonds, appeal bonds, surety bonds and similar obligations, in each case provided in the ordinary course of business;</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564"/>
          </w:cols>
          <w:pgMar w:left="876" w:top="270" w:right="459" w:bottom="1440" w:gutter="0" w:footer="0" w:header="0"/>
        </w:sectPr>
      </w:pPr>
    </w:p>
    <w:bookmarkStart w:id="124" w:name="page125"/>
    <w:bookmarkEnd w:id="124"/>
    <w:p>
      <w:pPr>
        <w:ind w:left="4" w:right="300" w:firstLine="419"/>
        <w:spacing w:after="0" w:line="266" w:lineRule="auto"/>
        <w:tabs>
          <w:tab w:leader="none" w:pos="68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long as the ABL Facility is subject to the terms and conditions of the ABL Intercreditor Agreement, Indebtedness in respect of the ABL Facility in an aggregate principal amount not to exceed the ABL Cap (as defined in the ABL Intercreditor Agreement) at any time outstanding and any permitted Refinancing (as defined in the ABL Intercreditor Agreement);</w:t>
      </w:r>
    </w:p>
    <w:p>
      <w:pPr>
        <w:spacing w:after="0" w:line="67" w:lineRule="exact"/>
        <w:rPr>
          <w:rFonts w:ascii="Times New Roman" w:cs="Times New Roman" w:eastAsia="Times New Roman" w:hAnsi="Times New Roman"/>
          <w:sz w:val="18"/>
          <w:szCs w:val="18"/>
          <w:color w:val="auto"/>
        </w:rPr>
      </w:pPr>
    </w:p>
    <w:p>
      <w:pPr>
        <w:ind w:left="4" w:firstLine="419"/>
        <w:spacing w:after="0" w:line="268" w:lineRule="auto"/>
        <w:tabs>
          <w:tab w:leader="none" w:pos="641"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of any Person that becomes a Subsidiary of the Borrower after the date hereof pursuant to an Acquisition permitted under </w:t>
      </w:r>
      <w:r>
        <w:rPr>
          <w:rFonts w:ascii="Times New Roman" w:cs="Times New Roman" w:eastAsia="Times New Roman" w:hAnsi="Times New Roman"/>
          <w:sz w:val="17"/>
          <w:szCs w:val="17"/>
          <w:u w:val="single" w:color="auto"/>
          <w:color w:val="auto"/>
        </w:rPr>
        <w:t>Section 7.03(b)</w:t>
      </w:r>
      <w:r>
        <w:rPr>
          <w:rFonts w:ascii="Times New Roman" w:cs="Times New Roman" w:eastAsia="Times New Roman" w:hAnsi="Times New Roman"/>
          <w:sz w:val="17"/>
          <w:szCs w:val="17"/>
          <w:color w:val="auto"/>
        </w:rPr>
        <w:t xml:space="preserve"> and any Refinance Indebtedness in respect thereof permitted by clause (g)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Indebtedness is existing at the time such Person becomes a Subsidiary of the Borrower (and is not incurred in contemplation of such Person’s becoming a Subsidiary of the Borrower), (ii) no Event of Default has occurred and is continuing, (iii) after giving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effect thereto and to the application of the proceeds thereof (but disregarding any costs constituting proceeds thereof for the purposes of netting), the Borrower and its Subsidiaries shall be in </w:t>
      </w:r>
      <w:r>
        <w:rPr>
          <w:rFonts w:ascii="Times New Roman" w:cs="Times New Roman" w:eastAsia="Times New Roman" w:hAnsi="Times New Roman"/>
          <w:sz w:val="17"/>
          <w:szCs w:val="17"/>
          <w:i w:val="1"/>
          <w:iCs w:val="1"/>
          <w:color w:val="auto"/>
        </w:rPr>
        <w:t>pro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forma </w:t>
      </w:r>
      <w:r>
        <w:rPr>
          <w:rFonts w:ascii="Times New Roman" w:cs="Times New Roman" w:eastAsia="Times New Roman" w:hAnsi="Times New Roman"/>
          <w:sz w:val="17"/>
          <w:szCs w:val="17"/>
          <w:color w:val="auto"/>
        </w:rPr>
        <w:t>compliance with the Financial Covenants and (iv) the aggregate principal amount of Indebtedness outstanding in reliance on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w:t>
      </w:r>
    </w:p>
    <w:p>
      <w:pPr>
        <w:spacing w:after="0" w:line="4" w:lineRule="exact"/>
        <w:rPr>
          <w:rFonts w:ascii="Times New Roman" w:cs="Times New Roman" w:eastAsia="Times New Roman" w:hAnsi="Times New Roman"/>
          <w:sz w:val="17"/>
          <w:szCs w:val="17"/>
          <w:color w:val="auto"/>
        </w:rPr>
      </w:pPr>
    </w:p>
    <w:p>
      <w:pPr>
        <w:ind w:left="4" w:right="300" w:hanging="4"/>
        <w:spacing w:after="0" w:line="255" w:lineRule="auto"/>
        <w:tabs>
          <w:tab w:leader="none" w:pos="218" w:val="left"/>
        </w:tabs>
        <w:numPr>
          <w:ilvl w:val="0"/>
          <w:numId w:val="1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that is (A) secured by a Lien on the Collateral that is junior to the Liens securing the Obligations, the amount of such Indebtedness shall not exceed $10,000,000 at any time outstanding and (B) unsecured, the amount of such Indebtedness shall not exceed $10,000,000 at any time outstanding;</w:t>
      </w:r>
    </w:p>
    <w:p>
      <w:pPr>
        <w:spacing w:after="0" w:line="77" w:lineRule="exact"/>
        <w:rPr>
          <w:rFonts w:ascii="Times New Roman" w:cs="Times New Roman" w:eastAsia="Times New Roman" w:hAnsi="Times New Roman"/>
          <w:sz w:val="18"/>
          <w:szCs w:val="18"/>
          <w:u w:val="single" w:color="auto"/>
          <w:color w:val="auto"/>
        </w:rPr>
      </w:pPr>
    </w:p>
    <w:p>
      <w:pPr>
        <w:ind w:left="4" w:right="40" w:firstLine="419"/>
        <w:spacing w:after="0" w:line="261" w:lineRule="auto"/>
        <w:tabs>
          <w:tab w:leader="none" w:pos="73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in an aggregate principal amount for the Borrower and all of its Subsidiaries not to exceed $15,000,000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Indebtedness is secured, it may only be secured by a Lien on the Collateral that is junior to the Liens securing the Obligations and subject to (i) no Event of Default has occurred and is continuing and (ii) after giving pro forma effect thereto (and to any Indebtedness incurred in connection therewith), the Borrower and its Subsidiaries shall be in compliance with Financial Covenants;</w:t>
      </w:r>
    </w:p>
    <w:p>
      <w:pPr>
        <w:spacing w:after="0" w:line="71"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68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that do not constitute Indebtedness, but that are listed for purposes of clarification, contingent obligations consisting of the indemnification by the Borrower or any of its Subsidiaries of (i) the officers, directors, employees and agents of the Borrower or any of its Subsidiaries, to the extent permissible under the corporation law of the jurisdiction in which such Person is organized, (ii) commercial banks, investment bankers and other independent consultants or professional advisors pursuant to agreements relating to the underwriting of the Borrower’s or any of its Subsidiaries’ securities or the rendering of banking or professional services to the Borrower or any of its Subsidiaries,</w:t>
      </w:r>
    </w:p>
    <w:p>
      <w:pPr>
        <w:spacing w:after="0" w:line="3" w:lineRule="exact"/>
        <w:rPr>
          <w:rFonts w:ascii="Times New Roman" w:cs="Times New Roman" w:eastAsia="Times New Roman" w:hAnsi="Times New Roman"/>
          <w:sz w:val="18"/>
          <w:szCs w:val="18"/>
          <w:color w:val="auto"/>
        </w:rPr>
      </w:pPr>
    </w:p>
    <w:p>
      <w:pPr>
        <w:ind w:left="4" w:right="60" w:hanging="4"/>
        <w:spacing w:after="0" w:line="253" w:lineRule="auto"/>
        <w:tabs>
          <w:tab w:leader="none" w:pos="3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landlords, licensors, licensees and other parties pursuant to agreements entered into in the ordinary course of business by the Borrower or any of its Subsidiaries, and (iv) other Persons under agreements relating to Acquisitions permitted under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foregoing is only permitted to the extent that such indemnity obligation is not incurred in connection with the borrowing of money or the extension of credit;</w:t>
      </w:r>
    </w:p>
    <w:p>
      <w:pPr>
        <w:spacing w:after="0" w:line="80" w:lineRule="exact"/>
        <w:rPr>
          <w:rFonts w:ascii="Times New Roman" w:cs="Times New Roman" w:eastAsia="Times New Roman" w:hAnsi="Times New Roman"/>
          <w:sz w:val="18"/>
          <w:szCs w:val="18"/>
          <w:color w:val="auto"/>
        </w:rPr>
      </w:pPr>
    </w:p>
    <w:p>
      <w:pPr>
        <w:ind w:left="4" w:right="680" w:firstLine="419"/>
        <w:spacing w:after="0" w:line="282" w:lineRule="auto"/>
        <w:tabs>
          <w:tab w:leader="none" w:pos="68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Indebtedness under any Qualified Receivables Transaction, provided that Qualified Receivables Transactions may not exceed $30,000,000 at any time outstanding; and</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564"/>
          </w:cols>
          <w:pgMar w:left="876" w:top="270" w:right="459" w:bottom="1440" w:gutter="0" w:footer="0" w:header="0"/>
        </w:sectPr>
      </w:pPr>
    </w:p>
    <w:bookmarkStart w:id="125" w:name="page126"/>
    <w:bookmarkEnd w:id="125"/>
    <w:p>
      <w:pPr>
        <w:ind w:right="60" w:firstLine="419"/>
        <w:spacing w:after="0" w:line="266" w:lineRule="auto"/>
        <w:tabs>
          <w:tab w:leader="none" w:pos="67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7.03 </w:t>
      </w:r>
      <w:r>
        <w:rPr>
          <w:rFonts w:ascii="Times New Roman" w:cs="Times New Roman" w:eastAsia="Times New Roman" w:hAnsi="Times New Roman"/>
          <w:sz w:val="18"/>
          <w:szCs w:val="18"/>
          <w:u w:val="single" w:color="auto"/>
          <w:color w:val="auto"/>
        </w:rPr>
        <w:t>Investments and Acquisitions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hold any Investments except:</w:t>
      </w:r>
    </w:p>
    <w:p>
      <w:pPr>
        <w:spacing w:after="0" w:line="117" w:lineRule="exact"/>
        <w:rPr>
          <w:rFonts w:ascii="Times New Roman" w:cs="Times New Roman" w:eastAsia="Times New Roman" w:hAnsi="Times New Roman"/>
          <w:sz w:val="18"/>
          <w:szCs w:val="18"/>
          <w:color w:val="auto"/>
        </w:rPr>
      </w:pPr>
    </w:p>
    <w:p>
      <w:pPr>
        <w:ind w:left="540" w:right="340" w:firstLine="408"/>
        <w:spacing w:after="0" w:line="282" w:lineRule="auto"/>
        <w:tabs>
          <w:tab w:leader="none" w:pos="1156"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endorsement of a check or other medium of payment for deposit or collection through normal banking channels or similar transaction in the normal course of business;</w:t>
      </w:r>
    </w:p>
    <w:p>
      <w:pPr>
        <w:spacing w:after="0" w:line="53" w:lineRule="exact"/>
        <w:rPr>
          <w:rFonts w:ascii="Times New Roman" w:cs="Times New Roman" w:eastAsia="Times New Roman" w:hAnsi="Times New Roman"/>
          <w:sz w:val="18"/>
          <w:szCs w:val="18"/>
          <w:color w:val="auto"/>
        </w:rPr>
      </w:pPr>
    </w:p>
    <w:p>
      <w:pPr>
        <w:ind w:left="540" w:right="200" w:firstLine="408"/>
        <w:spacing w:after="0" w:line="255" w:lineRule="auto"/>
        <w:tabs>
          <w:tab w:leader="none" w:pos="1206"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 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 (B) investments in commercial paper maturing within 270 days from the date of acquisition thereof and having, at such date of acquisition, the highest credit rating obtainable from S&amp;P or from Moody’s,</w:t>
      </w:r>
    </w:p>
    <w:p>
      <w:pPr>
        <w:spacing w:after="0" w:line="2" w:lineRule="exact"/>
        <w:rPr>
          <w:rFonts w:ascii="Times New Roman" w:cs="Times New Roman" w:eastAsia="Times New Roman" w:hAnsi="Times New Roman"/>
          <w:sz w:val="18"/>
          <w:szCs w:val="18"/>
          <w:color w:val="auto"/>
        </w:rPr>
      </w:pPr>
    </w:p>
    <w:p>
      <w:pPr>
        <w:ind w:left="540" w:firstLine="7"/>
        <w:spacing w:after="0" w:line="252" w:lineRule="auto"/>
        <w:tabs>
          <w:tab w:leader="none" w:pos="82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that has a combined capital and surplus and undivided profits of not less than $250,000,000, (D) fully collateralized repurchase agreements with a term of not more than 30 days for securities described in clause (A) above and entered into with a financial institution satisfying the criteria described in clause (C) above, (E) 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80"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256"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holding of each of the Subsidiaries listed on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xml:space="preserve"> hereto, and the creation, acquisition and holding of, and any investment in, any new Subsidiary after the Closing Date so long as such new Subsidiary shall have been created, acquired or held, and investments made, in accordance with the terms and conditions of this Agreement and pursuant to transactions otherwise permitted under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40" w:right="340" w:firstLine="408"/>
        <w:spacing w:after="0" w:line="282" w:lineRule="auto"/>
        <w:tabs>
          <w:tab w:leader="none" w:pos="1246"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580"/>
          </w:cols>
          <w:pgMar w:left="880" w:top="270" w:right="439" w:bottom="1440" w:gutter="0" w:footer="0" w:header="0"/>
        </w:sectPr>
      </w:pPr>
    </w:p>
    <w:bookmarkStart w:id="126" w:name="page127"/>
    <w:bookmarkEnd w:id="126"/>
    <w:p>
      <w:pPr>
        <w:ind w:left="-20" w:right="20" w:firstLine="408"/>
        <w:spacing w:after="0" w:line="258" w:lineRule="auto"/>
        <w:tabs>
          <w:tab w:leader="none" w:pos="6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Investments, including a guaranty of Indebtedness by (i) any Loan Party in any other Loan Party, (ii) any Subsidiary that is not a Loan Party in any other Subsidiary that is not a Loan Party, (iii) any Subsidiary that is not a Loan Party in any Loan Party and (iv) any Loan Party in any other Subsidiary that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all Investments incurred pursuant to this </w:t>
      </w:r>
      <w:r>
        <w:rPr>
          <w:rFonts w:ascii="Times New Roman" w:cs="Times New Roman" w:eastAsia="Times New Roman" w:hAnsi="Times New Roman"/>
          <w:sz w:val="18"/>
          <w:szCs w:val="18"/>
          <w:u w:val="single" w:color="auto"/>
          <w:color w:val="auto"/>
        </w:rPr>
        <w:t>clause (a)(v)</w:t>
      </w:r>
      <w:r>
        <w:rPr>
          <w:rFonts w:ascii="Times New Roman" w:cs="Times New Roman" w:eastAsia="Times New Roman" w:hAnsi="Times New Roman"/>
          <w:sz w:val="18"/>
          <w:szCs w:val="18"/>
          <w:color w:val="auto"/>
        </w:rPr>
        <w:t xml:space="preserve"> (including any outstanding amounts under the Non-Loan Party Debt Cap) shall not exceed $15,000,000 in any fiscal year and $50,000,000 during the term of this Agreement (this </w:t>
      </w:r>
      <w:r>
        <w:rPr>
          <w:rFonts w:ascii="Times New Roman" w:cs="Times New Roman" w:eastAsia="Times New Roman" w:hAnsi="Times New Roman"/>
          <w:sz w:val="18"/>
          <w:szCs w:val="18"/>
          <w:u w:val="single" w:color="auto"/>
          <w:color w:val="auto"/>
        </w:rPr>
        <w:t>clause (a)(v)(iv)</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Non-Loan Party Investments Cap</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Dispositions permitted by Section 7.05;</w:t>
      </w:r>
    </w:p>
    <w:p>
      <w:pPr>
        <w:spacing w:after="0" w:line="117" w:lineRule="exact"/>
        <w:rPr>
          <w:rFonts w:ascii="Times New Roman" w:cs="Times New Roman" w:eastAsia="Times New Roman" w:hAnsi="Times New Roman"/>
          <w:sz w:val="18"/>
          <w:szCs w:val="18"/>
          <w:color w:val="auto"/>
        </w:rPr>
      </w:pPr>
    </w:p>
    <w:p>
      <w:pPr>
        <w:ind w:left="-20" w:right="260" w:firstLine="408"/>
        <w:spacing w:after="0" w:line="266" w:lineRule="auto"/>
        <w:tabs>
          <w:tab w:leader="none" w:pos="7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advance or loan to an officer or employee of the Borrower or any Subsidiary as an advance on commissions, travel, relocation and other similar items in the ordinary course of business, so long as all such advances and loans from the Borrower and all Subsidiaries aggregate not more than the maximum principal sum of $1,000,000 at any time outstanding;</w:t>
      </w:r>
    </w:p>
    <w:p>
      <w:pPr>
        <w:spacing w:after="0" w:line="67" w:lineRule="exact"/>
        <w:rPr>
          <w:rFonts w:ascii="Times New Roman" w:cs="Times New Roman" w:eastAsia="Times New Roman" w:hAnsi="Times New Roman"/>
          <w:sz w:val="18"/>
          <w:szCs w:val="18"/>
          <w:color w:val="auto"/>
        </w:rPr>
      </w:pPr>
    </w:p>
    <w:p>
      <w:pPr>
        <w:ind w:left="800" w:hanging="412"/>
        <w:spacing w:after="0"/>
        <w:tabs>
          <w:tab w:leader="none" w:pos="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holding of any Equity Interests that has been acquired pursuant to an Acquisition permitted by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hereof;</w:t>
      </w:r>
    </w:p>
    <w:p>
      <w:pPr>
        <w:spacing w:after="0" w:line="117" w:lineRule="exact"/>
        <w:rPr>
          <w:rFonts w:ascii="Times New Roman" w:cs="Times New Roman" w:eastAsia="Times New Roman" w:hAnsi="Times New Roman"/>
          <w:sz w:val="18"/>
          <w:szCs w:val="18"/>
          <w:color w:val="auto"/>
        </w:rPr>
      </w:pPr>
    </w:p>
    <w:p>
      <w:pPr>
        <w:ind w:left="-20" w:right="20" w:firstLine="408"/>
        <w:spacing w:after="0" w:line="266" w:lineRule="auto"/>
        <w:tabs>
          <w:tab w:leader="none" w:pos="68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creation of a Subsidiary for the purpose of making an Acquisition permitted by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hereof or the holding of any Subsidiary as a result of an Acquisition made pursuant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hereof, so long as, in each case, if required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hereof, such Subsidiary becomes a Guarantor promptly following such Acquisition;</w:t>
      </w:r>
    </w:p>
    <w:p>
      <w:pPr>
        <w:spacing w:after="0" w:line="67" w:lineRule="exact"/>
        <w:rPr>
          <w:rFonts w:ascii="Times New Roman" w:cs="Times New Roman" w:eastAsia="Times New Roman" w:hAnsi="Times New Roman"/>
          <w:sz w:val="18"/>
          <w:szCs w:val="18"/>
          <w:color w:val="auto"/>
        </w:rPr>
      </w:pPr>
    </w:p>
    <w:p>
      <w:pPr>
        <w:ind w:left="-20" w:right="460" w:firstLine="408"/>
        <w:spacing w:after="0" w:line="282" w:lineRule="auto"/>
        <w:tabs>
          <w:tab w:leader="none" w:pos="6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Investments existing on the Closing Date, in addition to the other Investments permitted to be incurred pursuant to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Schedule 7.03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20" w:right="100" w:firstLine="408"/>
        <w:spacing w:after="0" w:line="266" w:lineRule="auto"/>
        <w:tabs>
          <w:tab w:leader="none" w:pos="68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67"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of Indebtedness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20" w:right="220" w:firstLine="408"/>
        <w:spacing w:after="0" w:line="266" w:lineRule="auto"/>
        <w:tabs>
          <w:tab w:leader="none" w:pos="78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Wuxi Weifu Autocam Precision Machinery Components Co., Ltd. (the “</w:t>
      </w:r>
      <w:r>
        <w:rPr>
          <w:rFonts w:ascii="Times New Roman" w:cs="Times New Roman" w:eastAsia="Times New Roman" w:hAnsi="Times New Roman"/>
          <w:sz w:val="18"/>
          <w:szCs w:val="18"/>
          <w:u w:val="single" w:color="auto"/>
          <w:color w:val="auto"/>
        </w:rPr>
        <w:t>Wuxi Weifu JV</w:t>
      </w:r>
      <w:r>
        <w:rPr>
          <w:rFonts w:ascii="Times New Roman" w:cs="Times New Roman" w:eastAsia="Times New Roman" w:hAnsi="Times New Roman"/>
          <w:sz w:val="18"/>
          <w:szCs w:val="18"/>
          <w:color w:val="auto"/>
        </w:rPr>
        <w:t>”), so long as (A) no Default has occurred and is continuing or would result therefrom and (B) the aggregate amount of such Investments is limited to those made using reinvestment dividends or other distributions received from the Wuxi Weifu JV;</w:t>
      </w:r>
    </w:p>
    <w:p>
      <w:pPr>
        <w:spacing w:after="0" w:line="67" w:lineRule="exact"/>
        <w:rPr>
          <w:rFonts w:ascii="Times New Roman" w:cs="Times New Roman" w:eastAsia="Times New Roman" w:hAnsi="Times New Roman"/>
          <w:sz w:val="18"/>
          <w:szCs w:val="18"/>
          <w:color w:val="auto"/>
        </w:rPr>
      </w:pPr>
    </w:p>
    <w:p>
      <w:pPr>
        <w:ind w:left="-20" w:firstLine="408"/>
        <w:spacing w:after="0" w:line="282" w:lineRule="auto"/>
        <w:tabs>
          <w:tab w:leader="none" w:pos="77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a Swap Contract, so long as such Swap Contract shall have been entered into in the ordinary course of business and not for speculative purposes;</w:t>
      </w:r>
    </w:p>
    <w:p>
      <w:pPr>
        <w:spacing w:after="0" w:line="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9900"/>
          </w:cols>
          <w:pgMar w:left="1440" w:top="270" w:right="559" w:bottom="1440" w:gutter="0" w:footer="0" w:header="0"/>
        </w:sectPr>
      </w:pPr>
    </w:p>
    <w:bookmarkStart w:id="127" w:name="page128"/>
    <w:bookmarkEnd w:id="127"/>
    <w:p>
      <w:pPr>
        <w:ind w:left="980" w:right="80" w:firstLine="408"/>
        <w:spacing w:after="0" w:line="261" w:lineRule="auto"/>
        <w:tabs>
          <w:tab w:leader="none" w:pos="172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non-cash Investments made by Borrower or any Loan Party in any Foreign Subsidiary consisting of obligations of such Foreign Subsidiary to pay Capital Distributions to the Borrower or any other Loan Party that have been declared but the payment of which has been deferred (whether or not such obligation to pay such Capital Distributions is represented by a promissory note that has been pledged to the Administrative Agent in accordance with the Collateral Documents);</w:t>
      </w:r>
    </w:p>
    <w:p>
      <w:pPr>
        <w:spacing w:after="0" w:line="71"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840" w:hanging="452"/>
        <w:spacing w:after="0"/>
        <w:tabs>
          <w:tab w:leader="none" w:pos="18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constituting Acquisitions permitted by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880" w:hanging="492"/>
        <w:spacing w:after="0"/>
        <w:tabs>
          <w:tab w:leader="none" w:pos="18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deposits described in Section 7.01(h) and Section 7.01(q).</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the amount of any Investment in Equity Interests shall be based upon the initial amount invested and shall not include any appreciation in value or return on such investment.</w:t>
      </w:r>
    </w:p>
    <w:p>
      <w:pPr>
        <w:spacing w:after="0" w:line="54" w:lineRule="exact"/>
        <w:rPr>
          <w:sz w:val="20"/>
          <w:szCs w:val="20"/>
          <w:color w:val="auto"/>
        </w:rPr>
      </w:pPr>
    </w:p>
    <w:p>
      <w:pPr>
        <w:jc w:val="both"/>
        <w:ind w:left="440" w:right="160" w:firstLine="419"/>
        <w:spacing w:after="0" w:line="266" w:lineRule="auto"/>
        <w:tabs>
          <w:tab w:leader="none" w:pos="11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 an Acquisition (other than any Acquisition permitted under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Event of Default shall exist prior to or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(and any Indebtedness incurred in connection therewith), the Borrower and its Subsidiaries may make</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so long as:</w:t>
      </w:r>
    </w:p>
    <w:p>
      <w:pPr>
        <w:spacing w:after="0" w:line="117" w:lineRule="exact"/>
        <w:rPr>
          <w:rFonts w:ascii="Times New Roman" w:cs="Times New Roman" w:eastAsia="Times New Roman" w:hAnsi="Times New Roman"/>
          <w:sz w:val="18"/>
          <w:szCs w:val="18"/>
          <w:color w:val="auto"/>
        </w:rPr>
      </w:pPr>
    </w:p>
    <w:p>
      <w:pPr>
        <w:ind w:left="2040" w:hanging="229"/>
        <w:spacing w:after="0"/>
        <w:tabs>
          <w:tab w:leader="none" w:pos="204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amalgamation or other combination including the Borrower, the Borrower shall be the surviving</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w:t>
      </w:r>
    </w:p>
    <w:p>
      <w:pPr>
        <w:spacing w:after="0" w:line="98" w:lineRule="exact"/>
        <w:rPr>
          <w:rFonts w:ascii="Times New Roman" w:cs="Times New Roman" w:eastAsia="Times New Roman" w:hAnsi="Times New Roman"/>
          <w:sz w:val="18"/>
          <w:szCs w:val="18"/>
          <w:color w:val="auto"/>
        </w:rPr>
      </w:pPr>
    </w:p>
    <w:p>
      <w:pPr>
        <w:ind w:left="1420" w:right="100" w:firstLine="391"/>
        <w:spacing w:after="0" w:line="282" w:lineRule="auto"/>
        <w:tabs>
          <w:tab w:leader="none" w:pos="2013"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amalgamation or other combination including a Loan Party (other than the Borrower), a Loan Party shall be the surviving entity;</w:t>
      </w:r>
    </w:p>
    <w:p>
      <w:pPr>
        <w:spacing w:after="0" w:line="53" w:lineRule="exact"/>
        <w:rPr>
          <w:rFonts w:ascii="Times New Roman" w:cs="Times New Roman" w:eastAsia="Times New Roman" w:hAnsi="Times New Roman"/>
          <w:sz w:val="18"/>
          <w:szCs w:val="18"/>
          <w:color w:val="auto"/>
        </w:rPr>
      </w:pPr>
    </w:p>
    <w:p>
      <w:pPr>
        <w:ind w:left="1420" w:right="20" w:firstLine="391"/>
        <w:spacing w:after="0" w:line="282" w:lineRule="auto"/>
        <w:tabs>
          <w:tab w:leader="none" w:pos="2013"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to be acquired shall be similar to the lines of business of the Borrower and its Subsidiaries or reasonably related and/or complementary or ancillary to such lines of business and reasonable extensions and expansions thereof;</w:t>
      </w:r>
    </w:p>
    <w:p>
      <w:pPr>
        <w:spacing w:after="0" w:line="53" w:lineRule="exact"/>
        <w:rPr>
          <w:rFonts w:ascii="Times New Roman" w:cs="Times New Roman" w:eastAsia="Times New Roman" w:hAnsi="Times New Roman"/>
          <w:sz w:val="18"/>
          <w:szCs w:val="18"/>
          <w:color w:val="auto"/>
        </w:rPr>
      </w:pPr>
    </w:p>
    <w:p>
      <w:pPr>
        <w:ind w:left="1420" w:right="160" w:firstLine="391"/>
        <w:spacing w:after="0" w:line="282" w:lineRule="auto"/>
        <w:tabs>
          <w:tab w:leader="none" w:pos="2023"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shall be in full compliance with the Loan Documents both prior to and subsequent to the transaction;</w:t>
      </w:r>
    </w:p>
    <w:p>
      <w:pPr>
        <w:spacing w:after="0" w:line="53" w:lineRule="exact"/>
        <w:rPr>
          <w:rFonts w:ascii="Times New Roman" w:cs="Times New Roman" w:eastAsia="Times New Roman" w:hAnsi="Times New Roman"/>
          <w:sz w:val="18"/>
          <w:szCs w:val="18"/>
          <w:color w:val="auto"/>
        </w:rPr>
      </w:pPr>
    </w:p>
    <w:p>
      <w:pPr>
        <w:ind w:left="1420" w:firstLine="391"/>
        <w:spacing w:after="0" w:line="282" w:lineRule="auto"/>
        <w:tabs>
          <w:tab w:leader="none" w:pos="2003"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shall not be actively opposed by the board of directors (or similar governing body) of the selling Persons or the Persons whose equity interests are to be acquired;</w:t>
      </w:r>
    </w:p>
    <w:p>
      <w:pPr>
        <w:spacing w:after="0" w:line="51" w:lineRule="exact"/>
        <w:rPr>
          <w:rFonts w:ascii="Times New Roman" w:cs="Times New Roman" w:eastAsia="Times New Roman" w:hAnsi="Times New Roman"/>
          <w:sz w:val="18"/>
          <w:szCs w:val="18"/>
          <w:color w:val="auto"/>
        </w:rPr>
      </w:pPr>
    </w:p>
    <w:p>
      <w:pPr>
        <w:ind w:left="1420" w:right="220" w:firstLine="391"/>
        <w:spacing w:after="0" w:line="284" w:lineRule="auto"/>
        <w:tabs>
          <w:tab w:leader="none" w:pos="1979"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Investment (and to any Indebtedness incurred in connection therewith), the Borrower and its Subsidiaries shall be in compliance with the Financial Covenants;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28" w:name="page129"/>
    <w:bookmarkEnd w:id="128"/>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(ii) other Acquisitions constituting Investments permitted by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Following any Acquisition permitted under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to the extent required under the Loan Documents, the acquired Person shall take the necessary steps to become a Guarantor hereunder and to comply with the Guarantee and Collateral requirements in accordance with the Loan Documents.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7.04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Dissolve, liquidate, merge, amalgamate or consolidate with or into any other Person, except that, if at the time thereof and immediately after giving effect thereto, no Event of Default shall have occurred and be continuing:</w:t>
      </w:r>
    </w:p>
    <w:p>
      <w:pPr>
        <w:spacing w:after="0" w:line="54" w:lineRule="exact"/>
        <w:rPr>
          <w:sz w:val="20"/>
          <w:szCs w:val="20"/>
          <w:color w:val="auto"/>
        </w:rPr>
      </w:pPr>
    </w:p>
    <w:p>
      <w:pPr>
        <w:ind w:left="440" w:right="340" w:firstLine="419"/>
        <w:spacing w:after="0" w:line="312" w:lineRule="auto"/>
        <w:tabs>
          <w:tab w:leader="none" w:pos="110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Domestic Subsidiary may merge, amalgamate or consolidate with or into (i)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shall be the continuing or surviving Person), or (ii) any one or more Guarantors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Guarantor shall be the continuing or surviving Person);</w:t>
      </w:r>
    </w:p>
    <w:p>
      <w:pPr>
        <w:spacing w:after="0" w:line="31" w:lineRule="exact"/>
        <w:rPr>
          <w:rFonts w:ascii="Times New Roman" w:cs="Times New Roman" w:eastAsia="Times New Roman" w:hAnsi="Times New Roman"/>
          <w:sz w:val="17"/>
          <w:szCs w:val="17"/>
          <w:color w:val="auto"/>
        </w:rPr>
      </w:pPr>
    </w:p>
    <w:p>
      <w:pPr>
        <w:ind w:left="440" w:right="340" w:firstLine="419"/>
        <w:spacing w:after="0" w:line="282" w:lineRule="auto"/>
        <w:tabs>
          <w:tab w:leader="none" w:pos="11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Subsidiary (other than a Loan Party) may merge, amalgamate or consolidate with or into any other Domestic Subsidiary (other than a Loan Party);</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10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Subsidiary may merge, amalgamate or consolidate with or into another Foreign Subsidiary or the Borrower or a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merger, amalgamation or consolidation involving the Borrower or a Guarantor, the Borrower or Guarantor shall be the continuing or surviving Person);</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Wholly-Owned Subsidiary may be dissolved or liquidated so long as such Subsidiary is not, at the time, a Loan Party or, if it is a Loan Party at such time, all assets and interests of such Subsidiary, are transferred to another Loan Party on or before the time of its dissolution or liquidation; and</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Acquisitions may be effected in accordance with the provisions of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7.05 </w:t>
      </w: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Make any Disposition or enter into any agreement to make any Disposition, other than in the ordinary course of business, except that:</w:t>
      </w:r>
    </w:p>
    <w:p>
      <w:pPr>
        <w:spacing w:after="0" w:line="54" w:lineRule="exact"/>
        <w:rPr>
          <w:sz w:val="20"/>
          <w:szCs w:val="20"/>
          <w:color w:val="auto"/>
        </w:rPr>
      </w:pPr>
    </w:p>
    <w:p>
      <w:pPr>
        <w:ind w:left="1100" w:hanging="241"/>
        <w:spacing w:after="0"/>
        <w:tabs>
          <w:tab w:leader="none" w:pos="11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Party may sell, lease, transfer or otherwise dispose of any of its assets to any other Loan Party;</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may Dispose of any assets which are immaterial to the business of the Borrower and to the extent such Dispositions are made in the ordinary course;</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0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Domestic Subsidiary (other than a Loan Party) may Dispose of any of its assets to the Borrower or any other Domestic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Disposition to a Loan Party such Disposition shall not be for more than the fair market value of the assets that are the subject of such Disposition;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60"/>
          </w:cols>
          <w:pgMar w:left="440" w:top="270" w:right="499" w:bottom="1440" w:gutter="0" w:footer="0" w:header="0"/>
        </w:sectPr>
      </w:pPr>
    </w:p>
    <w:bookmarkStart w:id="129" w:name="page130"/>
    <w:bookmarkEnd w:id="129"/>
    <w:p>
      <w:pPr>
        <w:ind w:left="440" w:right="220" w:firstLine="419"/>
        <w:spacing w:after="0" w:line="282" w:lineRule="auto"/>
        <w:tabs>
          <w:tab w:leader="none" w:pos="111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Foreign Subsidiary may Dispose of any of its assets to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Disposition shall not be for more than the fair market value of the assets that are the subject of such Disposition;</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08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Subsidiaries may sell, transfer or otherwise dispose of fixed assets in the ordinary course of business for the purpose of replacing such fixed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fixed assets are replaced within one hundred eighty (180) days of such sale or other disposition with other fixed assets that have a fair market value not materially less than the fair market value of the fixed assets sold or otherwise disposed;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Subsidiary may Dispose of any of its assets to any other Foreign Subsidiary;</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Accounts in connection with the compromise, settlement or collection thereof the ordinary course of business, consistent with past practices;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0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not otherwise permitted under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so long as (i) the consideration received for the assets to be so disposed is at least equal to the fair market value of such assets, as reasonably determined by the Board of Directors of the Borrower, and at least 75% of the consideration so received constitutes cash, (ii) the proceeds of such Disposition are applied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(iii) after giving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effect to such Disposition, the Borrower and its Subsidiaries shall be</w:t>
      </w:r>
      <w:r>
        <w:rPr>
          <w:rFonts w:ascii="Times New Roman" w:cs="Times New Roman" w:eastAsia="Times New Roman" w:hAnsi="Times New Roman"/>
          <w:sz w:val="18"/>
          <w:szCs w:val="18"/>
          <w:i w:val="1"/>
          <w:iCs w:val="1"/>
          <w:color w:val="auto"/>
        </w:rPr>
        <w:t xml:space="preserve"> pro forma </w:t>
      </w:r>
      <w:r>
        <w:rPr>
          <w:rFonts w:ascii="Times New Roman" w:cs="Times New Roman" w:eastAsia="Times New Roman" w:hAnsi="Times New Roman"/>
          <w:sz w:val="18"/>
          <w:szCs w:val="18"/>
          <w:color w:val="auto"/>
        </w:rPr>
        <w:t>in compliance with the Financial Covenants and (iv)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of Default is occurring and continuing at the time of such Disposition or results therefrom;</w:t>
      </w:r>
    </w:p>
    <w:p>
      <w:pPr>
        <w:spacing w:after="0" w:line="75"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Receivables in connection with any Qualified Receivables Transaction, provided that Qualified Receivables Transactions may not exceed $30,000,000 at any time outstanding;</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resulting from any casualty or other insured damage to, or any taking under power of eminent domain or by condemnation or similar proceeding of, any property or asset of the Borrower or any Subsidiary;</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permitted by clauses (a)(i) and (a)(ii) of Section 7.03;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Loan Party may enter into any agreement to make a Disposition otherwise permitted under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Loan Party shall transfer (or license on a non-exclusive basis) or otherwise dispose of any Material Intellectual Property to any Subsidiary that is not a Loan Party.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80"/>
          </w:cols>
          <w:pgMar w:left="440" w:top="270" w:right="47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7.06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Make or commit itself to make or declare any Restricted Payment at any time, provided that:</w:t>
      </w:r>
    </w:p>
    <w:p>
      <w:pPr>
        <w:spacing w:after="0" w:line="117" w:lineRule="exact"/>
        <w:rPr>
          <w:sz w:val="20"/>
          <w:szCs w:val="20"/>
          <w:color w:val="auto"/>
        </w:rPr>
      </w:pPr>
    </w:p>
    <w:p>
      <w:pPr>
        <w:ind w:left="440" w:right="80" w:firstLine="419"/>
        <w:spacing w:after="0" w:line="266" w:lineRule="auto"/>
        <w:tabs>
          <w:tab w:leader="none" w:pos="110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may make Capital Distributions to the Borrower, any Subsidiaries of the Borrower that are Guarantors and any other Person that owns a direct Equity Interest in such Subsidiary, ratably according to their respective holdings of the type of Equity Interest in respect of which such Capital Distribution is being made;</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may make non-scheduled prepayments, repurchases or redemptions in respect of Junior Indebtedness and Subordinated Indebtedness (a “</w:t>
      </w:r>
      <w:r>
        <w:rPr>
          <w:rFonts w:ascii="Times New Roman" w:cs="Times New Roman" w:eastAsia="Times New Roman" w:hAnsi="Times New Roman"/>
          <w:sz w:val="18"/>
          <w:szCs w:val="18"/>
          <w:u w:val="single" w:color="auto"/>
          <w:color w:val="auto"/>
        </w:rPr>
        <w:t>Restricted Debt Payment</w:t>
      </w:r>
      <w:r>
        <w:rPr>
          <w:rFonts w:ascii="Times New Roman" w:cs="Times New Roman" w:eastAsia="Times New Roman" w:hAnsi="Times New Roman"/>
          <w:sz w:val="18"/>
          <w:szCs w:val="18"/>
          <w:color w:val="auto"/>
        </w:rPr>
        <w:t>”) so long as such Restricted Debt Payment is made (i) with proceeds of qualified Equity Interests (other than the proceeds of an equity cure) or consideration paid in qualified Equity Interests that are not otherwise applied, (ii) in connection with the Transactions and (iii) in respect of any AHYDO Catch Up Payments;</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0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Subsidiary may make Restricted Payments with the proceeds received from the substantially concurrent issue of new common Equity Interests;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1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declare and pay dividends with respect to its common stock payable solely in additional shares of its common stock, and, with respect to its preferred stock, and except as otherwise set forth herein, payable solely in additional shares of such preferred stock or in shares of its common stock;</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Subsidiaries may make Restricted Payments on the Series D Preferred Stock subject to compliance with a Consolidated Net Leverage Ratio less than or equal to 2.50:1.00;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Restricted Payments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shall not exceed 7.0% of the aggregate amount of proceeds received in respect of the Series D Preferred Stock; and</w:t>
      </w:r>
    </w:p>
    <w:p>
      <w:pPr>
        <w:spacing w:after="0" w:line="6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08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may make Restricted Payments constituting a prepayment of Indebtedness in connection with the Refinancing of such Indebtedness permitted hereunder.</w:t>
      </w:r>
    </w:p>
    <w:p>
      <w:pPr>
        <w:spacing w:after="0" w:line="162"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7.07 </w:t>
      </w:r>
      <w:r>
        <w:rPr>
          <w:rFonts w:ascii="Times New Roman" w:cs="Times New Roman" w:eastAsia="Times New Roman" w:hAnsi="Times New Roman"/>
          <w:sz w:val="18"/>
          <w:szCs w:val="18"/>
          <w:u w:val="single" w:color="auto"/>
          <w:color w:val="auto"/>
        </w:rPr>
        <w:t>Changes in the Nature of Business</w:t>
      </w:r>
      <w:r>
        <w:rPr>
          <w:rFonts w:ascii="Times New Roman" w:cs="Times New Roman" w:eastAsia="Times New Roman" w:hAnsi="Times New Roman"/>
          <w:sz w:val="18"/>
          <w:szCs w:val="18"/>
          <w:color w:val="auto"/>
        </w:rPr>
        <w:t>. Engage in any business if, as a result thereof, the general nature of the business of the Borrower and its Subsidiaries taken as a whole would be substantially changed from the general nature of the business the Borrower and its Subsidiaries are engaged in on the Closing Date.</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Directly or indirectly, enter into or permit to exist any transaction (including, without limitation, the purchase, sale, lease or exchange of any property or the rendering of any service) with any Affiliate (other than a Loan Party) on terms that shall be less favorable to the Borrower or such Subsidiary than those that might be obtained at the time in a transaction with a non-Affiliate;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(1) the payment of customary and reasonable directors’ fees to directors who are not employees of the Borrower or any Subsidiary or an Affiliate, (2) amounts payable pursuant to the consummation of the Transactions on the Closing Date, or (3) the declaring, or the making, of dividends and other distributions in respect of the Series D Preferred Stock.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31" w:name="page132"/>
    <w:bookmarkEnd w:id="131"/>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7.09 </w:t>
      </w:r>
      <w:r>
        <w:rPr>
          <w:rFonts w:ascii="Times New Roman" w:cs="Times New Roman" w:eastAsia="Times New Roman" w:hAnsi="Times New Roman"/>
          <w:sz w:val="18"/>
          <w:szCs w:val="18"/>
          <w:u w:val="single" w:color="auto"/>
          <w:color w:val="auto"/>
        </w:rPr>
        <w:t>Burdensome Agreements</w:t>
      </w:r>
      <w:r>
        <w:rPr>
          <w:rFonts w:ascii="Times New Roman" w:cs="Times New Roman" w:eastAsia="Times New Roman" w:hAnsi="Times New Roman"/>
          <w:sz w:val="18"/>
          <w:szCs w:val="18"/>
          <w:color w:val="auto"/>
        </w:rPr>
        <w:t>. Except as set forth in this Agreement and the other Loan Documents directly or indirectly, create or otherwise cause or suffer to exist or become effective any encumbrance or restriction on the ability of any Subsidiary to (a) make, directly or indirectly, any Capital Distribution to the Borrower, (b) make, directly or indirectly, loans or advances or capital contributions to the Borrower or (c) transfer, directly or indirectly, any of the properties or assets of such Subsidiary to the Borrower; except for such encumbrances or restrictions existing under or by reason of (i) applicable Law, by any Loan Document or by any ABL Loan Document to the extent not prohibited by the ABL Intercreditor Agreement,</w:t>
      </w:r>
    </w:p>
    <w:p>
      <w:pPr>
        <w:spacing w:after="0" w:line="3" w:lineRule="exact"/>
        <w:rPr>
          <w:sz w:val="20"/>
          <w:szCs w:val="20"/>
          <w:color w:val="auto"/>
        </w:rPr>
      </w:pPr>
    </w:p>
    <w:p>
      <w:pPr>
        <w:ind w:left="4" w:right="80" w:hanging="4"/>
        <w:spacing w:after="0" w:line="252" w:lineRule="auto"/>
        <w:tabs>
          <w:tab w:leader="none" w:pos="26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provisions in leases and other contracts restricting the assignment thereof, (iii) customary restrictions in agreements in connection with Qualified Receivables Transactions, consignment agreements, security agreements or mortgages permitted hereunder securing Indebtedness or Financing Lease Obligations permitted hereunder, of a Subsidiary to the extent such restrictions shall only restrict the transfer of the property subject to such security agreement, mortgage or lease, (iv) restrictions and conditions existing on the date hereof identified on Schedule 7.09 (but shall apply to any extension or renewal of, or any amendment or modification expanding the scope of, any such restriction or condition), or (v) customary restrictions and conditions contained in agreements relating to the sale of a Subsidiary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the Subsidiary that is to be sold and such sale is permitted hereunder.</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Directly or indirectly, and whether immediately, incidentally or ultimately:</w:t>
      </w:r>
    </w:p>
    <w:p>
      <w:pPr>
        <w:spacing w:after="0" w:line="117" w:lineRule="exact"/>
        <w:rPr>
          <w:sz w:val="20"/>
          <w:szCs w:val="20"/>
          <w:color w:val="auto"/>
        </w:rPr>
      </w:pPr>
    </w:p>
    <w:p>
      <w:pPr>
        <w:ind w:left="444" w:right="360" w:firstLine="419"/>
        <w:spacing w:after="0" w:line="282" w:lineRule="auto"/>
        <w:tabs>
          <w:tab w:leader="none" w:pos="111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proceeds of any Borrowing, to purchase or carry margin stock (within the meaning of Regulation U of the FRB) or to extend credit to others for the purpose of purchasing or carrying margin stock or to refund indebtedness originally incurred for such purpose;</w:t>
      </w:r>
    </w:p>
    <w:p>
      <w:pPr>
        <w:spacing w:after="0" w:line="53" w:lineRule="exact"/>
        <w:rPr>
          <w:rFonts w:ascii="Times New Roman" w:cs="Times New Roman" w:eastAsia="Times New Roman" w:hAnsi="Times New Roman"/>
          <w:sz w:val="18"/>
          <w:szCs w:val="18"/>
          <w:color w:val="auto"/>
        </w:rPr>
      </w:pPr>
    </w:p>
    <w:p>
      <w:pPr>
        <w:ind w:left="444" w:right="480" w:firstLine="419"/>
        <w:spacing w:after="0" w:line="261" w:lineRule="auto"/>
        <w:tabs>
          <w:tab w:leader="none" w:pos="112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any proceeds of any Borrowing, or lend, contribute or otherwise make available such proceeds to any Subsidiary, joint venture partner or other Person, to fund any activities or business with, involving or for the benefit of any Sanctioned Person or any Designated Jurisdiction, or in any other manner that would constitute or give rise to a violation by any Person (including any Person participating in the transaction, whether as Lender, Administrative Agent or otherwise) of Sanctions; or</w:t>
      </w:r>
    </w:p>
    <w:p>
      <w:pPr>
        <w:spacing w:after="0" w:line="71"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any proceeds of any Borrowing in any manner that would constitute a violation of any applicable Anti-Corruption Laws.</w:t>
      </w:r>
    </w:p>
    <w:p>
      <w:pPr>
        <w:spacing w:after="0" w:line="225"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Amendments to Organization Documents</w:t>
      </w:r>
      <w:r>
        <w:rPr>
          <w:rFonts w:ascii="Times New Roman" w:cs="Times New Roman" w:eastAsia="Times New Roman" w:hAnsi="Times New Roman"/>
          <w:sz w:val="18"/>
          <w:szCs w:val="18"/>
          <w:color w:val="auto"/>
        </w:rPr>
        <w:t>. Amend its Organization Documents to change its name or state, province or other jurisdiction of organization, or otherwise amend its Organization Documents in a manner adverse to the Lenders, without the prior written consent of the Administrative Agent which consent shall not be unreasonably withheld.</w:t>
      </w:r>
    </w:p>
    <w:p>
      <w:pPr>
        <w:spacing w:after="0" w:line="17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Make any change in (a) accounting policies or reporting practices, except as required by GAAP, or (b) fiscal year;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84"/>
          </w:cols>
          <w:pgMar w:left="436" w:top="270" w:right="479" w:bottom="1440" w:gutter="0" w:footer="0" w:header="0"/>
        </w:sectPr>
      </w:pPr>
    </w:p>
    <w:bookmarkStart w:id="132" w:name="page133"/>
    <w:bookmarkEnd w:id="132"/>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7.13 </w:t>
      </w:r>
      <w:r>
        <w:rPr>
          <w:rFonts w:ascii="Times New Roman" w:cs="Times New Roman" w:eastAsia="Times New Roman" w:hAnsi="Times New Roman"/>
          <w:sz w:val="18"/>
          <w:szCs w:val="18"/>
          <w:u w:val="single" w:color="auto"/>
          <w:color w:val="auto"/>
        </w:rPr>
        <w:t>Sanctions; Anti-Corruption Laws</w:t>
      </w:r>
      <w:r>
        <w:rPr>
          <w:rFonts w:ascii="Times New Roman" w:cs="Times New Roman" w:eastAsia="Times New Roman" w:hAnsi="Times New Roman"/>
          <w:sz w:val="18"/>
          <w:szCs w:val="18"/>
          <w:color w:val="auto"/>
        </w:rPr>
        <w:t>. (a) Directly or indirectly, use any proceeds of any Credit Extension, or lend, contribute or otherwise make available such proceeds to any Subsidiary, joint venture partner or other Person to fund any activities of or business with, involving or for the benefit of any Sanctioned Person or any Designated Jurisdiction, or in any other manner that would constitute or give rise to a violation by any Person (including any Person participating in the transaction, whether as Lender, Administrative Agent or otherwise) of Sanctions; or</w:t>
      </w:r>
    </w:p>
    <w:p>
      <w:pPr>
        <w:spacing w:after="0" w:line="72" w:lineRule="exact"/>
        <w:rPr>
          <w:sz w:val="20"/>
          <w:szCs w:val="20"/>
          <w:color w:val="auto"/>
        </w:rPr>
      </w:pPr>
    </w:p>
    <w:p>
      <w:pPr>
        <w:ind w:left="440" w:right="160" w:firstLine="419"/>
        <w:spacing w:after="0" w:line="261"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of 1977 or other applicable Anti-Corruption Laws, or in any other manner that would constitute a violation of any applicable Anti-Corruption Laws.</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For the benefit of the Lenders (and the Administrative Agent on their behalf), permit the Consolidated Net Leverage Ratio of the Borrower and its Subsidiaries as of the last day of any fiscal quarter of the Borrower to exceed the Consolidated Net Leverage Ratio set forth for the applicable fiscal quarter below, which will be tested quarterly on a trailing four (4) fiscal quarter basis for the most recent four fiscal quarter period for which financial statements are required to be delivered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as of the last day of any fiscal quarter of the Borrower (commencing with the first full fiscal quarter of the Borrower following the Closing Date) (the “</w:t>
      </w:r>
      <w:r>
        <w:rPr>
          <w:rFonts w:ascii="Times New Roman" w:cs="Times New Roman" w:eastAsia="Times New Roman" w:hAnsi="Times New Roman"/>
          <w:sz w:val="18"/>
          <w:szCs w:val="18"/>
          <w:u w:val="single" w:color="auto"/>
          <w:color w:val="auto"/>
        </w:rPr>
        <w:t>Consolidated Net Leverage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Ratio Covenant</w:t>
      </w:r>
      <w:r>
        <w:rPr>
          <w:rFonts w:ascii="Times New Roman" w:cs="Times New Roman" w:eastAsia="Times New Roman" w:hAnsi="Times New Roman"/>
          <w:sz w:val="18"/>
          <w:szCs w:val="18"/>
          <w:color w:val="auto"/>
        </w:rPr>
        <w:t>”):</w:t>
      </w:r>
    </w:p>
    <w:p>
      <w:pPr>
        <w:spacing w:after="0" w:line="208" w:lineRule="exact"/>
        <w:rPr>
          <w:sz w:val="20"/>
          <w:szCs w:val="20"/>
          <w:color w:val="auto"/>
        </w:rPr>
      </w:pPr>
    </w:p>
    <w:tbl>
      <w:tblPr>
        <w:tblLayout w:type="fixed"/>
        <w:tblInd w:w="2760" w:type="dxa"/>
        <w:tblCellMar>
          <w:top w:w="0" w:type="dxa"/>
          <w:left w:w="0" w:type="dxa"/>
          <w:bottom w:w="0" w:type="dxa"/>
          <w:right w:w="0" w:type="dxa"/>
        </w:tblCellMar>
      </w:tblPr>
      <w:tr>
        <w:trPr>
          <w:trHeight w:val="187"/>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Quarter</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Net Leverage Ratio</w:t>
            </w:r>
          </w:p>
        </w:tc>
      </w:tr>
      <w:tr>
        <w:trPr>
          <w:trHeight w:val="191"/>
        </w:trPr>
        <w:tc>
          <w:tcPr>
            <w:tcW w:w="20" w:type="dxa"/>
            <w:vAlign w:val="bottom"/>
          </w:tcPr>
          <w:p>
            <w:pPr>
              <w:spacing w:after="0"/>
              <w:rPr>
                <w:sz w:val="16"/>
                <w:szCs w:val="16"/>
                <w:color w:val="auto"/>
              </w:rPr>
            </w:pPr>
          </w:p>
        </w:tc>
        <w:tc>
          <w:tcPr>
            <w:tcW w:w="2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4.50:1.00</w:t>
            </w:r>
          </w:p>
        </w:tc>
      </w:tr>
      <w:tr>
        <w:trPr>
          <w:trHeight w:val="216"/>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4.50:1.00</w:t>
            </w:r>
          </w:p>
        </w:tc>
      </w:tr>
      <w:tr>
        <w:trPr>
          <w:trHeight w:val="216"/>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4.00:1.00</w:t>
            </w:r>
          </w:p>
        </w:tc>
      </w:tr>
      <w:tr>
        <w:trPr>
          <w:trHeight w:val="216"/>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3.75:1.00</w:t>
            </w:r>
          </w:p>
        </w:tc>
      </w:tr>
      <w:tr>
        <w:trPr>
          <w:trHeight w:val="216"/>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3.50:1.00</w:t>
            </w:r>
          </w:p>
        </w:tc>
      </w:tr>
      <w:tr>
        <w:trPr>
          <w:trHeight w:val="216"/>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3.50:1.00</w:t>
            </w:r>
          </w:p>
        </w:tc>
      </w:tr>
      <w:tr>
        <w:trPr>
          <w:trHeight w:val="216"/>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3.25:1.00</w:t>
            </w:r>
          </w:p>
        </w:tc>
      </w:tr>
      <w:tr>
        <w:trPr>
          <w:trHeight w:val="216"/>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3.25:1.00</w:t>
            </w: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3.00:1.00</w:t>
            </w:r>
          </w:p>
        </w:tc>
      </w:tr>
    </w:tbl>
    <w:p>
      <w:pPr>
        <w:spacing w:after="0" w:line="198" w:lineRule="exact"/>
        <w:rPr>
          <w:sz w:val="20"/>
          <w:szCs w:val="20"/>
          <w:color w:val="auto"/>
        </w:rPr>
      </w:pPr>
    </w:p>
    <w:p>
      <w:pPr>
        <w:ind w:left="440" w:right="240" w:firstLine="419"/>
        <w:spacing w:after="0" w:line="276" w:lineRule="auto"/>
        <w:tabs>
          <w:tab w:leader="none" w:pos="1118"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Liquidity</w:t>
      </w:r>
      <w:r>
        <w:rPr>
          <w:rFonts w:ascii="Times New Roman" w:cs="Times New Roman" w:eastAsia="Times New Roman" w:hAnsi="Times New Roman"/>
          <w:sz w:val="17"/>
          <w:szCs w:val="17"/>
          <w:color w:val="auto"/>
        </w:rPr>
        <w:t xml:space="preserve">. (i) Permit Domestic Liquidity as of the last day of any fiscal quarter to be less than $20,000,000;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Junior Capital Condition is met, Domestic Liquidity as of the last day of any fiscal quarter shall not be less than $15,000,000 and (ii) within five</w:t>
      </w:r>
    </w:p>
    <w:p>
      <w:pPr>
        <w:ind w:left="440" w:hanging="4"/>
        <w:spacing w:after="0" w:line="253" w:lineRule="auto"/>
        <w:tabs>
          <w:tab w:leader="none" w:pos="6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last day of each fiscal quarter in which (A) the Consolidated Net Leverage Ratio of the Borrower and its Subsidiaries is equal to or greater than 3:00:1.00 or (B) Domestic Liquidity of the Borrower and its Subsidiaries is equal to or less than $35,000,000, the Borrower shall deliver to the Administrative Agent and each Lender a weekly projected cash flow statement of the Borrower and its Subsidiaries for the succeeding thirteen (13) weeks (clauses (i) and (ii) collectively, the “</w:t>
      </w:r>
      <w:r>
        <w:rPr>
          <w:rFonts w:ascii="Times New Roman" w:cs="Times New Roman" w:eastAsia="Times New Roman" w:hAnsi="Times New Roman"/>
          <w:sz w:val="18"/>
          <w:szCs w:val="18"/>
          <w:u w:val="single" w:color="auto"/>
          <w:color w:val="auto"/>
        </w:rPr>
        <w:t>Minimum Liquidity Covenant</w:t>
      </w:r>
      <w:r>
        <w:rPr>
          <w:rFonts w:ascii="Times New Roman" w:cs="Times New Roman" w:eastAsia="Times New Roman" w:hAnsi="Times New Roman"/>
          <w:sz w:val="18"/>
          <w:szCs w:val="18"/>
          <w:color w:val="auto"/>
        </w:rPr>
        <w:t>”, and together with the Consolidated Net Leverage Ratio Covenant, the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80"/>
          </w:cols>
          <w:pgMar w:left="440" w:top="270" w:right="479" w:bottom="1440" w:gutter="0" w:footer="0" w:header="0"/>
        </w:sectPr>
      </w:pPr>
    </w:p>
    <w:bookmarkStart w:id="133" w:name="page134"/>
    <w:bookmarkEnd w:id="133"/>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7.15 </w:t>
      </w:r>
      <w:r>
        <w:rPr>
          <w:rFonts w:ascii="Times New Roman" w:cs="Times New Roman" w:eastAsia="Times New Roman" w:hAnsi="Times New Roman"/>
          <w:sz w:val="17"/>
          <w:szCs w:val="17"/>
          <w:u w:val="single" w:color="auto"/>
          <w:color w:val="auto"/>
        </w:rPr>
        <w:t>Restrictions Pertaining to Certain Indebtedness</w:t>
      </w:r>
      <w:r>
        <w:rPr>
          <w:rFonts w:ascii="Times New Roman" w:cs="Times New Roman" w:eastAsia="Times New Roman" w:hAnsi="Times New Roman"/>
          <w:sz w:val="17"/>
          <w:szCs w:val="17"/>
          <w:color w:val="auto"/>
        </w:rPr>
        <w:t xml:space="preserve">. Permit any supplement, modification or amendment in any manner of any term or condition of any Material Indebtedness Agreement, any Indebtedness set forth in </w:t>
      </w:r>
      <w:r>
        <w:rPr>
          <w:rFonts w:ascii="Times New Roman" w:cs="Times New Roman" w:eastAsia="Times New Roman" w:hAnsi="Times New Roman"/>
          <w:sz w:val="17"/>
          <w:szCs w:val="17"/>
          <w:u w:val="single" w:color="auto"/>
          <w:color w:val="auto"/>
        </w:rPr>
        <w:t>Schedule 7.02</w:t>
      </w:r>
      <w:r>
        <w:rPr>
          <w:rFonts w:ascii="Times New Roman" w:cs="Times New Roman" w:eastAsia="Times New Roman" w:hAnsi="Times New Roman"/>
          <w:sz w:val="17"/>
          <w:szCs w:val="17"/>
          <w:color w:val="auto"/>
        </w:rPr>
        <w:t xml:space="preserve"> or any Indebtedness that is expressly subordinated in payment to the Obligations, except for any such amendment, modification or waiver that would not be reasonably expected to be materially adverse to the Lenders.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 AND REMEDIES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Any of the following shall constitute an Event of Default:</w:t>
      </w:r>
    </w:p>
    <w:p>
      <w:pPr>
        <w:spacing w:after="0" w:line="117" w:lineRule="exact"/>
        <w:rPr>
          <w:sz w:val="20"/>
          <w:szCs w:val="20"/>
          <w:color w:val="auto"/>
        </w:rPr>
      </w:pPr>
    </w:p>
    <w:p>
      <w:pPr>
        <w:ind w:left="440" w:firstLine="419"/>
        <w:spacing w:after="0" w:line="266" w:lineRule="auto"/>
        <w:tabs>
          <w:tab w:leader="none" w:pos="110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If (a) the interest on any Loan or any Commitment or any other fee or other amount (other than the principal of any Loan) shall not be paid in full when due and payable or within three (3) Business Days thereafter, or (b) the principal of any Loan shall not be paid in full when due and payable;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Covenants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59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Loan Party or Subsidiary thereof shall fail or omit to perform and observe </w:t>
      </w:r>
      <w:r>
        <w:rPr>
          <w:rFonts w:ascii="Times New Roman" w:cs="Times New Roman" w:eastAsia="Times New Roman" w:hAnsi="Times New Roman"/>
          <w:sz w:val="18"/>
          <w:szCs w:val="18"/>
          <w:u w:val="single" w:color="auto"/>
          <w:color w:val="auto"/>
        </w:rPr>
        <w:t>6.03(a)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thereof),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6.17</w:t>
      </w:r>
      <w:r>
        <w:rPr>
          <w:rFonts w:ascii="Times New Roman" w:cs="Times New Roman" w:eastAsia="Times New Roman" w:hAnsi="Times New Roman"/>
          <w:sz w:val="18"/>
          <w:szCs w:val="18"/>
          <w:color w:val="auto"/>
        </w:rPr>
        <w:t xml:space="preserve">, or any Section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(subject to, in the case of a Financial Covenant, the cure right contained in Section 8.04);</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56" w:lineRule="auto"/>
        <w:tabs>
          <w:tab w:leader="none" w:pos="110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 xml:space="preserve">. If any Loan Party or Subsidiary thereof shall fail or omit to perform and observe any covenant, agreement or other provision (other than those referred to in </w:t>
      </w:r>
      <w:r>
        <w:rPr>
          <w:rFonts w:ascii="Times New Roman" w:cs="Times New Roman" w:eastAsia="Times New Roman" w:hAnsi="Times New Roman"/>
          <w:sz w:val="18"/>
          <w:szCs w:val="18"/>
          <w:u w:val="single" w:color="auto"/>
          <w:color w:val="auto"/>
        </w:rPr>
        <w:t>Sections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8.01(b)</w:t>
      </w:r>
      <w:r>
        <w:rPr>
          <w:rFonts w:ascii="Times New Roman" w:cs="Times New Roman" w:eastAsia="Times New Roman" w:hAnsi="Times New Roman"/>
          <w:sz w:val="18"/>
          <w:szCs w:val="18"/>
          <w:color w:val="auto"/>
        </w:rPr>
        <w:t xml:space="preserve"> hereof) contained or referred to in this Agreement or any other Loan Document that is on such Loan Party’s or Subsidiary’s part to be complied with, and that failure or omission shall not have been fully corrected within thirty (30) days after the earlier of (i) any Financial Officer of such Loan Party or Subsidiary, as applicable, becomes aware of the occurrence thereof, or (ii) the giving of written notice thereof to the Borrower by the Administrative Agent or the Required Lenders that the specified failure or omission is to be remedied;</w:t>
      </w:r>
    </w:p>
    <w:p>
      <w:pPr>
        <w:spacing w:after="0" w:line="79"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If any representation, warranty or statement made in or pursuant to this Agreement or any other Loan Document or any other material information furnished by any Loan Party or Subsidiary thereof to the Administrative Agent or the Lenders, or any thereof, or any other holder of any Note, shall be false or erroneous in any material respect (or, if any such representation, warranty or statement is by its terms qualified by concepts of materiality or reference to Material Adverse Effect, such representation, warranty or statement in any respect);</w:t>
      </w:r>
    </w:p>
    <w:p>
      <w:pPr>
        <w:spacing w:after="0" w:line="75" w:lineRule="exact"/>
        <w:rPr>
          <w:rFonts w:ascii="Times New Roman" w:cs="Times New Roman" w:eastAsia="Times New Roman" w:hAnsi="Times New Roman"/>
          <w:sz w:val="18"/>
          <w:szCs w:val="18"/>
          <w:color w:val="auto"/>
        </w:rPr>
      </w:pPr>
    </w:p>
    <w:p>
      <w:pPr>
        <w:ind w:left="440" w:right="380" w:firstLine="419"/>
        <w:spacing w:after="0" w:line="289" w:lineRule="auto"/>
        <w:tabs>
          <w:tab w:leader="none" w:pos="1107"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Cross Default</w:t>
      </w:r>
      <w:r>
        <w:rPr>
          <w:rFonts w:ascii="Times New Roman" w:cs="Times New Roman" w:eastAsia="Times New Roman" w:hAnsi="Times New Roman"/>
          <w:sz w:val="17"/>
          <w:szCs w:val="17"/>
          <w:color w:val="auto"/>
        </w:rPr>
        <w:t>. If any Loan Party or any Subsidiary shall default in (i) the payment of any amount due and owing with respect to any Material Indebtedness Agreement beyond any period of grace provided with respect thereto, (ii) the performance or observance of any other agreement, term or condition contained in any agreement under which such obligation is created, if the effect of such default is to allow</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70" w:right="459" w:bottom="1440" w:gutter="0" w:footer="0" w:header="0"/>
        </w:sectPr>
      </w:pPr>
    </w:p>
    <w:bookmarkStart w:id="134" w:name="page135"/>
    <w:bookmarkEnd w:id="134"/>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acceleration of the maturity of any Indebtedness under any Material Indebtedness Agreement or to permit the holder thereof to cause such Indebtedness to become due prior to its stated maturity or (iii) (1) prior to the date that is 60 days after the expiration of any applicable grace or cure periods set forth in the ABL Credit Agreement or (2) unless the ABL Lenders have affirmatively waived such event of default, termination event or other similar event) events of default, termination events or any other similar event under clause (d) of Article VII of the ABL Credit Agreement with respect to any Loan Party’s failure to perform or observe any term, covenant or agreement contained in Sections 5.02(a), 5.03 (with respect to a Loan Party’s (as defined in the ABL Credit Agreement) existence), 5.08, 5.13, 5.14 or 5.15 or in Article VI, in each case, of the ABL Credit Agreement (unless the ABL Lenders have accelerated payment of the ABL Obligations, terminated the ABL Revolving Credit Commitments and/or foreclosed upon the ABL Priority Collateral as a result of such event or events);</w:t>
      </w:r>
    </w:p>
    <w:p>
      <w:pPr>
        <w:spacing w:after="0" w:line="84" w:lineRule="exact"/>
        <w:rPr>
          <w:sz w:val="20"/>
          <w:szCs w:val="20"/>
          <w:color w:val="auto"/>
        </w:rPr>
      </w:pPr>
    </w:p>
    <w:p>
      <w:pPr>
        <w:ind w:right="60" w:firstLine="419"/>
        <w:spacing w:after="0" w:line="266" w:lineRule="auto"/>
        <w:tabs>
          <w:tab w:leader="none" w:pos="64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Default</w:t>
      </w:r>
      <w:r>
        <w:rPr>
          <w:rFonts w:ascii="Times New Roman" w:cs="Times New Roman" w:eastAsia="Times New Roman" w:hAnsi="Times New Roman"/>
          <w:sz w:val="18"/>
          <w:szCs w:val="18"/>
          <w:color w:val="auto"/>
        </w:rPr>
        <w:t>. The occurrence of one or more ERISA Events that, in the opinion of the Required Lenders, when taken together with all other ERISA Events that have occurred, would, individually or in the aggregate, reasonably be expected to result in a Material Adverse Effect or result in liability of the Borrower and its Subsidiaries in an aggregate amount exceeding $12,500,000 for all periods;</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If any Change in Control shall occur;</w:t>
      </w:r>
    </w:p>
    <w:p>
      <w:pPr>
        <w:spacing w:after="0" w:line="117"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(i) A final judgment or order for the payment of money shall be rendered against any Loan Party or any Subsidiary thereof by a court of competent jurisdiction, that remains unpaid or unstayed and undischarged for a period (during which execution shall not be effectively stayed) of thirty (30) days after the date on which the right to appeal has expired and the aggregate of all such judgments, for all such Loan Parties or Subsidiaries, shall exceed $12,500,000 (to the extent not covered by independent third-party insurance as to which the insurer is rated at least “A” by A.M. Best Company, has been notified of the potential claim and does not dispute coverage) or (ii) any one or more non-monetary final judgments or orders shall be rendered against any Loan Party or any Subsidiary thereof by a court of competent jurisdiction that have, or would reasonably be expected to have, individually or in the aggregate, a Material Adverse Effect and, in either case, (1) enforcement proceedings are commenced by any creditor upon such judgment or order, or (2) there is a period of ten (10) consecutive days during which a stay of enforcement of such judgment, by reason of a pending appeal or otherwise, is not in effect;</w:t>
      </w:r>
    </w:p>
    <w:p>
      <w:pPr>
        <w:spacing w:after="0" w:line="80"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of the Loan Documents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6" w:lineRule="auto"/>
        <w:tabs>
          <w:tab w:leader="none" w:pos="115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pursuant to this Agreement and the other Loan Documents, if any Lien granted in this Agreement or any other Loan Document in favor of the Administrative Agent shall be determined to be (i) void or invalid, or is subordinated or not otherwise given the priority contemplated by this Agreement and the Borrower has (or the appropriate Loan Party has) failed to promptly execute appropriate documents to correct such matters, or (ii) unperfected as to any material amount of Collateral (as determined by the Administrative Agent, in its reasonable discretion) and the Borrower has (or the appropriate Loan Party has) failed to promptly execute appropriate documents to correct such matters;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560"/>
          </w:cols>
          <w:pgMar w:left="880" w:top="270" w:right="459" w:bottom="1440" w:gutter="0" w:footer="0" w:header="0"/>
        </w:sectPr>
      </w:pPr>
    </w:p>
    <w:bookmarkStart w:id="135" w:name="page136"/>
    <w:bookmarkEnd w:id="135"/>
    <w:p>
      <w:pPr>
        <w:ind w:left="540" w:right="80" w:firstLine="408"/>
        <w:spacing w:after="0" w:line="261" w:lineRule="auto"/>
        <w:tabs>
          <w:tab w:leader="none" w:pos="120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The validity, binding effect or enforceability of any Loan Document against any Loan Party shall be contested by any Loan Party; (B) any Loan Party shall deny in writing that it has any or further liability or obligation under any Loan Document; or (C) any Loan Document shall be terminated, invalidated or set aside, or be declared ineffective or inoperative or in any way cease to give or provide to the Administrative Agent or the Lenders the benefits purported to be created thereby;</w:t>
      </w:r>
    </w:p>
    <w:p>
      <w:pPr>
        <w:spacing w:after="0" w:line="71" w:lineRule="exact"/>
        <w:rPr>
          <w:rFonts w:ascii="Times New Roman" w:cs="Times New Roman" w:eastAsia="Times New Roman" w:hAnsi="Times New Roman"/>
          <w:sz w:val="18"/>
          <w:szCs w:val="18"/>
          <w:color w:val="auto"/>
        </w:rPr>
      </w:pPr>
    </w:p>
    <w:p>
      <w:pPr>
        <w:ind w:firstLine="419"/>
        <w:spacing w:after="0" w:line="252" w:lineRule="auto"/>
        <w:tabs>
          <w:tab w:leader="none" w:pos="63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and Solvency</w:t>
      </w:r>
      <w:r>
        <w:rPr>
          <w:rFonts w:ascii="Times New Roman" w:cs="Times New Roman" w:eastAsia="Times New Roman" w:hAnsi="Times New Roman"/>
          <w:sz w:val="18"/>
          <w:szCs w:val="18"/>
          <w:color w:val="auto"/>
        </w:rPr>
        <w:t xml:space="preserve">. If any Loan Party or any Subsidiary thereof (other than an Immaterial Subsidiary) shall (1) except as permitted pursuant to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hereof, discontinue business, (2) generally not pay its debts as such debts become due, (3) make a general assignment for the benefit of creditors, (4) apply for or consent to the appointment of an interim receiver, a receiver, a receiver and manager, an interim examiner, an examiner, an administrator, sequestrator, monitor, a custodian, a trustee, an interim trustee or liquidator of all or a substantial part of its assets or of such Person, (5) be adjudicated a debtor or insolvent or have entered against it an order for relief under any Debtor Relief Law, whether or not foreign, federal, state or provincial, in any applicable jurisdiction, now or hereafter existing, as any of the foregoing may be amended from time to time, or other applicable statute for jurisdictions outside of the United States, as the case may be, (6)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 (60) 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(7)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 such Person, (8) have an administrative receiver, receiver or examiner appointed over the whole or substantially the whole of its assets, or of such Person, (9) take, or omit to take, any action in order thereby to effect any of the foregoing assets, the value of which is less than its liabilities (taking into account prospective and contingent liabilities), or (10) have a moratorium declared in respect of any of its Indebtedness, or any analogous procedure or step is taken in any jurisdiction; or</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580"/>
          </w:cols>
          <w:pgMar w:left="880" w:top="270" w:right="439" w:bottom="1440" w:gutter="0" w:footer="0" w:header="0"/>
        </w:sectPr>
      </w:pPr>
    </w:p>
    <w:bookmarkStart w:id="136" w:name="page137"/>
    <w:bookmarkEnd w:id="136"/>
    <w:p>
      <w:pPr>
        <w:ind w:left="440" w:right="20" w:firstLine="419"/>
        <w:spacing w:after="0" w:line="261" w:lineRule="auto"/>
        <w:tabs>
          <w:tab w:leader="none" w:pos="111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Senior Debt Status</w:t>
      </w:r>
      <w:r>
        <w:rPr>
          <w:rFonts w:ascii="Times New Roman" w:cs="Times New Roman" w:eastAsia="Times New Roman" w:hAnsi="Times New Roman"/>
          <w:sz w:val="18"/>
          <w:szCs w:val="18"/>
          <w:color w:val="auto"/>
        </w:rPr>
        <w:t xml:space="preserve">. The Obligations of each Loan Party under this Agreement and each of the other Loan Documents shall fail to (i)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other material senior Indebtedness of the Loan Parties or (ii) be designated as “Senior Indebtedness,” “Designated Senior Debt” or such similar term under all instruments and documents relating to all Subordinated Indebtedness and all senior unsecured Indebtedness of such Person.</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8.02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 may, with the consent of, the Required Lenders, take any or all of the following actions:</w:t>
      </w:r>
    </w:p>
    <w:p>
      <w:pPr>
        <w:spacing w:after="0" w:line="54" w:lineRule="exact"/>
        <w:rPr>
          <w:sz w:val="20"/>
          <w:szCs w:val="20"/>
          <w:color w:val="auto"/>
        </w:rPr>
      </w:pPr>
    </w:p>
    <w:p>
      <w:pPr>
        <w:ind w:left="440" w:right="740" w:firstLine="419"/>
        <w:spacing w:after="0" w:line="282" w:lineRule="auto"/>
        <w:tabs>
          <w:tab w:leader="none" w:pos="11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to be terminated, whereupon such commitments and obligation shall be terminated;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and the Lenders all rights and remedies available to it and the Lenders under the Loan Documents;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upon the occurrence of an Event of Default described in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the obligation of each Lender to make Loans shall automatically terminate, the unpaid principal amount of all outstanding Loans and all interest and other amounts as aforesaid shall automatically become due and payable.</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8.03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xml:space="preserve">. After the exercise of remedies provided for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after the Loans have automatically become immediately due and payable), any amounts received on account of the Obligations shall, subject to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be applied by the Administrative Agent in the following order:</w:t>
      </w:r>
    </w:p>
    <w:p>
      <w:pPr>
        <w:spacing w:after="0" w:line="68" w:lineRule="exact"/>
        <w:rPr>
          <w:sz w:val="20"/>
          <w:szCs w:val="20"/>
          <w:color w:val="auto"/>
        </w:rPr>
      </w:pPr>
    </w:p>
    <w:p>
      <w:pPr>
        <w:ind w:left="440" w:right="80" w:firstLine="423"/>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reasonable and documented out of pocket fees, charges and disbursements of outside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68" w:lineRule="exact"/>
        <w:rPr>
          <w:sz w:val="20"/>
          <w:szCs w:val="20"/>
          <w:color w:val="auto"/>
        </w:rPr>
      </w:pPr>
    </w:p>
    <w:p>
      <w:pPr>
        <w:ind w:left="440" w:right="200" w:firstLine="423"/>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and interest) payable to the Lenders (including reasonable and documented out of pocket fees, charges and disbursements of counsel to the Lenders) arising under the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w:t>
      </w:r>
      <w:r>
        <w:rPr>
          <w:rFonts w:ascii="Times New Roman" w:cs="Times New Roman" w:eastAsia="Times New Roman" w:hAnsi="Times New Roman"/>
          <w:sz w:val="18"/>
          <w:szCs w:val="18"/>
          <w:u w:val="single" w:color="auto"/>
          <w:color w:val="auto"/>
        </w:rPr>
        <w:t>clause Second</w:t>
      </w:r>
      <w:r>
        <w:rPr>
          <w:rFonts w:ascii="Times New Roman" w:cs="Times New Roman" w:eastAsia="Times New Roman" w:hAnsi="Times New Roman"/>
          <w:sz w:val="18"/>
          <w:szCs w:val="18"/>
          <w:color w:val="auto"/>
        </w:rPr>
        <w:t xml:space="preserve"> payable to them;</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37" w:name="page138"/>
    <w:bookmarkEnd w:id="137"/>
    <w:p>
      <w:pPr>
        <w:jc w:val="cente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w:t>
      </w:r>
      <w:r>
        <w:rPr>
          <w:rFonts w:ascii="Times New Roman" w:cs="Times New Roman" w:eastAsia="Times New Roman" w:hAnsi="Times New Roman"/>
          <w:sz w:val="18"/>
          <w:szCs w:val="18"/>
          <w:color w:val="auto"/>
        </w:rPr>
        <w:t>, to payment of that portion of the Obligations constituting accrued and unpaid interest on the Loans and other Obligations arising</w:t>
      </w:r>
    </w:p>
    <w:p>
      <w:pPr>
        <w:spacing w:after="0" w:line="27"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7"/>
          <w:szCs w:val="17"/>
          <w:color w:val="auto"/>
        </w:rPr>
        <w:t xml:space="preserve">under the Loan Documents, ratably among the Lenders in proportion to the respective amounts described in this </w:t>
      </w:r>
      <w:r>
        <w:rPr>
          <w:rFonts w:ascii="Times New Roman" w:cs="Times New Roman" w:eastAsia="Times New Roman" w:hAnsi="Times New Roman"/>
          <w:sz w:val="17"/>
          <w:szCs w:val="17"/>
          <w:u w:val="single" w:color="auto"/>
          <w:color w:val="auto"/>
        </w:rPr>
        <w:t>clause Third</w:t>
      </w:r>
      <w:r>
        <w:rPr>
          <w:rFonts w:ascii="Times New Roman" w:cs="Times New Roman" w:eastAsia="Times New Roman" w:hAnsi="Times New Roman"/>
          <w:sz w:val="17"/>
          <w:szCs w:val="17"/>
          <w:color w:val="auto"/>
        </w:rPr>
        <w:t xml:space="preserve"> payable to them; and</w:t>
      </w:r>
    </w:p>
    <w:p>
      <w:pPr>
        <w:spacing w:after="0" w:line="110"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Borrower or as otherwise required by Law.</w:t>
      </w:r>
    </w:p>
    <w:p>
      <w:pPr>
        <w:spacing w:after="0" w:line="225" w:lineRule="exact"/>
        <w:rPr>
          <w:sz w:val="20"/>
          <w:szCs w:val="20"/>
          <w:color w:val="auto"/>
        </w:rPr>
      </w:pPr>
    </w:p>
    <w:p>
      <w:pPr>
        <w:ind w:left="4" w:firstLine="440"/>
        <w:spacing w:after="0" w:line="242" w:lineRule="auto"/>
        <w:rPr>
          <w:sz w:val="20"/>
          <w:szCs w:val="20"/>
          <w:color w:val="auto"/>
        </w:rPr>
      </w:pPr>
      <w:r>
        <w:rPr>
          <w:rFonts w:ascii="Times New Roman" w:cs="Times New Roman" w:eastAsia="Times New Roman" w:hAnsi="Times New Roman"/>
          <w:sz w:val="18"/>
          <w:szCs w:val="18"/>
          <w:color w:val="auto"/>
        </w:rPr>
        <w:t xml:space="preserve">8.04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in the event that the Borrower fails (or, but for the operation of this paragraph, would fail) to comply with the requirements of a Financial Covenant, from the last day of the applicable fiscal quarter until the expiration of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subsequent to the date the Compliance Certificate for such fiscal quarter calculating such Financial Covenant is required to be delivered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the Borrower shall have the right to issue Permitted Cure Securities (including for the avoidance of doubt additional shares of Series D Preferred Stock) for cash (the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and upon the receipt by the Borrower of such cash (the “</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xml:space="preserve">”), pursuant to the exercise of the Cure Right, such Financial Covenant shall be recalculated giving effect to a pro forma adjustment by which Consolidated EBITDA shall be increased with respect to such applicable fiscal quarter and any four-quarter period that contains such fiscal quarter, solely for the purpose of measuring such Financial Covenant and not for any other purpose under this Agreement, by an amount equal to the Cure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each four consecutive fiscal quarter period there shall be at least two fiscal quarters in which a Cure Right is not exercised, (ii) a Cure Right shall not be exercised more than five times during the term of this Agreement, (iii)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Cure Amount shall be not be given effect in an amount greater than the amount required for purposes of complying with such Financial Covenant, and</w:t>
      </w:r>
    </w:p>
    <w:p>
      <w:pPr>
        <w:spacing w:after="0" w:line="6" w:lineRule="exact"/>
        <w:rPr>
          <w:sz w:val="20"/>
          <w:szCs w:val="20"/>
          <w:color w:val="auto"/>
        </w:rPr>
      </w:pPr>
    </w:p>
    <w:p>
      <w:pPr>
        <w:ind w:left="304" w:hanging="304"/>
        <w:spacing w:after="0"/>
        <w:tabs>
          <w:tab w:leader="none" w:pos="30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pro forma reduction in Indebtedness with the proceeds of the exercise of the Cure Right for determining compliance with such</w:t>
      </w:r>
    </w:p>
    <w:p>
      <w:pPr>
        <w:spacing w:after="0" w:line="9" w:lineRule="exact"/>
        <w:rPr>
          <w:rFonts w:ascii="Times New Roman" w:cs="Times New Roman" w:eastAsia="Times New Roman" w:hAnsi="Times New Roman"/>
          <w:sz w:val="18"/>
          <w:szCs w:val="18"/>
          <w:color w:val="auto"/>
        </w:rPr>
      </w:pPr>
    </w:p>
    <w:p>
      <w:pPr>
        <w:ind w:left="4"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Covenant for the fiscal quarter in respect of which such Cure Right is exercised (either directly through prepayment or indirectly as a result of the netting of Unrestricted Cash and Cash Equivalents) (other than, to the extent such Cure Amount is actually utilized as a prepayment, such reduction in Indebtedness will be taken into account in the fiscal periods ending after such fiscal quarter). If, after giving effect to the adjustments in this paragraph, the Borrower shall then be in compliance with the requirements of such Financial Covenant, the Borrower shall be deemed to have satisfied the requirements of the Financial Covenants as of the relevant date of determination with the same effect as though there had been no failure to comply therewith at such date, and the applicable breach or Default with respect to such Financial Covenant that would have occurred but for this paragraph shall be deemed cured for the purposes of this Agreement. During the Cure Period set forth in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upon receipt by the Administrative Agent of written notice from the Borrower that it intends to exercise its Cure Right pursuant to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for such period, any resultant Event of Default or potential Event of Default that arises solely as a result of non-compliance with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shall be deemed retroactively to have not occurred, and the Lenders shall not be permitted to accelerate the Loans or any other Obligations held by them and the Administrative Agent and the Lenders shall not be permitted to exercise remedies against the Collateral, in each case to the extent such acceleration or such exercise of remedies is based solely on a failure to comply with the requirements of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for such period, unless and until such Cure Period shall have passed without the Borrower exercising its Cure Right for such fiscal period prior to the expiration of such Cure Period.</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84"/>
          </w:cols>
          <w:pgMar w:left="436" w:top="270" w:right="47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u w:val="single" w:color="auto"/>
          <w:color w:val="auto"/>
        </w:rPr>
        <w:t>Appointment of the Administrative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419"/>
        <w:spacing w:after="0" w:line="254" w:lineRule="auto"/>
        <w:tabs>
          <w:tab w:leader="none" w:pos="110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irrevocably appoints Oaktree Fund Administration, LLC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 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spacing w:after="0" w:line="83" w:lineRule="exact"/>
        <w:rPr>
          <w:rFonts w:ascii="Times New Roman" w:cs="Times New Roman" w:eastAsia="Times New Roman" w:hAnsi="Times New Roman"/>
          <w:sz w:val="18"/>
          <w:szCs w:val="18"/>
          <w:color w:val="auto"/>
        </w:rPr>
      </w:pPr>
    </w:p>
    <w:p>
      <w:pPr>
        <w:ind w:left="440" w:firstLine="419"/>
        <w:spacing w:after="0" w:line="272" w:lineRule="auto"/>
        <w:tabs>
          <w:tab w:leader="none" w:pos="111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also act as the “</w:t>
      </w:r>
      <w:r>
        <w:rPr>
          <w:rFonts w:ascii="Times New Roman" w:cs="Times New Roman" w:eastAsia="Times New Roman" w:hAnsi="Times New Roman"/>
          <w:sz w:val="17"/>
          <w:szCs w:val="17"/>
          <w:u w:val="single" w:color="auto"/>
          <w:color w:val="auto"/>
        </w:rPr>
        <w:t>collateral agent</w:t>
      </w:r>
      <w:r>
        <w:rPr>
          <w:rFonts w:ascii="Times New Roman" w:cs="Times New Roman" w:eastAsia="Times New Roman" w:hAnsi="Times New Roman"/>
          <w:sz w:val="17"/>
          <w:szCs w:val="17"/>
          <w:color w:val="auto"/>
        </w:rPr>
        <w:t xml:space="preserve">”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7"/>
          <w:szCs w:val="17"/>
          <w:u w:val="single" w:color="auto"/>
          <w:color w:val="auto"/>
        </w:rPr>
        <w:t>Section 9.05</w:t>
      </w:r>
      <w:r>
        <w:rPr>
          <w:rFonts w:ascii="Times New Roman" w:cs="Times New Roman" w:eastAsia="Times New Roman" w:hAnsi="Times New Roman"/>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(including </w:t>
      </w:r>
      <w:r>
        <w:rPr>
          <w:rFonts w:ascii="Times New Roman" w:cs="Times New Roman" w:eastAsia="Times New Roman" w:hAnsi="Times New Roman"/>
          <w:sz w:val="17"/>
          <w:szCs w:val="17"/>
          <w:u w:val="single" w:color="auto"/>
          <w:color w:val="auto"/>
        </w:rPr>
        <w:t>Section 10.04(c)</w:t>
      </w:r>
      <w:r>
        <w:rPr>
          <w:rFonts w:ascii="Times New Roman" w:cs="Times New Roman" w:eastAsia="Times New Roman" w:hAnsi="Times New Roman"/>
          <w:sz w:val="17"/>
          <w:szCs w:val="17"/>
          <w:color w:val="auto"/>
        </w:rPr>
        <w:t>, as though such co-agents, sub-agents and attorneys-in-fact were the “collateral agent” under the Loan Documents) as if set forth in full herein with respect thereto.</w:t>
      </w:r>
    </w:p>
    <w:p>
      <w:pPr>
        <w:spacing w:after="0" w:line="17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9.02 </w:t>
      </w:r>
      <w:r>
        <w:rPr>
          <w:rFonts w:ascii="Times New Roman" w:cs="Times New Roman" w:eastAsia="Times New Roman" w:hAnsi="Times New Roman"/>
          <w:sz w:val="18"/>
          <w:szCs w:val="18"/>
          <w:u w:val="single" w:color="auto"/>
          <w:color w:val="auto"/>
        </w:rPr>
        <w:t>Nature of Duties of the Administrative Agent</w:t>
      </w:r>
      <w:r>
        <w:rPr>
          <w:rFonts w:ascii="Times New Roman" w:cs="Times New Roman" w:eastAsia="Times New Roman" w:hAnsi="Times New Roman"/>
          <w:sz w:val="18"/>
          <w:szCs w:val="18"/>
          <w:color w:val="auto"/>
        </w:rPr>
        <w:t xml:space="preserve">. 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39" w:name="page140"/>
    <w:bookmarkEnd w:id="139"/>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may effect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or in the absence of its own gross negligence or willful misconduct. The Administrative Agent shall not be responsible for the negligence or misconduct of any sub-agents or attorneys-in-fact selected by it with reasonable care.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w:t>
      </w:r>
    </w:p>
    <w:p>
      <w:pPr>
        <w:spacing w:after="0" w:line="1" w:lineRule="exact"/>
        <w:rPr>
          <w:sz w:val="20"/>
          <w:szCs w:val="20"/>
          <w:color w:val="auto"/>
        </w:rPr>
      </w:pPr>
    </w:p>
    <w:p>
      <w:pPr>
        <w:jc w:val="both"/>
        <w:ind w:left="4" w:right="20" w:hanging="4"/>
        <w:spacing w:after="0" w:line="255" w:lineRule="auto"/>
        <w:tabs>
          <w:tab w:leader="none" w:pos="25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spacing w:after="0" w:line="186" w:lineRule="exact"/>
        <w:rPr>
          <w:sz w:val="20"/>
          <w:szCs w:val="20"/>
          <w:color w:val="auto"/>
        </w:rPr>
      </w:pPr>
    </w:p>
    <w:p>
      <w:pPr>
        <w:ind w:left="4"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9.03 </w:t>
      </w:r>
      <w:r>
        <w:rPr>
          <w:rFonts w:ascii="Times New Roman" w:cs="Times New Roman" w:eastAsia="Times New Roman" w:hAnsi="Times New Roman"/>
          <w:sz w:val="17"/>
          <w:szCs w:val="17"/>
          <w:u w:val="single" w:color="auto"/>
          <w:color w:val="auto"/>
        </w:rPr>
        <w:t>Lack of Reliance on the Administrative Agent</w:t>
      </w:r>
      <w:r>
        <w:rPr>
          <w:rFonts w:ascii="Times New Roman" w:cs="Times New Roman" w:eastAsia="Times New Roman" w:hAnsi="Times New Roman"/>
          <w:sz w:val="17"/>
          <w:szCs w:val="17"/>
          <w:color w:val="auto"/>
        </w:rPr>
        <w:t>. Each of the Lenders acknowledges that it has, independently and without reliance upon the Administrative Agent or any other Lender and based on such documents and information as it has deemed appropriate, made its own credit analysis and decision to enter into this Agreement. Each of the Lenders also acknowledges that it will, independently and without reliance upon the Administrative Agent or any other Lender and based on such documents and information as it has deemed appropriate, continue to make its own decisions in taking or not taking any action under or based on this Agreement, any related agreement or any document furnished hereunder or thereunder.</w:t>
      </w:r>
    </w:p>
    <w:p>
      <w:pPr>
        <w:spacing w:after="0" w:line="168"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9.04 </w:t>
      </w:r>
      <w:r>
        <w:rPr>
          <w:rFonts w:ascii="Times New Roman" w:cs="Times New Roman" w:eastAsia="Times New Roman" w:hAnsi="Times New Roman"/>
          <w:sz w:val="18"/>
          <w:szCs w:val="18"/>
          <w:u w:val="single" w:color="auto"/>
          <w:color w:val="auto"/>
        </w:rPr>
        <w:t>Certain Rights of the Administrative Agent</w:t>
      </w:r>
      <w:r>
        <w:rPr>
          <w:rFonts w:ascii="Times New Roman" w:cs="Times New Roman" w:eastAsia="Times New Roman" w:hAnsi="Times New Roman"/>
          <w:sz w:val="18"/>
          <w:szCs w:val="18"/>
          <w:color w:val="auto"/>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84"/>
          </w:cols>
          <w:pgMar w:left="436" w:top="270" w:right="479" w:bottom="1440" w:gutter="0" w:footer="0" w:header="0"/>
        </w:sectPr>
      </w:pPr>
    </w:p>
    <w:bookmarkStart w:id="140" w:name="page141"/>
    <w:bookmarkEnd w:id="140"/>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9.05 </w:t>
      </w:r>
      <w:r>
        <w:rPr>
          <w:rFonts w:ascii="Times New Roman" w:cs="Times New Roman" w:eastAsia="Times New Roman" w:hAnsi="Times New Roman"/>
          <w:sz w:val="18"/>
          <w:szCs w:val="18"/>
          <w:u w:val="single" w:color="auto"/>
          <w:color w:val="auto"/>
        </w:rPr>
        <w:t>Reliance by the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9.06 </w:t>
      </w:r>
      <w:r>
        <w:rPr>
          <w:rFonts w:ascii="Times New Roman" w:cs="Times New Roman" w:eastAsia="Times New Roman" w:hAnsi="Times New Roman"/>
          <w:sz w:val="18"/>
          <w:szCs w:val="18"/>
          <w:u w:val="single" w:color="auto"/>
          <w:color w:val="auto"/>
        </w:rPr>
        <w:t>The Administrative Agent in its Individual Capacity</w:t>
      </w:r>
      <w:r>
        <w:rPr>
          <w:rFonts w:ascii="Times New Roman" w:cs="Times New Roman" w:eastAsia="Times New Roman" w:hAnsi="Times New Roman"/>
          <w:sz w:val="18"/>
          <w:szCs w:val="18"/>
          <w:color w:val="auto"/>
        </w:rPr>
        <w:t>. The Person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or any similar terms shall, unless the context clearly otherwise indicates, include the Administrative Agent in its individual capacity. The Person acting as the Administrative Agent and its Affiliates may accept deposits from, lend money to, and generally engage in any kind of business with the Borrower or any Subsidiary or Affiliate of the Borrower as if it were not the Administrative Agent hereunder.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9.07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80" w:firstLine="419"/>
        <w:spacing w:after="0" w:line="256" w:lineRule="auto"/>
        <w:tabs>
          <w:tab w:leader="none" w:pos="11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may resign at any time by giving notice thereof to the Lenders and the Borrower. Upon any such resignation, the Required Lenders shall have the right to appoint a successor Administrative Agent, subject to approval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that shall be a commercial bank organized under the laws of the United States or any state thereof or a bank that maintains an office in the United States and has a combined capital and surplus of at least $500,000,000.</w:t>
      </w:r>
    </w:p>
    <w:p>
      <w:pPr>
        <w:spacing w:after="0" w:line="79" w:lineRule="exact"/>
        <w:rPr>
          <w:rFonts w:ascii="Times New Roman" w:cs="Times New Roman" w:eastAsia="Times New Roman" w:hAnsi="Times New Roman"/>
          <w:sz w:val="18"/>
          <w:szCs w:val="18"/>
          <w:color w:val="auto"/>
        </w:rPr>
      </w:pPr>
    </w:p>
    <w:p>
      <w:pPr>
        <w:ind w:left="440" w:right="580" w:firstLine="419"/>
        <w:spacing w:after="0" w:line="266" w:lineRule="auto"/>
        <w:tabs>
          <w:tab w:leader="none" w:pos="11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acceptance of its appointment as the Administrative Agent hereunder by a successor, such successor Administrative Agent shall thereupon succeed to and become vested with all the rights, powers, privileges and duties of the retiring Administrative Agent, and the retiring or removed Administrative Agent shall be discharged from its duties and obligations under this Agreement and the other Loan Documents. If, within forty five (45) days after written notice is given of the retiring or removed Administrative Agent shall be discharged from its duties and obligations under this Agreement Administrative Agent’s resignation or the removal of the Administrative Agent under this Section, no successor Administrative Agent shall have been appointed and shall have accepted such appointment, then on such 45th day (i) the retiring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20"/>
          </w:cols>
          <w:pgMar w:left="440" w:top="270" w:right="439" w:bottom="1440" w:gutter="0" w:footer="0" w:header="0"/>
        </w:sectPr>
      </w:pPr>
    </w:p>
    <w:bookmarkStart w:id="141" w:name="page142"/>
    <w:bookmarkEnd w:id="141"/>
    <w:p>
      <w:pPr>
        <w:ind w:left="44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removed Administrative Agent shall be discharged from its duties and obligations under this Agreement Administrative Agent’s resignation shall become effective, (ii) the retiring or removed Administrative Agent shall be discharged from its duties and obligations under this Agreement Administrative Agent shall thereupon be discharged from its duties and obligations under the Loan Documents and (iii) the Required Lenders shall thereafter perform all duties of the retiring or removed Administrative Agent shall be discharged from its duties and obligations under this Agreement Administrative Agent under the Loan Documents until such time as the Required Lenders appoint a successor Administrative Agent as provided above. After any retiring Administrative Agent’s resignation hereunder, the provisions of this Article shall continue in effect for the benefit of such retiring or removed Administrative Agent and its representatives and agents in respect of any actions taken or not taken by any of them while it was serving as the Administrative Agent.</w:t>
      </w:r>
    </w:p>
    <w:p>
      <w:pPr>
        <w:spacing w:after="0" w:line="19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9.08 </w:t>
      </w:r>
      <w:r>
        <w:rPr>
          <w:rFonts w:ascii="Times New Roman" w:cs="Times New Roman" w:eastAsia="Times New Roman" w:hAnsi="Times New Roman"/>
          <w:sz w:val="18"/>
          <w:szCs w:val="18"/>
          <w:u w:val="single" w:color="auto"/>
          <w:color w:val="auto"/>
        </w:rPr>
        <w:t>Withholding Tax</w:t>
      </w:r>
      <w:r>
        <w:rPr>
          <w:rFonts w:ascii="Times New Roman" w:cs="Times New Roman" w:eastAsia="Times New Roman" w:hAnsi="Times New Roman"/>
          <w:sz w:val="18"/>
          <w:szCs w:val="18"/>
          <w:color w:val="auto"/>
        </w:rPr>
        <w:t xml:space="preserve">. In addition to and without limiting the application of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to the extent required by any applicable law, the Administrative Agent may withhold from any amounts paid to or for the account of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9.09 </w:t>
      </w:r>
      <w:r>
        <w:rPr>
          <w:rFonts w:ascii="Times New Roman" w:cs="Times New Roman" w:eastAsia="Times New Roman" w:hAnsi="Times New Roman"/>
          <w:sz w:val="18"/>
          <w:szCs w:val="18"/>
          <w:u w:val="single" w:color="auto"/>
          <w:color w:val="auto"/>
        </w:rPr>
        <w:t>The Administrative Agent May File Proofs of Claim; Credit Bidding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61" w:lineRule="auto"/>
        <w:tabs>
          <w:tab w:leader="none" w:pos="110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71" w:lineRule="exact"/>
        <w:rPr>
          <w:rFonts w:ascii="Times New Roman" w:cs="Times New Roman" w:eastAsia="Times New Roman" w:hAnsi="Times New Roman"/>
          <w:sz w:val="18"/>
          <w:szCs w:val="18"/>
          <w:color w:val="auto"/>
        </w:rPr>
      </w:pPr>
    </w:p>
    <w:p>
      <w:pPr>
        <w:ind w:left="980" w:right="40" w:firstLine="408"/>
        <w:spacing w:after="0" w:line="258" w:lineRule="auto"/>
        <w:tabs>
          <w:tab w:leader="none" w:pos="159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its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allowed in such judicial proceeding;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20"/>
          </w:cols>
          <w:pgMar w:left="440" w:top="270" w:right="439" w:bottom="1440" w:gutter="0" w:footer="0" w:header="0"/>
        </w:sectPr>
      </w:pPr>
    </w:p>
    <w:bookmarkStart w:id="142" w:name="page143"/>
    <w:bookmarkEnd w:id="142"/>
    <w:p>
      <w:pPr>
        <w:ind w:left="1664" w:hanging="272"/>
        <w:spacing w:after="0"/>
        <w:tabs>
          <w:tab w:leader="none" w:pos="166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collect and receive any monies or other property payable or deliverable on any such claims and to distribute the same.</w:t>
      </w:r>
    </w:p>
    <w:p>
      <w:pPr>
        <w:spacing w:after="0" w:line="117" w:lineRule="exact"/>
        <w:rPr>
          <w:rFonts w:ascii="Times New Roman" w:cs="Times New Roman" w:eastAsia="Times New Roman" w:hAnsi="Times New Roman"/>
          <w:sz w:val="18"/>
          <w:szCs w:val="18"/>
          <w:color w:val="auto"/>
        </w:rPr>
      </w:pPr>
    </w:p>
    <w:p>
      <w:pPr>
        <w:ind w:left="444" w:right="100" w:firstLine="419"/>
        <w:spacing w:after="0" w:line="258" w:lineRule="auto"/>
        <w:tabs>
          <w:tab w:leader="none" w:pos="112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76"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spacing w:after="0" w:line="2" w:lineRule="exact"/>
        <w:rPr>
          <w:sz w:val="20"/>
          <w:szCs w:val="20"/>
          <w:color w:val="auto"/>
        </w:rPr>
      </w:pPr>
    </w:p>
    <w:p>
      <w:pPr>
        <w:ind w:left="4" w:right="60" w:hanging="4"/>
        <w:spacing w:after="0" w:line="250" w:lineRule="auto"/>
        <w:tabs>
          <w:tab w:leader="none" w:pos="24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clauses</w:t>
      </w:r>
    </w:p>
    <w:p>
      <w:pPr>
        <w:spacing w:after="0" w:line="4" w:lineRule="exact"/>
        <w:rPr>
          <w:rFonts w:ascii="Times New Roman" w:cs="Times New Roman" w:eastAsia="Times New Roman" w:hAnsi="Times New Roman"/>
          <w:sz w:val="18"/>
          <w:szCs w:val="18"/>
          <w:color w:val="auto"/>
        </w:rPr>
      </w:pPr>
    </w:p>
    <w:p>
      <w:pPr>
        <w:ind w:left="4" w:right="100" w:hanging="4"/>
        <w:spacing w:after="0" w:line="273" w:lineRule="auto"/>
        <w:tabs>
          <w:tab w:leader="none" w:pos="249" w:val="left"/>
        </w:tabs>
        <w:numPr>
          <w:ilvl w:val="0"/>
          <w:numId w:val="157"/>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through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 xml:space="preserve"> of this Agreement, (iii) the Administrative Agent shall be authorized to assign the relevant Obligations to any such acquisition vehicle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by the Lenders, as a result of which each of the Lenders shall be deemed to have received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w:t>
      </w:r>
    </w:p>
    <w:p>
      <w:pPr>
        <w:spacing w:after="0" w:line="105"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24"/>
          </w:cols>
          <w:pgMar w:left="436" w:top="270" w:right="539" w:bottom="1440" w:gutter="0" w:footer="0" w:header="0"/>
        </w:sectPr>
      </w:pPr>
    </w:p>
    <w:bookmarkStart w:id="143" w:name="page144"/>
    <w:bookmarkEnd w:id="14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Authorization to Execute Other Loan Documents</w:t>
      </w:r>
      <w:r>
        <w:rPr>
          <w:rFonts w:ascii="Times New Roman" w:cs="Times New Roman" w:eastAsia="Times New Roman" w:hAnsi="Times New Roman"/>
          <w:sz w:val="18"/>
          <w:szCs w:val="18"/>
          <w:color w:val="auto"/>
        </w:rPr>
        <w:t>. Each Lender hereby authorizes the Administrative Agent to execute on behalf of all Lenders all Loan Documents (including, without limitation, the Collateral Documents, any subordination agreements and any intercreditor agreements) other than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 The Lenders irrevocably authorize the Administrative Agent, at its option and in its discretion:</w:t>
      </w:r>
    </w:p>
    <w:p>
      <w:pPr>
        <w:spacing w:after="0" w:line="117" w:lineRule="exact"/>
        <w:rPr>
          <w:sz w:val="20"/>
          <w:szCs w:val="20"/>
          <w:color w:val="auto"/>
        </w:rPr>
      </w:pPr>
    </w:p>
    <w:p>
      <w:pPr>
        <w:ind w:left="440" w:firstLine="419"/>
        <w:spacing w:after="0" w:line="256" w:lineRule="auto"/>
        <w:tabs>
          <w:tab w:leader="none" w:pos="110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Lien on any property granted to or held by the Administrative Agent under any Loan Document (i) upon termination of the Aggregate Commitments and payment in full of all Obligations (other than contingent indemnification obligations), (ii) that is sold or otherwise disposed of or to be sold or otherwise disposed of as part of or in connection with any sale or other disposition permitted hereunder or under any other Loan Document to a Person that is not a Loan Party, (iii) that constitutes Excluded Assets, (iv) if approved, authorized or ratified in writing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(v) if the property subject to such Lien is owned by a Guarantor, upon the release of such Guarantor from its obligations under the Guaranty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w:t>
      </w:r>
    </w:p>
    <w:p>
      <w:pPr>
        <w:spacing w:after="0" w:line="79"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any Loan Party from its obligations under the applicable Collateral Documents if such Person ceases to be a Subsidiary as a result of a transaction permitted under the Loan Documents;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0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Guarantor from its obligations under the Guaranty if such Person ceases to be a Subsidiary or as a result of a transaction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release shall occur if such Guarantor continues to be a guarantor in respect of any Indebtedness of the Borrower or any of its Subsidiaries.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144" w:name="page145"/>
    <w:bookmarkEnd w:id="144"/>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will promptly upon the request of the Borrower (and each Lender irrevocably authorizes the Administrative Agent to),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Guaranty and the applicable Collateral Documents, in each case in accordance with the terms of the Loan Documents and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Right to Realize on Collateral and Enforce Guarantee</w:t>
      </w:r>
      <w:r>
        <w:rPr>
          <w:rFonts w:ascii="Times New Roman" w:cs="Times New Roman" w:eastAsia="Times New Roman" w:hAnsi="Times New Roman"/>
          <w:sz w:val="18"/>
          <w:szCs w:val="18"/>
          <w:color w:val="auto"/>
        </w:rPr>
        <w:t>. Anything contained in any of the Loan Documents to the contrary notwithstanding,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waiver or consent shall:</w:t>
      </w:r>
    </w:p>
    <w:p>
      <w:pPr>
        <w:spacing w:after="0" w:line="72" w:lineRule="exact"/>
        <w:rPr>
          <w:sz w:val="20"/>
          <w:szCs w:val="20"/>
          <w:color w:val="auto"/>
        </w:rPr>
      </w:pPr>
    </w:p>
    <w:p>
      <w:pPr>
        <w:ind w:left="440" w:right="20" w:firstLine="419"/>
        <w:spacing w:after="0" w:line="282" w:lineRule="auto"/>
        <w:tabs>
          <w:tab w:leader="none" w:pos="110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initial Credit Extension, waive any condition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4.01(c)(i)</w:t>
      </w:r>
      <w:r>
        <w:rPr>
          <w:rFonts w:ascii="Times New Roman" w:cs="Times New Roman" w:eastAsia="Times New Roman" w:hAnsi="Times New Roman"/>
          <w:sz w:val="18"/>
          <w:szCs w:val="18"/>
          <w:color w:val="auto"/>
        </w:rPr>
        <w:t>) without the written consent of each Lender;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70" w:right="459" w:bottom="1440" w:gutter="0" w:footer="0" w:header="0"/>
        </w:sectPr>
      </w:pPr>
    </w:p>
    <w:bookmarkStart w:id="145" w:name="page146"/>
    <w:bookmarkEnd w:id="145"/>
    <w:p>
      <w:pPr>
        <w:ind w:right="460" w:firstLine="419"/>
        <w:spacing w:after="0" w:line="282" w:lineRule="auto"/>
        <w:tabs>
          <w:tab w:leader="none" w:pos="66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without the written consent of such Lender;</w:t>
      </w:r>
    </w:p>
    <w:p>
      <w:pPr>
        <w:spacing w:after="0" w:line="53" w:lineRule="exact"/>
        <w:rPr>
          <w:rFonts w:ascii="Times New Roman" w:cs="Times New Roman" w:eastAsia="Times New Roman" w:hAnsi="Times New Roman"/>
          <w:sz w:val="18"/>
          <w:szCs w:val="18"/>
          <w:color w:val="auto"/>
        </w:rPr>
      </w:pPr>
    </w:p>
    <w:p>
      <w:pPr>
        <w:ind w:right="160" w:firstLine="419"/>
        <w:spacing w:after="0" w:line="266" w:lineRule="auto"/>
        <w:tabs>
          <w:tab w:leader="none" w:pos="6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such Lender entitled to such payment;</w:t>
      </w:r>
    </w:p>
    <w:p>
      <w:pPr>
        <w:spacing w:after="0" w:line="67" w:lineRule="exact"/>
        <w:rPr>
          <w:rFonts w:ascii="Times New Roman" w:cs="Times New Roman" w:eastAsia="Times New Roman" w:hAnsi="Times New Roman"/>
          <w:sz w:val="18"/>
          <w:szCs w:val="18"/>
          <w:color w:val="auto"/>
        </w:rPr>
      </w:pPr>
    </w:p>
    <w:p>
      <w:pPr>
        <w:ind w:right="140" w:firstLine="419"/>
        <w:spacing w:after="0" w:line="261" w:lineRule="auto"/>
        <w:tabs>
          <w:tab w:leader="none" w:pos="66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(subject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second proviso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(i) to amend the definition of “Default Rate” and (ii) to waive any obligation of the Borrower to pay interest on the Loans at the Default Rate;</w:t>
      </w:r>
    </w:p>
    <w:p>
      <w:pPr>
        <w:spacing w:after="0" w:line="69" w:lineRule="exact"/>
        <w:rPr>
          <w:rFonts w:ascii="Times New Roman" w:cs="Times New Roman" w:eastAsia="Times New Roman" w:hAnsi="Times New Roman"/>
          <w:sz w:val="18"/>
          <w:szCs w:val="18"/>
          <w:color w:val="auto"/>
        </w:rPr>
      </w:pPr>
    </w:p>
    <w:p>
      <w:pPr>
        <w:ind w:right="260" w:firstLine="419"/>
        <w:spacing w:after="0" w:line="261" w:lineRule="auto"/>
        <w:tabs>
          <w:tab w:leader="none" w:pos="6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(i)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 manner that would alter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sharing of payments required thereby without the written consent of each Lender directly affected thereby or (ii) the order of application of any prepayment of Loans from the application thereof set forth in the applicable provisions of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in any manner that materially and adversely affects the Lenders without the written consent of the Required Lenders;</w:t>
      </w:r>
    </w:p>
    <w:p>
      <w:pPr>
        <w:spacing w:after="0" w:line="73" w:lineRule="exact"/>
        <w:rPr>
          <w:rFonts w:ascii="Times New Roman" w:cs="Times New Roman" w:eastAsia="Times New Roman" w:hAnsi="Times New Roman"/>
          <w:sz w:val="18"/>
          <w:szCs w:val="18"/>
          <w:color w:val="auto"/>
        </w:rPr>
      </w:pPr>
    </w:p>
    <w:p>
      <w:pPr>
        <w:jc w:val="both"/>
        <w:ind w:right="100" w:firstLine="419"/>
        <w:spacing w:after="0" w:line="261" w:lineRule="auto"/>
        <w:tabs>
          <w:tab w:leader="none" w:pos="6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provision of this Section or reduce the percentages specified in (or alter the method of calculation thereof) the definition of any of “Required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71" w:lineRule="exact"/>
        <w:rPr>
          <w:rFonts w:ascii="Times New Roman" w:cs="Times New Roman" w:eastAsia="Times New Roman" w:hAnsi="Times New Roman"/>
          <w:sz w:val="18"/>
          <w:szCs w:val="18"/>
          <w:color w:val="auto"/>
        </w:rPr>
      </w:pPr>
    </w:p>
    <w:p>
      <w:pPr>
        <w:ind w:right="320" w:firstLine="419"/>
        <w:spacing w:after="0" w:line="282" w:lineRule="auto"/>
        <w:tabs>
          <w:tab w:leader="none" w:pos="6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9.11, release all or substantially all of the Collateral in any transaction or series of related transactions, without the written consent of each Lender;</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63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which case such release may be made by the Administrative Agent acting alone);</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3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the Obligations in right of payment or subordinate the Liens on the Collateral, in each case, to any other Indebtedness or any Lien securing any other Indebtedness, without the written consent of each Lender; or</w:t>
      </w:r>
    </w:p>
    <w:p>
      <w:pPr>
        <w:spacing w:after="0" w:line="53" w:lineRule="exact"/>
        <w:rPr>
          <w:rFonts w:ascii="Times New Roman" w:cs="Times New Roman" w:eastAsia="Times New Roman" w:hAnsi="Times New Roman"/>
          <w:sz w:val="18"/>
          <w:szCs w:val="18"/>
          <w:color w:val="auto"/>
        </w:rPr>
      </w:pPr>
    </w:p>
    <w:p>
      <w:pPr>
        <w:ind w:right="220" w:firstLine="419"/>
        <w:spacing w:after="0" w:line="282" w:lineRule="auto"/>
        <w:tabs>
          <w:tab w:leader="none" w:pos="6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any greater restriction on the ability of any Lender under the Term Facility to assign any of its rights or obligations hereunder without the written consent of the Required Lenders;</w:t>
      </w:r>
    </w:p>
    <w:p>
      <w:pPr>
        <w:spacing w:after="0" w:line="9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480"/>
          </w:cols>
          <w:pgMar w:left="880" w:top="270" w:right="539" w:bottom="1440" w:gutter="0" w:footer="0" w:header="0"/>
        </w:sectPr>
      </w:pPr>
    </w:p>
    <w:bookmarkStart w:id="146" w:name="page147"/>
    <w:bookmarkEnd w:id="14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no amendment, waiver or consent shall, unless in writing and signed by the Administrative Agent in addition to the Lenders required above, affect the rights or duties of the Administrative Agent under this Agreement or any other Loan Document and (ii) the Fee Letter may be amended, or rights or privileges thereunder waived, in a writing executed only by the parties thereto.</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no Defaulting Lender shall have any right to approve or disapprove any amendment, waiver or consent hereunder (and any amendment, waiver or consent that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7"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 provision herein to the contrary, this Agreement may be amended to extend the Maturity Date of the Term Facility with respect to Lenders that agree to such extension with respect to their Term Loans with the written consent of each such approving Lender, the Administrative Agent and the Borrower (and no other Lender) and, in connection therewith and pursuant to a written offer from the Borrower to extend such Maturity Date may provide for different rates of interest and fees under the Term Facility with respect to the portion thereof the with a Maturity Date so extended and may provide for other covenants and terms that apply solely to any period after the latest stated maturity date (including, without limitation, the Maturity Date) existing on the effective date of such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such case, (x) no Lender shall be obligated to participate in any such extension and (y) any such proposed extension of the Maturity Date with respect to the Term Facility shall have been offered to each Lender with Loans or Commitments under the Term Facility proposed to be extended, and if the consents of such Lenders exceed the portion of Commitments and Loans the Borrower wishes to extend, such consents shall be accepted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among the applicable consenting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offer may, at the Borrower’s option, be made to the Lenders in respect of any tranche or tranches of Term Loans without being made to any other tranche of Term Loans, as the case may be. In connection with any extensions effected pursuant to this paragraph, the Loan Parties shall take any actions reasonably required by the Administrative Agent to ensure and/or demonstrate that the Lien and security interests granted by the Collateral Documents continue to be perfected under the UCC or otherwise after giving effect to such extension (including any actions requested in connection with any existing Mortgages or any title policies related thereto).</w:t>
      </w:r>
    </w:p>
    <w:p>
      <w:pPr>
        <w:spacing w:after="0" w:line="197"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(x) Collateral Documents (including any additional Collateral Documents executed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after the Closing Date) and related documents executed by the Loan Parties in connection with this Agreement may be in a form reasonably determined by the Administrative Agent and may be amended, supplemented and waived with the consent of the Administrative Agent and the Borrower without the need to obtain the consent of any other Person if such amendment, supplement or waiver is delivered in order (i) to comply with local Law or advice of local counsel, (ii) to cure ambiguities, omissions, mistakes or defects or (iii) to cause such Collateral Document or other document to be consistent with this Agreement and the other Loan Documents and (y) if following the Closing Date, the Administrative Agent and the Borrower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80"/>
          </w:cols>
          <w:pgMar w:left="440" w:top="270" w:right="479" w:bottom="1440" w:gutter="0" w:footer="0" w:header="0"/>
        </w:sectPr>
      </w:pPr>
    </w:p>
    <w:bookmarkStart w:id="147" w:name="page148"/>
    <w:bookmarkEnd w:id="147"/>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have jointly identified an ambiguity, inconsistency, obvious error or any error or omission of a technical or immaterial nature, in each case, in any provision of the Loan Documents, then 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10.02 </w:t>
      </w:r>
      <w:r>
        <w:rPr>
          <w:rFonts w:ascii="Times New Roman" w:cs="Times New Roman" w:eastAsia="Times New Roman" w:hAnsi="Times New Roman"/>
          <w:sz w:val="18"/>
          <w:szCs w:val="18"/>
          <w:u w:val="single" w:color="auto"/>
          <w:color w:val="auto"/>
        </w:rPr>
        <w:t>Notices; Effectiveness; Electronic Communications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6" w:lineRule="auto"/>
        <w:tabs>
          <w:tab w:leader="none" w:pos="110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 if to the Borrower or the Administrative Agent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0" w:right="40" w:firstLine="419"/>
        <w:spacing w:after="0" w:line="256" w:lineRule="auto"/>
        <w:tabs>
          <w:tab w:leader="none" w:pos="111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79"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80"/>
          </w:cols>
          <w:pgMar w:left="440" w:top="270" w:right="479" w:bottom="1440" w:gutter="0" w:footer="0" w:header="0"/>
        </w:sectPr>
      </w:pPr>
    </w:p>
    <w:bookmarkStart w:id="148" w:name="page149"/>
    <w:bookmarkEnd w:id="148"/>
    <w:p>
      <w:pPr>
        <w:ind w:left="1100" w:hanging="241"/>
        <w:spacing w:after="0"/>
        <w:tabs>
          <w:tab w:leader="none" w:pos="11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9" w:lineRule="auto"/>
        <w:tabs>
          <w:tab w:leader="none" w:pos="111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Address, Etc</w:t>
      </w:r>
      <w:r>
        <w:rPr>
          <w:rFonts w:ascii="Times New Roman" w:cs="Times New Roman" w:eastAsia="Times New Roman" w:hAnsi="Times New Roman"/>
          <w:sz w:val="17"/>
          <w:szCs w:val="17"/>
          <w:color w:val="auto"/>
        </w:rPr>
        <w:t>. Each of the Borrower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w:t>
      </w:r>
    </w:p>
    <w:p>
      <w:pPr>
        <w:spacing w:after="0" w:line="2"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wire instructions for such Lender.</w:t>
      </w:r>
    </w:p>
    <w:p>
      <w:pPr>
        <w:spacing w:after="0" w:line="98" w:lineRule="exact"/>
        <w:rPr>
          <w:rFonts w:ascii="Times New Roman" w:cs="Times New Roman" w:eastAsia="Times New Roman" w:hAnsi="Times New Roman"/>
          <w:sz w:val="18"/>
          <w:szCs w:val="18"/>
          <w:color w:val="auto"/>
        </w:rPr>
      </w:pPr>
    </w:p>
    <w:p>
      <w:pPr>
        <w:ind w:left="440" w:right="200" w:firstLine="419"/>
        <w:spacing w:after="0" w:line="272" w:lineRule="auto"/>
        <w:tabs>
          <w:tab w:leader="none" w:pos="1107"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by Administrative Agent and Lenders</w:t>
      </w:r>
      <w:r>
        <w:rPr>
          <w:rFonts w:ascii="Times New Roman" w:cs="Times New Roman" w:eastAsia="Times New Roman" w:hAnsi="Times New Roman"/>
          <w:sz w:val="17"/>
          <w:szCs w:val="17"/>
          <w:color w:val="auto"/>
        </w:rPr>
        <w:t>. The Administrative Agent and the Lenders shall be entitled to rely and act upon any notices (including telephonic or electronic Committed Loan Notices) purportedly given by or on behalf of the Borrower even if (i) such notices were not made in a manner specified herein, were incomplete or were not preceded or followed by any other form of notice specified herein, or</w:t>
      </w:r>
    </w:p>
    <w:p>
      <w:pPr>
        <w:spacing w:after="0" w:line="1" w:lineRule="exact"/>
        <w:rPr>
          <w:rFonts w:ascii="Times New Roman" w:cs="Times New Roman" w:eastAsia="Times New Roman" w:hAnsi="Times New Roman"/>
          <w:sz w:val="17"/>
          <w:szCs w:val="17"/>
          <w:color w:val="auto"/>
        </w:rPr>
      </w:pPr>
    </w:p>
    <w:p>
      <w:pPr>
        <w:ind w:left="440" w:right="120" w:hanging="4"/>
        <w:spacing w:after="0" w:line="252" w:lineRule="auto"/>
        <w:tabs>
          <w:tab w:leader="none" w:pos="70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thereof, as understood by the recipient, varied from any confirmation thereof. The Borrower shall indemnify the Administrative Agent, each Lender and the Related Parties of each of them from all reasonable and documented out of pocket losses, costs, expenses and liabilities resulting from the reliance by such Person on each notice purportedly given by or on behalf of the Borrower, unless such losses, costs, expenses or liabilities are the result of the gross negligence or willful misconduct of the Administrative Agent or the Lenders. All telephonic notices to and other telephonic communications with the Administrative Agent may be recorded by the Administrative Agent, and each of the parties hereto hereby consents to such recording.</w:t>
      </w:r>
    </w:p>
    <w:p>
      <w:pPr>
        <w:spacing w:after="0" w:line="190"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10.03 </w:t>
      </w:r>
      <w:r>
        <w:rPr>
          <w:rFonts w:ascii="Times New Roman" w:cs="Times New Roman" w:eastAsia="Times New Roman" w:hAnsi="Times New Roman"/>
          <w:sz w:val="18"/>
          <w:szCs w:val="18"/>
          <w:u w:val="single" w:color="auto"/>
          <w:color w:val="auto"/>
        </w:rPr>
        <w:t>No Waiver; Cumulative Remedies; Enforcement</w:t>
      </w:r>
      <w:r>
        <w:rPr>
          <w:rFonts w:ascii="Times New Roman" w:cs="Times New Roman" w:eastAsia="Times New Roman" w:hAnsi="Times New Roman"/>
          <w:sz w:val="18"/>
          <w:szCs w:val="18"/>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prohibit (a) the Administrative Agent from exercising on its own behalf the rights and remedies that inure to its benefit (solely</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940"/>
          </w:cols>
          <w:pgMar w:left="440" w:top="270" w:right="519" w:bottom="1440" w:gutter="0" w:footer="0" w:header="0"/>
        </w:sectPr>
      </w:pPr>
    </w:p>
    <w:bookmarkStart w:id="149" w:name="page150"/>
    <w:bookmarkEnd w:id="14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its capacity as Administrative Agent) hereunder and under the other Loan Documents, (b) any Lender from exercising setoff rights in accordance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(c)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10.04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80" w:firstLine="419"/>
        <w:spacing w:after="0" w:line="256" w:lineRule="auto"/>
        <w:tabs>
          <w:tab w:leader="none" w:pos="110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shall pay (i) all reasonable and documented out-of- pocket expenses incurred by the Administrative Agent and its Affiliates (including the reasonable and documented fees, charges and disbursements of outside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and documented out-of- pocket expenses incurred by the Administrative Agent or any Lender.</w:t>
      </w:r>
    </w:p>
    <w:p>
      <w:pPr>
        <w:spacing w:after="0" w:line="79" w:lineRule="exact"/>
        <w:rPr>
          <w:rFonts w:ascii="Times New Roman" w:cs="Times New Roman" w:eastAsia="Times New Roman" w:hAnsi="Times New Roman"/>
          <w:sz w:val="18"/>
          <w:szCs w:val="18"/>
          <w:color w:val="auto"/>
        </w:rPr>
      </w:pPr>
    </w:p>
    <w:p>
      <w:pPr>
        <w:ind w:left="440" w:right="60" w:firstLine="419"/>
        <w:spacing w:after="0" w:line="252" w:lineRule="auto"/>
        <w:tabs>
          <w:tab w:leader="none" w:pos="111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xml:space="preserve">. The Borrower shall indemnify the Administrative Agent (and any sub-agent thereof), each Lender and each Related Party of any of the foregoing Persons (each such Person being called an “Indemnitee”) against, and hold each Indemnitee harmless from, any and all losses, claims, damages, liabilities and related expenses (including the reasonable and documented out of pocket fees, charges and disbursements of any outside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(ii) any actual or alleged presence or Release of Hazardous Materials at, on, under or emanating from any property owned, leased or operated by the Borrower or any of its Subsidiaries, or any Environmental Liability related in any way to the Borrower or any of its Subsidiaries, or (iii)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150" w:name="page151"/>
    <w:bookmarkEnd w:id="150"/>
    <w:p>
      <w:pPr>
        <w:ind w:left="44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related expenses are determined by a court of competent jurisdiction by final and nonappealable judgment to have resulted from the gross negligence or willful misconduct of such Indemnitee.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68" w:lineRule="exact"/>
        <w:rPr>
          <w:sz w:val="20"/>
          <w:szCs w:val="20"/>
          <w:color w:val="auto"/>
        </w:rPr>
      </w:pPr>
    </w:p>
    <w:p>
      <w:pPr>
        <w:ind w:left="440" w:firstLine="419"/>
        <w:spacing w:after="0" w:line="253" w:lineRule="auto"/>
        <w:tabs>
          <w:tab w:leader="none" w:pos="110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to be paid by it to the Administrative Agent (or any sub-agent thereof) or any Related Party, each Lender severally agrees to pay to the Administrative Agent (or any such sub-agent) or such Related Party, as the case may be, such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(determined as of the time that the applicable unreimbursed expense or indemnity payment is sought based on each Lender’s share of the Total Term Loan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The obligations of the Lenders under this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are subject to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w:t>
      </w:r>
    </w:p>
    <w:p>
      <w:pPr>
        <w:spacing w:after="0" w:line="80"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Business Days after demand therefor.</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0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Section and the indemnity provision of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shall survive the resignation of the Administrative Agent, the replacement of any Lender, the termination of the Aggregate Commitments and the repayment, satisfaction or discharge of all the other Obligations.</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10.05 </w:t>
      </w:r>
      <w:r>
        <w:rPr>
          <w:rFonts w:ascii="Times New Roman" w:cs="Times New Roman" w:eastAsia="Times New Roman" w:hAnsi="Times New Roman"/>
          <w:sz w:val="18"/>
          <w:szCs w:val="18"/>
          <w:u w:val="single" w:color="auto"/>
          <w:color w:val="auto"/>
        </w:rPr>
        <w:t>Payments Set Aside</w:t>
      </w:r>
      <w:r>
        <w:rPr>
          <w:rFonts w:ascii="Times New Roman" w:cs="Times New Roman" w:eastAsia="Times New Roman" w:hAnsi="Times New Roman"/>
          <w:sz w:val="18"/>
          <w:szCs w:val="18"/>
          <w:color w:val="auto"/>
        </w:rPr>
        <w:t>. To the extent that any payment by or on behalf of the Borrower is made to the Administrative Agent or any Lender, or the Administrative Agent or any Lender exercises its right of setoff, and such payment or the proceeds of such setoff or any part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70" w:right="459" w:bottom="1440" w:gutter="0" w:footer="0" w:header="0"/>
        </w:sectPr>
      </w:pPr>
    </w:p>
    <w:bookmarkStart w:id="151" w:name="page152"/>
    <w:bookmarkEnd w:id="15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per annum equal to the Federal Funds Rate from time to time in effect. The obligations of the Lenders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shall survive the payment in full of the Obligations and the termination of this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10.06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3" w:lineRule="auto"/>
        <w:tabs>
          <w:tab w:leader="none" w:pos="110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10.06(e)</w:t>
      </w:r>
      <w:r>
        <w:rPr>
          <w:rFonts w:ascii="Times New Roman" w:cs="Times New Roman" w:eastAsia="Times New Roman" w:hAnsi="Times New Roman"/>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86"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provided such assignee is not an Ineligible Institution, all or a portion of its rights and obligations under this Agreement (including all or a portion of its Commitment(s)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420" w:firstLine="391"/>
        <w:spacing w:after="0" w:line="261" w:lineRule="auto"/>
        <w:tabs>
          <w:tab w:leader="none" w:pos="2098"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assignment of the entire remaining amount of the assigning Lender’s Commitment under the Term Facility and/or the Loans at the time owing to it (in each case with respect to any Facility) or contemporaneous assignments to related Approved Funds that equal at least the amount specified in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in the aggregate or in the case of an assignment to a Lender, an Affiliate of a Lender or an Approved Fund, no minimum amount need be assigned;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70" w:right="459" w:bottom="1440" w:gutter="0" w:footer="0" w:header="0"/>
        </w:sectPr>
      </w:pPr>
    </w:p>
    <w:bookmarkStart w:id="152" w:name="page153"/>
    <w:bookmarkEnd w:id="152"/>
    <w:p>
      <w:pPr>
        <w:ind w:left="440" w:firstLine="391"/>
        <w:spacing w:after="0" w:line="256" w:lineRule="auto"/>
        <w:tabs>
          <w:tab w:leader="none" w:pos="1108"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any case not described in </w:t>
      </w:r>
      <w:r>
        <w:rPr>
          <w:rFonts w:ascii="Times New Roman" w:cs="Times New Roman" w:eastAsia="Times New Roman" w:hAnsi="Times New Roman"/>
          <w:sz w:val="18"/>
          <w:szCs w:val="18"/>
          <w:u w:val="single" w:color="auto"/>
          <w:color w:val="auto"/>
        </w:rPr>
        <w:t>subsection (b)(i)(A)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shall not be less than $1,000,000 unless each of the Administrative Agent and, so long as no Event of Default has occurred and is continuing, the Borrower otherwise consents (each such consent not to be unreasonably withheld or delayed).</w:t>
      </w:r>
    </w:p>
    <w:p>
      <w:pPr>
        <w:spacing w:after="0" w:line="79" w:lineRule="exact"/>
        <w:rPr>
          <w:rFonts w:ascii="Times New Roman" w:cs="Times New Roman" w:eastAsia="Times New Roman" w:hAnsi="Times New Roman"/>
          <w:sz w:val="18"/>
          <w:szCs w:val="18"/>
          <w:color w:val="auto"/>
        </w:rPr>
      </w:pPr>
    </w:p>
    <w:p>
      <w:pPr>
        <w:ind w:right="20" w:firstLine="408"/>
        <w:spacing w:after="0" w:line="261" w:lineRule="auto"/>
        <w:tabs>
          <w:tab w:leader="none" w:pos="66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with respect to the Loans or the Commitment assigned or (B) prohibit any Lender from assigning all or a portion of its rights and obligations among any separate revolving credit or term loan facilities provided pursuant to the last paragraph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on a non-</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71" w:lineRule="exact"/>
        <w:rPr>
          <w:rFonts w:ascii="Times New Roman" w:cs="Times New Roman" w:eastAsia="Times New Roman" w:hAnsi="Times New Roman"/>
          <w:sz w:val="18"/>
          <w:szCs w:val="18"/>
          <w:color w:val="auto"/>
        </w:rPr>
      </w:pPr>
    </w:p>
    <w:p>
      <w:pPr>
        <w:ind w:right="80" w:firstLine="408"/>
        <w:spacing w:after="0" w:line="282" w:lineRule="auto"/>
        <w:tabs>
          <w:tab w:leader="none" w:pos="71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 in addition:</w:t>
      </w:r>
    </w:p>
    <w:p>
      <w:pPr>
        <w:spacing w:after="0" w:line="53" w:lineRule="exact"/>
        <w:rPr>
          <w:rFonts w:ascii="Times New Roman" w:cs="Times New Roman" w:eastAsia="Times New Roman" w:hAnsi="Times New Roman"/>
          <w:sz w:val="18"/>
          <w:szCs w:val="18"/>
          <w:color w:val="auto"/>
        </w:rPr>
      </w:pPr>
    </w:p>
    <w:p>
      <w:pPr>
        <w:ind w:left="440" w:right="120" w:firstLine="391"/>
        <w:spacing w:after="0" w:line="254" w:lineRule="auto"/>
        <w:tabs>
          <w:tab w:leader="none" w:pos="1118"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Borrower (such consent not to be unreasonably withheld or delayed) shall be required unless (1) an Event of Default has occurred and is continuing at the time of such assignment; (2) such assignment is to a Lender, an Affiliate of a Lender or an Approved Fund, or (3) such assignment is made in connection with the primary syndication of the credit facility provided herein and during the ninety (90) day period following the Closing Date; provided that the Borrower shall be deemed to have consented to any such assignment unless it shall object thereto by written notice to the Administrative Agent within ten</w:t>
      </w:r>
    </w:p>
    <w:p>
      <w:pPr>
        <w:spacing w:after="0" w:line="3" w:lineRule="exact"/>
        <w:rPr>
          <w:rFonts w:ascii="Times New Roman" w:cs="Times New Roman" w:eastAsia="Times New Roman" w:hAnsi="Times New Roman"/>
          <w:sz w:val="18"/>
          <w:szCs w:val="18"/>
          <w:color w:val="auto"/>
        </w:rPr>
      </w:pPr>
    </w:p>
    <w:p>
      <w:pPr>
        <w:ind w:left="800" w:hanging="352"/>
        <w:spacing w:after="0"/>
        <w:tabs>
          <w:tab w:leader="none" w:pos="80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having received notice thereof; and</w:t>
      </w:r>
    </w:p>
    <w:p>
      <w:pPr>
        <w:spacing w:after="0" w:line="98" w:lineRule="exact"/>
        <w:rPr>
          <w:rFonts w:ascii="Times New Roman" w:cs="Times New Roman" w:eastAsia="Times New Roman" w:hAnsi="Times New Roman"/>
          <w:sz w:val="18"/>
          <w:szCs w:val="18"/>
          <w:color w:val="auto"/>
        </w:rPr>
      </w:pPr>
    </w:p>
    <w:p>
      <w:pPr>
        <w:ind w:left="440" w:right="20" w:firstLine="391"/>
        <w:spacing w:after="0" w:line="261" w:lineRule="auto"/>
        <w:tabs>
          <w:tab w:leader="none" w:pos="1108" w:val="left"/>
        </w:tabs>
        <w:numPr>
          <w:ilvl w:val="2"/>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(i) any unfunded Commitment if such assignment is to a Person that is not a Lender with a Commitment in respect of the Term Facility, an Affiliate of such Lender or an Approved Fund with respect to such Lender or (ii) any Loan to a Person that is not a Lender, an Affiliate of a Lender or an Approved Fund.</w:t>
      </w:r>
    </w:p>
    <w:p>
      <w:pPr>
        <w:spacing w:after="0" w:line="71"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The parties to each assignment shall execute and deliver to the Administrative Agent an</w:t>
      </w:r>
    </w:p>
    <w:p>
      <w:pPr>
        <w:spacing w:after="0" w:line="27"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Assignment and Assumption, together with a processing and recordation fee in the amount of $3,500 and information and documentation reasonably requested by the Administrative Agent for purposes of compliance with applicable “know your customer” rules and Anti-Money Laundering Laws, including the USA PATRIOT Act and the Beneficial Ownership Regulation;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w:t>
      </w:r>
    </w:p>
    <w:p>
      <w:pPr>
        <w:spacing w:after="0" w:line="1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020"/>
          </w:cols>
          <w:pgMar w:left="1420" w:top="270" w:right="459" w:bottom="1440" w:gutter="0" w:footer="0" w:header="0"/>
        </w:sectPr>
      </w:pPr>
    </w:p>
    <w:bookmarkStart w:id="153" w:name="page154"/>
    <w:bookmarkEnd w:id="153"/>
    <w:p>
      <w:pPr>
        <w:ind w:left="-20" w:firstLine="408"/>
        <w:spacing w:after="0" w:line="261" w:lineRule="auto"/>
        <w:tabs>
          <w:tab w:leader="none" w:pos="63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Assignment to Certain Persons</w:t>
      </w:r>
      <w:r>
        <w:rPr>
          <w:rFonts w:ascii="Times New Roman" w:cs="Times New Roman" w:eastAsia="Times New Roman" w:hAnsi="Times New Roman"/>
          <w:sz w:val="18"/>
          <w:szCs w:val="18"/>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 Notwithstanding the foregoing, any Lender may assign all or any portion of its Term Loans hereunder to the Borrower, but only if:</w:t>
      </w:r>
    </w:p>
    <w:p>
      <w:pPr>
        <w:spacing w:after="0" w:line="71"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is made pursuant to a Dutch Auction open to all Lenders holding Term Loans on a pro rata basis or</w:t>
      </w:r>
    </w:p>
    <w:p>
      <w:pPr>
        <w:spacing w:after="0" w:line="27" w:lineRule="exact"/>
        <w:rPr>
          <w:rFonts w:ascii="Times New Roman" w:cs="Times New Roman" w:eastAsia="Times New Roman" w:hAnsi="Times New Roman"/>
          <w:sz w:val="18"/>
          <w:szCs w:val="18"/>
          <w:color w:val="auto"/>
        </w:rPr>
      </w:pPr>
    </w:p>
    <w:p>
      <w:pPr>
        <w:ind w:left="720" w:hanging="292"/>
        <w:spacing w:after="0"/>
        <w:tabs>
          <w:tab w:leader="none" w:pos="7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is made as an open market purchase on a non-pro rata basis;</w:t>
      </w:r>
    </w:p>
    <w:p>
      <w:pPr>
        <w:spacing w:after="0" w:line="98"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have occurred and be continuing or would result therefrom;</w:t>
      </w:r>
    </w:p>
    <w:p>
      <w:pPr>
        <w:spacing w:after="0" w:line="117" w:lineRule="exact"/>
        <w:rPr>
          <w:rFonts w:ascii="Times New Roman" w:cs="Times New Roman" w:eastAsia="Times New Roman" w:hAnsi="Times New Roman"/>
          <w:sz w:val="18"/>
          <w:szCs w:val="18"/>
          <w:color w:val="auto"/>
        </w:rPr>
      </w:pPr>
    </w:p>
    <w:p>
      <w:pPr>
        <w:ind w:left="420" w:right="660" w:firstLine="391"/>
        <w:spacing w:after="0" w:line="282" w:lineRule="auto"/>
        <w:tabs>
          <w:tab w:leader="none" w:pos="1088"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such assignment, such Term Loans will be deemed to be automatically and permanently cancelled; and</w:t>
      </w:r>
    </w:p>
    <w:p>
      <w:pPr>
        <w:spacing w:after="0" w:line="53"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proceeds of ABL Revolving Loans shall be used by the Borrower to fund the consideration for such assignment.</w:t>
      </w:r>
    </w:p>
    <w:p>
      <w:pPr>
        <w:spacing w:after="0" w:line="117" w:lineRule="exact"/>
        <w:rPr>
          <w:rFonts w:ascii="Times New Roman" w:cs="Times New Roman" w:eastAsia="Times New Roman" w:hAnsi="Times New Roman"/>
          <w:sz w:val="18"/>
          <w:szCs w:val="18"/>
          <w:color w:val="auto"/>
        </w:rPr>
      </w:pPr>
    </w:p>
    <w:p>
      <w:pPr>
        <w:ind w:left="-20" w:firstLine="408"/>
        <w:spacing w:after="0" w:line="253" w:lineRule="auto"/>
        <w:tabs>
          <w:tab w:leader="none" w:pos="68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other compensating actions, including funding, with the consent of the Borrower and the Administrative Agent,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all Loans in accordance with its Applicable Percentage. Notwithstanding the foregoing, in the event that any assignment of rights and obligations of any Defaulting Lender hereunder shall become effective under applicable Laws without compliance with the provisions of this paragraph, then the assignee of such interest shall be deemed to be a Defaulting Lender for all purposes of this Agreement until such compliance occurs.</w:t>
      </w:r>
    </w:p>
    <w:p>
      <w:pPr>
        <w:spacing w:after="0" w:line="12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9920"/>
          </w:cols>
          <w:pgMar w:left="1440" w:top="270" w:right="539" w:bottom="1440" w:gutter="0" w:footer="0" w:header="0"/>
        </w:sectPr>
      </w:pPr>
    </w:p>
    <w:bookmarkStart w:id="154" w:name="page155"/>
    <w:bookmarkEnd w:id="154"/>
    <w:p>
      <w:pPr>
        <w:ind w:left="540" w:firstLine="408"/>
        <w:spacing w:after="0" w:line="253" w:lineRule="auto"/>
        <w:tabs>
          <w:tab w:leader="none" w:pos="129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acceptance and recording thereof by the Administrative Agent pursuant to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right="40" w:firstLine="419"/>
        <w:spacing w:after="0" w:line="254" w:lineRule="auto"/>
        <w:tabs>
          <w:tab w:leader="none" w:pos="667"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written notice.</w:t>
      </w:r>
    </w:p>
    <w:p>
      <w:pPr>
        <w:spacing w:after="0" w:line="83" w:lineRule="exact"/>
        <w:rPr>
          <w:rFonts w:ascii="Times New Roman" w:cs="Times New Roman" w:eastAsia="Times New Roman" w:hAnsi="Times New Roman"/>
          <w:sz w:val="18"/>
          <w:szCs w:val="18"/>
          <w:color w:val="auto"/>
        </w:rPr>
      </w:pPr>
    </w:p>
    <w:p>
      <w:pPr>
        <w:ind w:right="80" w:firstLine="419"/>
        <w:spacing w:after="0" w:line="255" w:lineRule="auto"/>
        <w:tabs>
          <w:tab w:leader="none" w:pos="67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but with notice to, the Borrower or the Administrative Agent, sell participations to any Person (other than an Ineligible Institution)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without regard to the existence of any participation.</w:t>
      </w:r>
    </w:p>
    <w:p>
      <w:pPr>
        <w:spacing w:after="0" w:line="12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440"/>
          </w:cols>
          <w:pgMar w:left="880" w:top="270" w:right="579" w:bottom="1440" w:gutter="0" w:footer="0" w:header="0"/>
        </w:sectPr>
      </w:pPr>
    </w:p>
    <w:bookmarkStart w:id="155" w:name="page156"/>
    <w:bookmarkEnd w:id="155"/>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and</w:t>
      </w:r>
    </w:p>
    <w:p>
      <w:pPr>
        <w:spacing w:after="0" w:line="1" w:lineRule="exact"/>
        <w:rPr>
          <w:sz w:val="20"/>
          <w:szCs w:val="20"/>
          <w:color w:val="auto"/>
        </w:rPr>
      </w:pPr>
    </w:p>
    <w:p>
      <w:pPr>
        <w:ind w:left="4" w:hanging="4"/>
        <w:spacing w:after="0" w:line="251" w:lineRule="auto"/>
        <w:tabs>
          <w:tab w:leader="none" w:pos="28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entitled to receive any greater payment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1.163-5(b) of the United States Proposed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Agreement, (a) the Administrative Agent shall not be responsible or have any liability for, or have any duty to ascertain, inquire into, monitor or enforce, compliance with the provisions hereof relating to Ineligible Institutions and (b) the Borrower (on behalf of itself and the other Loan Parties) and the Lenders acknowledge and agree that the Administrative Agent shall have no responsibility or obligation to determine whether any Lender or potential Lender is an Ineligible Institution and that the Administrative Agent shall have no liability with respect to any assignment or participation made to an Ineligible Institution.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4"/>
          </w:cols>
          <w:pgMar w:left="436" w:top="270" w:right="459" w:bottom="1440" w:gutter="0" w:footer="0" w:header="0"/>
        </w:sectPr>
      </w:pPr>
    </w:p>
    <w:bookmarkStart w:id="156" w:name="page157"/>
    <w:bookmarkEnd w:id="156"/>
    <w:p>
      <w:pPr>
        <w:ind w:left="444" w:right="60" w:firstLine="419"/>
        <w:spacing w:after="0" w:line="261" w:lineRule="auto"/>
        <w:tabs>
          <w:tab w:leader="none" w:pos="111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Pledges</w:t>
      </w:r>
      <w:r>
        <w:rPr>
          <w:rFonts w:ascii="Times New Roman" w:cs="Times New Roman" w:eastAsia="Times New Roman" w:hAnsi="Times New Roman"/>
          <w:sz w:val="18"/>
          <w:szCs w:val="18"/>
          <w:color w:val="auto"/>
        </w:rPr>
        <w:t xml:space="preserve">. Any Lender may, without the consent of the Borrower or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or central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10.07 </w:t>
      </w:r>
      <w:r>
        <w:rPr>
          <w:rFonts w:ascii="Times New Roman" w:cs="Times New Roman" w:eastAsia="Times New Roman" w:hAnsi="Times New Roman"/>
          <w:sz w:val="18"/>
          <w:szCs w:val="18"/>
          <w:u w:val="single" w:color="auto"/>
          <w:color w:val="auto"/>
        </w:rPr>
        <w:t>Treatment of Certain Information; Confidentiality</w:t>
      </w:r>
      <w:r>
        <w:rPr>
          <w:rFonts w:ascii="Times New Roman" w:cs="Times New Roman" w:eastAsia="Times New Roman" w:hAnsi="Times New Roman"/>
          <w:sz w:val="18"/>
          <w:szCs w:val="18"/>
          <w:color w:val="auto"/>
        </w:rPr>
        <w:t xml:space="preserve">. 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w:t>
      </w:r>
    </w:p>
    <w:p>
      <w:pPr>
        <w:spacing w:after="0" w:line="4" w:lineRule="exact"/>
        <w:rPr>
          <w:sz w:val="20"/>
          <w:szCs w:val="20"/>
          <w:color w:val="auto"/>
        </w:rPr>
      </w:pPr>
    </w:p>
    <w:p>
      <w:pPr>
        <w:ind w:left="4" w:right="160" w:hanging="4"/>
        <w:spacing w:after="0" w:line="253" w:lineRule="auto"/>
        <w:tabs>
          <w:tab w:leader="none" w:pos="21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rating agency in connection with rating the Borrower or its Subsidiaries or the credit facilities provided hereunder or (ii) the CUSIP Service Bureau or any similar agency in connection with the issuance and monitoring of CUSIP numbers of other market identifiers with respect to the credit facilities provided hereunder, (h) with the consent of the Borrower or (i) to the extent such Information (A) becomes publicly available other than as a result of a breach of this Section or (B) becomes available to the Administrative Agent, any Lender or any of their respective Affiliates on a nonconfidential basis from a source other than the Borrower.</w:t>
      </w:r>
    </w:p>
    <w:p>
      <w:pPr>
        <w:spacing w:after="0" w:line="18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44"/>
          </w:cols>
          <w:pgMar w:left="436" w:top="270" w:right="519" w:bottom="1440" w:gutter="0" w:footer="0" w:header="0"/>
        </w:sectPr>
      </w:pPr>
    </w:p>
    <w:bookmarkStart w:id="157" w:name="page158"/>
    <w:bookmarkEnd w:id="157"/>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ADMINISTRATIVE AGENT AND THE LENDERS ACKNOWLEDGE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LAWS, INCLUDING UNITED STATES FEDERAL AND STATE SECURITIES LAWS.</w:t>
      </w:r>
    </w:p>
    <w:p>
      <w:pPr>
        <w:spacing w:after="0" w:line="183" w:lineRule="exact"/>
        <w:rPr>
          <w:sz w:val="20"/>
          <w:szCs w:val="20"/>
          <w:color w:val="auto"/>
        </w:rPr>
      </w:pPr>
    </w:p>
    <w:p>
      <w:pPr>
        <w:ind w:righ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their respective Affiliates is hereby authorized at any time and from time to time, after obtaining the prior written consent of the Administrative Agent, to the fullest extent permitted by applicable Laws,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or Affiliate of such Lender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10.09 </w:t>
      </w:r>
      <w:r>
        <w:rPr>
          <w:rFonts w:ascii="Times New Roman" w:cs="Times New Roman" w:eastAsia="Times New Roman" w:hAnsi="Times New Roman"/>
          <w:sz w:val="17"/>
          <w:szCs w:val="17"/>
          <w:u w:val="single" w:color="auto"/>
          <w:color w:val="auto"/>
        </w:rPr>
        <w:t>Interest Rate Limitation</w:t>
      </w:r>
      <w:r>
        <w:rPr>
          <w:rFonts w:ascii="Times New Roman" w:cs="Times New Roman" w:eastAsia="Times New Roman" w:hAnsi="Times New Roman"/>
          <w:sz w:val="17"/>
          <w:szCs w:val="17"/>
          <w:color w:val="auto"/>
        </w:rPr>
        <w:t>. Notwithstanding anything to the contrary contained in any Loan Document, the interest and other loan charges paid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agreed to be paid under the Loan Documents shall not exceed the maximum rate of non-usurious interest permitted by applicable Laws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applied to the principal of the Loans or, if it exceeds such unpaid principal, refunded to the Borrower. In determining whether the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contracted for, charged, or received by the Administrative Agent or a Lender exceeds the Maximum Rate, such Person may, to the extent permitted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Laws, (a) characterize any payment that is not principal as an expense, fee, or premium rather than interest, (b) exclude voluntary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and the effects thereof, and (c) amortize, prorate, allocate, and spread in equal or unequal parts the total amount of interest throughout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term of the Obligations hereunder.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0"/>
          </w:cols>
          <w:pgMar w:left="440" w:top="270" w:right="439" w:bottom="1440" w:gutter="0" w:footer="0" w:header="0"/>
        </w:sectPr>
      </w:pPr>
    </w:p>
    <w:bookmarkStart w:id="158" w:name="page159"/>
    <w:bookmarkEnd w:id="158"/>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10.10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92"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87" w:lineRule="exact"/>
        <w:rPr>
          <w:sz w:val="20"/>
          <w:szCs w:val="20"/>
          <w:color w:val="auto"/>
        </w:rPr>
      </w:pPr>
    </w:p>
    <w:p>
      <w:pPr>
        <w:ind w:left="4" w:right="60" w:firstLine="440"/>
        <w:spacing w:after="0" w:line="276" w:lineRule="auto"/>
        <w:rPr>
          <w:sz w:val="20"/>
          <w:szCs w:val="20"/>
          <w:color w:val="auto"/>
        </w:rPr>
      </w:pPr>
      <w:r>
        <w:rPr>
          <w:rFonts w:ascii="Times New Roman" w:cs="Times New Roman" w:eastAsia="Times New Roman" w:hAnsi="Times New Roman"/>
          <w:sz w:val="17"/>
          <w:szCs w:val="17"/>
          <w:color w:val="auto"/>
        </w:rPr>
        <w:t xml:space="preserve">10.12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spacing w:after="0" w:line="1" w:lineRule="exact"/>
        <w:rPr>
          <w:sz w:val="20"/>
          <w:szCs w:val="20"/>
          <w:color w:val="auto"/>
        </w:rPr>
      </w:pPr>
    </w:p>
    <w:p>
      <w:pPr>
        <w:ind w:left="4" w:right="160" w:hanging="4"/>
        <w:spacing w:after="0" w:line="252" w:lineRule="auto"/>
        <w:tabs>
          <w:tab w:leader="none" w:pos="25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90"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the Borrower is entitled to replace a Lender pursuant to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9" w:lineRule="exact"/>
        <w:rPr>
          <w:sz w:val="20"/>
          <w:szCs w:val="20"/>
          <w:color w:val="auto"/>
        </w:rPr>
      </w:pPr>
    </w:p>
    <w:p>
      <w:pPr>
        <w:ind w:left="5364" w:right="1600" w:hanging="4501"/>
        <w:spacing w:after="0" w:line="454" w:lineRule="auto"/>
        <w:tabs>
          <w:tab w:leader="none" w:pos="109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to the Administrative Agent the assignment fee (if any) specified in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133</w:t>
      </w:r>
    </w:p>
    <w:p>
      <w:pPr>
        <w:sectPr>
          <w:pgSz w:w="11900" w:h="16838" w:orient="portrait"/>
          <w:cols w:equalWidth="0" w:num="1">
            <w:col w:w="10984"/>
          </w:cols>
          <w:pgMar w:left="436" w:top="270" w:right="479" w:bottom="1440" w:gutter="0" w:footer="0" w:header="0"/>
        </w:sectPr>
      </w:pPr>
    </w:p>
    <w:bookmarkStart w:id="159" w:name="page160"/>
    <w:bookmarkEnd w:id="159"/>
    <w:p>
      <w:pPr>
        <w:ind w:left="440" w:right="20" w:firstLine="419"/>
        <w:spacing w:after="0" w:line="261" w:lineRule="auto"/>
        <w:tabs>
          <w:tab w:leader="none" w:pos="111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from the assignee (to the extent of such outstanding principal and accrued interest and fees) or the Borrower (in the case of all other amounts, including any amount payable under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 and</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Lender becoming a Non-Consenting Lender, the applicable assignee shall have consented to the applicable amendment, waiver or consent.</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Governing Law; Jurisdiction;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60" w:firstLine="419"/>
        <w:spacing w:after="0" w:line="258" w:lineRule="auto"/>
        <w:tabs>
          <w:tab w:leader="none" w:pos="110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160" w:name="page161"/>
    <w:bookmarkEnd w:id="160"/>
    <w:p>
      <w:pPr>
        <w:ind w:left="44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AGENT OR ANY LENDER MAY OTHERWISE HAVE TO BRING ANY ACTION OR PROCEEDING RELATING TO THIS AGREEMENT OR ANY OTHER LOAN DOCUMENT AGAINST THE BORROWER OR ANY OTHER LOAN PARTY OR ITS PROPERTIES IN THE COURTS OF ANY JURISDICTION.</w:t>
      </w:r>
    </w:p>
    <w:p>
      <w:pPr>
        <w:spacing w:after="0" w:line="84" w:lineRule="exact"/>
        <w:rPr>
          <w:sz w:val="20"/>
          <w:szCs w:val="20"/>
          <w:color w:val="auto"/>
        </w:rPr>
      </w:pPr>
    </w:p>
    <w:p>
      <w:pPr>
        <w:ind w:left="444" w:right="40" w:firstLine="419"/>
        <w:spacing w:after="0" w:line="256" w:lineRule="auto"/>
        <w:tabs>
          <w:tab w:leader="none" w:pos="111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79" w:lineRule="exact"/>
        <w:rPr>
          <w:rFonts w:ascii="Times New Roman" w:cs="Times New Roman" w:eastAsia="Times New Roman" w:hAnsi="Times New Roman"/>
          <w:sz w:val="18"/>
          <w:szCs w:val="18"/>
          <w:color w:val="auto"/>
        </w:rPr>
      </w:pPr>
    </w:p>
    <w:p>
      <w:pPr>
        <w:ind w:left="444" w:right="200" w:firstLine="419"/>
        <w:spacing w:after="0" w:line="266" w:lineRule="auto"/>
        <w:tabs>
          <w:tab w:leader="none" w:pos="112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 xml:space="preserve">10.15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ind w:left="4" w:right="60" w:hanging="4"/>
        <w:spacing w:after="0" w:line="253" w:lineRule="auto"/>
        <w:tabs>
          <w:tab w:leader="none" w:pos="29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84"/>
          </w:cols>
          <w:pgMar w:left="436" w:top="270" w:right="479" w:bottom="1440" w:gutter="0" w:footer="0" w:header="0"/>
        </w:sectPr>
      </w:pPr>
    </w:p>
    <w:bookmarkStart w:id="161" w:name="page162"/>
    <w:bookmarkEnd w:id="161"/>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10.16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(i)(A) the arranging and other services regarding this Agreement provided by the Administrative Agent and the Lenders are arm’s-length commercial transactions between the Borrower and its Affiliates, on the one hand, and the Administrative Agent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(ii)(A) the Administrative Agent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nor any Lender has any obligation to the Borrower or any of its Affiliates with respect to the transactions contemplated hereby except those obligations expressly set forth herein and in the other Loan Documents; and (iii) the Administrative Agent, the Lenders, and their respective Affiliates may be engaged in a broad range of transactions that involve interests that differ from those of the Borrower and its Affiliates, and neither the Administrative Agent nor any Lender has any obligation to disclose any of such interests to the Borrower or its Affiliates. To the fullest extent permitted by law, the Borrower hereby waives and releases any claims that it may have against the Administrative Agent and the Lenders with respect to any breach or alleged breach of agency or fiduciary duty in connection with any aspect of any transaction contemplated hereby.</w:t>
      </w:r>
    </w:p>
    <w:p>
      <w:pPr>
        <w:spacing w:after="0" w:line="19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xml:space="preserve">. The words “execution,” “execute,” “signed,” “signature,” and words of like import in or related to any document to be signed in connection with this Agreement, the other Loan Documents and the transactions contemplated hereby and thereby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neither the Administrative Agent nor any Lender is under any obligation to agree to accept electronic signatures in any form or in any format unless expressly agreed to by the Administrative Agent or such Lender, as applicable, pursuant to procedures approved by it;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upon the request of any party, any electronic signature shall be promptly followed by such manually executed counterpart.</w:t>
      </w:r>
    </w:p>
    <w:p>
      <w:pPr>
        <w:spacing w:after="0" w:line="19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PATRIOT Act and the Administrative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0"/>
          </w:cols>
          <w:pgMar w:left="440" w:top="270" w:right="459" w:bottom="1440" w:gutter="0" w:footer="0" w:header="0"/>
        </w:sectPr>
      </w:pPr>
    </w:p>
    <w:bookmarkStart w:id="162" w:name="page163"/>
    <w:bookmarkEnd w:id="16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applicable, to identify each Loan Party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rules and Anti-Money Laundering Laws, including the PATRIOT Act.</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Inconsistencies with Other Documents</w:t>
      </w:r>
      <w:r>
        <w:rPr>
          <w:rFonts w:ascii="Times New Roman" w:cs="Times New Roman" w:eastAsia="Times New Roman" w:hAnsi="Times New Roman"/>
          <w:sz w:val="18"/>
          <w:szCs w:val="18"/>
          <w:color w:val="auto"/>
        </w:rPr>
        <w:t xml:space="preserve">. In the event there is a conflict or inconsistency between this Agreement and any other Loan Document, the terms of this Agreement shall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provision of the Collateral Documents that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left="440" w:right="680" w:firstLine="419"/>
        <w:spacing w:after="0" w:line="282" w:lineRule="auto"/>
        <w:tabs>
          <w:tab w:leader="none" w:pos="110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61" w:lineRule="auto"/>
        <w:tabs>
          <w:tab w:leader="none" w:pos="164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980" w:right="540" w:firstLine="408"/>
        <w:spacing w:after="0" w:line="282" w:lineRule="auto"/>
        <w:tabs>
          <w:tab w:leader="none" w:pos="169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163" w:name="page164"/>
    <w:bookmarkEnd w:id="16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164" w:name="page165"/>
    <w:bookmarkEnd w:id="16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and delivered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Thomas D. DeByle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and 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Term Loan Credit Agreement]</w:t>
      </w:r>
    </w:p>
    <w:p>
      <w:pPr>
        <w:sectPr>
          <w:pgSz w:w="11900" w:h="16838" w:orient="portrait"/>
          <w:cols w:equalWidth="0" w:num="1">
            <w:col w:w="10980"/>
          </w:cols>
          <w:pgMar w:left="440" w:top="270" w:right="479" w:bottom="1440" w:gutter="0" w:footer="0" w:header="0"/>
        </w:sectPr>
      </w:pPr>
    </w:p>
    <w:bookmarkStart w:id="165" w:name="page166"/>
    <w:bookmarkEnd w:id="16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OAKTREE FUND ADMINISTRATION, LLC,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w:t>
      </w:r>
    </w:p>
    <w:p>
      <w:pPr>
        <w:sectPr>
          <w:pgSz w:w="11900" w:h="16838" w:orient="portrait"/>
          <w:cols w:equalWidth="0" w:num="1">
            <w:col w:w="9240"/>
          </w:cols>
          <w:pgMar w:left="1440" w:top="266" w:right="1219" w:bottom="1440" w:gutter="0" w:footer="0" w:header="0"/>
        </w:sectPr>
      </w:pP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Oaktree Capital Management,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ectPr>
          <w:pgSz w:w="11900" w:h="16838" w:orient="portrait"/>
          <w:cols w:equalWidth="0" w:num="2">
            <w:col w:w="5880" w:space="320"/>
            <w:col w:w="3040"/>
          </w:cols>
          <w:pgMar w:left="1440" w:top="266" w:right="1219" w:bottom="1440" w:gutter="0" w:footer="0" w:header="0"/>
          <w:type w:val="continuous"/>
        </w:sectPr>
      </w:pP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Mary Gallegly</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Senior Vice President</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Raghav Khanna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[Signature Page to Term Loan Credit Agreement]</w:t>
      </w:r>
    </w:p>
    <w:p>
      <w:pPr>
        <w:sectPr>
          <w:pgSz w:w="11900" w:h="16838" w:orient="portrait"/>
          <w:cols w:equalWidth="0" w:num="1">
            <w:col w:w="9240"/>
          </w:cols>
          <w:pgMar w:left="1440" w:top="266" w:right="1219" w:bottom="1440" w:gutter="0" w:footer="0" w:header="0"/>
          <w:type w:val="continuous"/>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March 15, 2024</w:t>
      </w:r>
    </w:p>
    <w:p>
      <w:pPr>
        <w:spacing w:after="0" w:line="225"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THIS AMENDMENT NO. 2 TO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as of March 15, 2024 by and among NN,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hereto and JPMorgan Chase Bank, N.A., as Administrative Agent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under that certain Credit Agreement, dated as of March 22, 2021, by and among the Borrower, the subsidiaries of the Borrower from time to time party thereto as Loan Parties, the Lenders party thereto and the Administrative Agent (as amended by that certain Amendment No. 1 to Credit Agreement, dated as of March 3, 2023, and as further amended, restated, supplemented or otherwise modified prior to the date hereof, the “</w:t>
      </w:r>
      <w:r>
        <w:rPr>
          <w:rFonts w:ascii="Times New Roman" w:cs="Times New Roman" w:eastAsia="Times New Roman" w:hAnsi="Times New Roman"/>
          <w:sz w:val="18"/>
          <w:szCs w:val="18"/>
          <w:u w:val="single" w:color="auto"/>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Capitalized terms used herein and not otherwise defined herein shall have the respective meanings given to them in the Amended Credit Agreement.</w:t>
      </w:r>
    </w:p>
    <w:p>
      <w:pPr>
        <w:spacing w:after="0" w:line="189"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WHEREAS, the Borrower desires to enter into a sale and leaseback transaction with respect to its facilities located at (a) 42 &amp; 48 Frank Mossberg Drive, Attleboro, MA 02703 and (b) 16 Extension Street, Attleboro, MA 02703 pursuant to that certain Letter of Intent for Sale-Leaseback Transaction, dated as of December 18, 2023, from Tenet Equity, LP to the Borrower (the “</w:t>
      </w:r>
      <w:r>
        <w:rPr>
          <w:rFonts w:ascii="Times New Roman" w:cs="Times New Roman" w:eastAsia="Times New Roman" w:hAnsi="Times New Roman"/>
          <w:sz w:val="18"/>
          <w:szCs w:val="18"/>
          <w:u w:val="single" w:color="auto"/>
          <w:color w:val="auto"/>
        </w:rPr>
        <w:t>2024 Sale and Leaseback Transaction</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WHEREAS, the Borrower, the Lenders party hereto and the Administrative Agent have agreed to make certain modifications to the Existing Credit Agreement on the terms and conditions set forth herein with respect to the 2024 Sale and Leaseback Transaction.</w:t>
      </w:r>
    </w:p>
    <w:p>
      <w:pPr>
        <w:spacing w:after="0" w:line="162"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set forth above, the terms and conditions contained herein, and other good and valuable consideration, the receipt and sufficiency of which are hereby acknowledged, the Borrower, the Lenders party hereto and the Administrative Agent hereby agree to enter into this Amendment.</w:t>
      </w:r>
    </w:p>
    <w:p>
      <w:pPr>
        <w:spacing w:after="0" w:line="176" w:lineRule="exact"/>
        <w:rPr>
          <w:sz w:val="20"/>
          <w:szCs w:val="20"/>
          <w:color w:val="auto"/>
        </w:rPr>
      </w:pPr>
    </w:p>
    <w:p>
      <w:pPr>
        <w:ind w:right="440" w:firstLine="436"/>
        <w:spacing w:after="0" w:line="282" w:lineRule="auto"/>
        <w:tabs>
          <w:tab w:leader="none" w:pos="6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Existing Credit Agreement</w:t>
      </w:r>
      <w:r>
        <w:rPr>
          <w:rFonts w:ascii="Times New Roman" w:cs="Times New Roman" w:eastAsia="Times New Roman" w:hAnsi="Times New Roman"/>
          <w:sz w:val="18"/>
          <w:szCs w:val="18"/>
          <w:color w:val="auto"/>
        </w:rPr>
        <w:t>. Effective as of the Amendment No. 2 Effective Date (as defined below), the parties hereto agree that the Existing Credit Agreement is hereby amended as follows:</w:t>
      </w:r>
    </w:p>
    <w:p>
      <w:pPr>
        <w:spacing w:after="0" w:line="53"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0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1.01 of the Existing Credit Agreement is hereby amended by adding the following new defined terms in the appropriate alphabetical order:</w:t>
      </w:r>
    </w:p>
    <w:p>
      <w:pPr>
        <w:spacing w:after="0" w:line="54" w:lineRule="exact"/>
        <w:rPr>
          <w:sz w:val="20"/>
          <w:szCs w:val="20"/>
          <w:color w:val="auto"/>
        </w:rPr>
      </w:pPr>
    </w:p>
    <w:p>
      <w:pPr>
        <w:ind w:left="980" w:right="160" w:firstLine="40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2024 Sale and Leaseback Transaction</w:t>
      </w:r>
      <w:r>
        <w:rPr>
          <w:rFonts w:ascii="Times New Roman" w:cs="Times New Roman" w:eastAsia="Times New Roman" w:hAnsi="Times New Roman"/>
          <w:sz w:val="17"/>
          <w:szCs w:val="17"/>
          <w:color w:val="auto"/>
        </w:rPr>
        <w:t>” means that certain sale and leaseback transaction with respect to the Loan Parties’ facilities located at (a) 42 &amp; 48 Frank Mossberg Drive, Attleboro, MA 02703 and (b) 16 Extension Street, Attleboro, MA 02703 pursuant to that certain Letter of Intent for Sale-Leaseback Transaction, dated as of December 18, 2023, from Tenet Equity, LP to the Borrower.</w:t>
      </w:r>
    </w:p>
    <w:p>
      <w:pPr>
        <w:spacing w:after="0" w:line="5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 means March 15, 2024.</w:t>
      </w:r>
    </w:p>
    <w:p>
      <w:pPr>
        <w:sectPr>
          <w:pgSz w:w="11900" w:h="16838" w:orient="portrait"/>
          <w:cols w:equalWidth="0" w:num="1">
            <w:col w:w="11020"/>
          </w:cols>
          <w:pgMar w:left="440" w:top="117" w:right="439" w:bottom="1440" w:gutter="0" w:footer="0" w:header="0"/>
        </w:sectPr>
      </w:pPr>
    </w:p>
    <w:bookmarkStart w:id="167" w:name="page168"/>
    <w:bookmarkEnd w:id="167"/>
    <w:p>
      <w:pPr>
        <w:ind w:firstLine="419"/>
        <w:spacing w:after="0" w:line="282" w:lineRule="auto"/>
        <w:tabs>
          <w:tab w:leader="none" w:pos="67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definition of “Net Proceeds” set forth in Section 1.01 of the Existing Credit Agreement is hereby amended and restated in its entirety with the following:</w:t>
      </w:r>
    </w:p>
    <w:p>
      <w:pPr>
        <w:spacing w:after="0" w:line="54" w:lineRule="exact"/>
        <w:rPr>
          <w:sz w:val="20"/>
          <w:szCs w:val="20"/>
          <w:color w:val="auto"/>
        </w:rPr>
      </w:pPr>
    </w:p>
    <w:p>
      <w:pPr>
        <w:ind w:left="540" w:firstLine="40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amounts held in such reserves shall not exceed 10% of the gross cash proceeds received with respect to a Disposition or other event and (2) such amounts held in such reserves shall constitute Net Proceeds upon release to, or receipt by, the Borrower or any of its Subsidiaries), in each case during the year that such event occurred or the next succeeding year and that are directly attributable to such event (as determined reasonably and in good faith by a Financial Officer of the Borrower); provided, that the cash proceeds received in connection with any Disposition (other than the 2024 Sale and Leaseback Transaction and any other Disposition of assets solely constituting Term Loan Priority Collateral consummated after the Amendment No. 2 Effective Date and before June 30, 2024, the proceeds of which are greater than $5,000,000) or Extraordinary Receipt shall only constitute Net Proceeds under this definition in any fiscal year to the extent that the aggregate amount of such cash proceeds received in such fiscal year exceeds $5,000,000.</w:t>
      </w:r>
    </w:p>
    <w:p>
      <w:pPr>
        <w:spacing w:after="0" w:line="84" w:lineRule="exact"/>
        <w:rPr>
          <w:sz w:val="20"/>
          <w:szCs w:val="20"/>
          <w:color w:val="auto"/>
        </w:rPr>
      </w:pPr>
    </w:p>
    <w:p>
      <w:pPr>
        <w:ind w:left="660" w:hanging="241"/>
        <w:spacing w:after="0"/>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(a) of the definition of Prepayment Event shall be amended and restated in its entirety with the following:</w:t>
      </w:r>
    </w:p>
    <w:p>
      <w:pPr>
        <w:spacing w:after="0" w:line="117" w:lineRule="exact"/>
        <w:rPr>
          <w:rFonts w:ascii="Times New Roman" w:cs="Times New Roman" w:eastAsia="Times New Roman" w:hAnsi="Times New Roman"/>
          <w:sz w:val="18"/>
          <w:szCs w:val="18"/>
          <w:color w:val="auto"/>
        </w:rPr>
      </w:pPr>
    </w:p>
    <w:p>
      <w:pPr>
        <w:jc w:val="both"/>
        <w:ind w:left="540" w:firstLine="408"/>
        <w:spacing w:after="0" w:line="261" w:lineRule="auto"/>
        <w:tabs>
          <w:tab w:leader="none" w:pos="118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(including pursuant to a sale and leaseback transaction but excluding (x) for the avoidance of doubt, the 2024 Sale and Leaseback Transaction and (y) any other Disposition of assets solely constituting Term Loan Priority Collateral consummated after the Amendment No. 2 Effective Date and before June 30, 2024, the proceeds of which are greater than $5,000,000) of any property or asset of any Loan Party or any Subsidiary that is made pursuant to Section 6.05(g); or</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6.01(e) of the Existing Credit Agreement is hereby amended and restated in its entirety with the following:</w:t>
      </w:r>
    </w:p>
    <w:p>
      <w:pPr>
        <w:spacing w:after="0" w:line="117" w:lineRule="exact"/>
        <w:rPr>
          <w:rFonts w:ascii="Times New Roman" w:cs="Times New Roman" w:eastAsia="Times New Roman" w:hAnsi="Times New Roman"/>
          <w:sz w:val="18"/>
          <w:szCs w:val="18"/>
          <w:color w:val="auto"/>
        </w:rPr>
      </w:pPr>
    </w:p>
    <w:p>
      <w:pPr>
        <w:ind w:left="540" w:right="100" w:firstLine="408"/>
        <w:spacing w:after="0" w:line="254" w:lineRule="auto"/>
        <w:tabs>
          <w:tab w:leader="none" w:pos="118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Subsidiary incurred to finance the acquisition, construction or improvement of any fixed or capital assets (whether or not constituting purchase money Indebtedness), including Financing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permitted by this clause (e) (other than with respect to the 2024 Sale and Leaseback Transaction) together with any Refinance Indebtedness in respect thereof permitted by clause (f) below, shall not exceed $20,000,000 at any time outstanding;</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168" w:name="page169"/>
    <w:bookmarkEnd w:id="168"/>
    <w:p>
      <w:pPr>
        <w:ind w:left="-80" w:right="220" w:firstLine="436"/>
        <w:spacing w:after="0" w:line="282"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of Effectiveness</w:t>
      </w:r>
      <w:r>
        <w:rPr>
          <w:rFonts w:ascii="Times New Roman" w:cs="Times New Roman" w:eastAsia="Times New Roman" w:hAnsi="Times New Roman"/>
          <w:sz w:val="18"/>
          <w:szCs w:val="18"/>
          <w:color w:val="auto"/>
        </w:rPr>
        <w:t>. The effectiveness of this Amendment (the “</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 is subject to the satisfaction (or effective waiver) of the following conditions precedent:</w:t>
      </w:r>
    </w:p>
    <w:p>
      <w:pPr>
        <w:spacing w:after="0" w:line="53" w:lineRule="exact"/>
        <w:rPr>
          <w:rFonts w:ascii="Times New Roman" w:cs="Times New Roman" w:eastAsia="Times New Roman" w:hAnsi="Times New Roman"/>
          <w:sz w:val="18"/>
          <w:szCs w:val="18"/>
          <w:color w:val="auto"/>
        </w:rPr>
      </w:pPr>
    </w:p>
    <w:p>
      <w:pPr>
        <w:ind w:left="360" w:right="20" w:firstLine="419"/>
        <w:spacing w:after="0" w:line="266" w:lineRule="auto"/>
        <w:tabs>
          <w:tab w:leader="none" w:pos="102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counterparts of this Amendment duly executed by the Borrower, the Lenders and the Administrative Agent (or photocopies thereof sent by fax, pdf or other electronic means, each of which shall be enforceable with the same effect as a signed original).</w:t>
      </w:r>
    </w:p>
    <w:p>
      <w:pPr>
        <w:spacing w:after="0" w:line="67" w:lineRule="exact"/>
        <w:rPr>
          <w:rFonts w:ascii="Times New Roman" w:cs="Times New Roman" w:eastAsia="Times New Roman" w:hAnsi="Times New Roman"/>
          <w:sz w:val="18"/>
          <w:szCs w:val="18"/>
          <w:color w:val="auto"/>
        </w:rPr>
      </w:pPr>
    </w:p>
    <w:p>
      <w:pPr>
        <w:ind w:left="1040" w:hanging="261"/>
        <w:spacing w:after="0"/>
        <w:tabs>
          <w:tab w:leader="none" w:pos="10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payment of the Administrative Agent’s and its affiliates’ reasonable and documented</w:t>
      </w:r>
    </w:p>
    <w:p>
      <w:pPr>
        <w:spacing w:after="0" w:line="27" w:lineRule="exact"/>
        <w:rPr>
          <w:sz w:val="20"/>
          <w:szCs w:val="20"/>
          <w:color w:val="auto"/>
        </w:rPr>
      </w:pPr>
    </w:p>
    <w:p>
      <w:pPr>
        <w:ind w:left="360" w:right="460"/>
        <w:spacing w:after="0" w:line="260" w:lineRule="auto"/>
        <w:rPr>
          <w:sz w:val="20"/>
          <w:szCs w:val="20"/>
          <w:color w:val="auto"/>
        </w:rPr>
      </w:pPr>
      <w:r>
        <w:rPr>
          <w:rFonts w:ascii="Times New Roman" w:cs="Times New Roman" w:eastAsia="Times New Roman" w:hAnsi="Times New Roman"/>
          <w:sz w:val="18"/>
          <w:szCs w:val="18"/>
          <w:color w:val="auto"/>
        </w:rPr>
        <w:t>out-of-pocket expenses (including reasonable and documented out-of-pocket fees and expenses of counsel for the Administrative Agent) in connection with this Amendment.</w:t>
      </w:r>
    </w:p>
    <w:p>
      <w:pPr>
        <w:spacing w:after="0" w:line="73" w:lineRule="exact"/>
        <w:rPr>
          <w:sz w:val="20"/>
          <w:szCs w:val="20"/>
          <w:color w:val="auto"/>
        </w:rPr>
      </w:pPr>
    </w:p>
    <w:p>
      <w:pPr>
        <w:ind w:left="360" w:right="80" w:firstLine="419"/>
        <w:spacing w:after="0" w:line="266" w:lineRule="auto"/>
        <w:tabs>
          <w:tab w:leader="none" w:pos="1028"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a duly executed copy of that certain Amendment No. 3 to Term Loan Credit Agreement, dated as of the date hereof (the “</w:t>
      </w:r>
      <w:r>
        <w:rPr>
          <w:rFonts w:ascii="Times New Roman" w:cs="Times New Roman" w:eastAsia="Times New Roman" w:hAnsi="Times New Roman"/>
          <w:sz w:val="18"/>
          <w:szCs w:val="18"/>
          <w:u w:val="single" w:color="auto"/>
          <w:color w:val="auto"/>
        </w:rPr>
        <w:t>Term Loan Amendment</w:t>
      </w:r>
      <w:r>
        <w:rPr>
          <w:rFonts w:ascii="Times New Roman" w:cs="Times New Roman" w:eastAsia="Times New Roman" w:hAnsi="Times New Roman"/>
          <w:sz w:val="18"/>
          <w:szCs w:val="18"/>
          <w:color w:val="auto"/>
        </w:rPr>
        <w:t>”), duly executed by the Borrower, each other loan party thereto, and the Term Loan Agent, which such amendment shall be in form and substance reasonably satisfactory to the Administrative Agent.</w:t>
      </w:r>
    </w:p>
    <w:p>
      <w:pPr>
        <w:spacing w:after="0" w:line="175" w:lineRule="exact"/>
        <w:rPr>
          <w:rFonts w:ascii="Times New Roman" w:cs="Times New Roman" w:eastAsia="Times New Roman" w:hAnsi="Times New Roman"/>
          <w:sz w:val="18"/>
          <w:szCs w:val="18"/>
          <w:color w:val="auto"/>
        </w:rPr>
      </w:pPr>
    </w:p>
    <w:p>
      <w:pPr>
        <w:ind w:left="-80" w:firstLine="436"/>
        <w:spacing w:after="0" w:line="266" w:lineRule="auto"/>
        <w:tabs>
          <w:tab w:leader="none" w:pos="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Term Loan Amendment</w:t>
      </w:r>
      <w:r>
        <w:rPr>
          <w:rFonts w:ascii="Times New Roman" w:cs="Times New Roman" w:eastAsia="Times New Roman" w:hAnsi="Times New Roman"/>
          <w:sz w:val="18"/>
          <w:szCs w:val="18"/>
          <w:color w:val="auto"/>
        </w:rPr>
        <w:t>. Notwithstanding anything in the Amended Credit Agreement or the Intercreditor Agreement to the contrary, the Administrative Agent hereby consents to the amendment, supplementation, and modification of the Term Loan Credit Agreement pursuant to the Term Loan Amendment.</w:t>
      </w:r>
    </w:p>
    <w:p>
      <w:pPr>
        <w:spacing w:after="0" w:line="175" w:lineRule="exact"/>
        <w:rPr>
          <w:rFonts w:ascii="Times New Roman" w:cs="Times New Roman" w:eastAsia="Times New Roman" w:hAnsi="Times New Roman"/>
          <w:sz w:val="18"/>
          <w:szCs w:val="18"/>
          <w:color w:val="auto"/>
        </w:rPr>
      </w:pPr>
    </w:p>
    <w:p>
      <w:pPr>
        <w:ind w:left="540" w:hanging="184"/>
        <w:spacing w:after="0"/>
        <w:tabs>
          <w:tab w:leader="none" w:pos="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Borrower</w:t>
      </w:r>
      <w:r>
        <w:rPr>
          <w:rFonts w:ascii="Times New Roman" w:cs="Times New Roman" w:eastAsia="Times New Roman" w:hAnsi="Times New Roman"/>
          <w:sz w:val="18"/>
          <w:szCs w:val="18"/>
          <w:color w:val="auto"/>
        </w:rPr>
        <w:t>. The Borrower hereby represents and warrants as follows:</w:t>
      </w:r>
    </w:p>
    <w:p>
      <w:pPr>
        <w:spacing w:after="0" w:line="117" w:lineRule="exact"/>
        <w:rPr>
          <w:rFonts w:ascii="Times New Roman" w:cs="Times New Roman" w:eastAsia="Times New Roman" w:hAnsi="Times New Roman"/>
          <w:sz w:val="18"/>
          <w:szCs w:val="18"/>
          <w:color w:val="auto"/>
        </w:rPr>
      </w:pPr>
    </w:p>
    <w:p>
      <w:pPr>
        <w:ind w:left="360" w:right="280" w:firstLine="419"/>
        <w:spacing w:after="0" w:line="266" w:lineRule="auto"/>
        <w:tabs>
          <w:tab w:leader="none" w:pos="102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Amended Credit Agreement constitute legal, valid and binding obligations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67" w:lineRule="exact"/>
        <w:rPr>
          <w:rFonts w:ascii="Times New Roman" w:cs="Times New Roman" w:eastAsia="Times New Roman" w:hAnsi="Times New Roman"/>
          <w:sz w:val="18"/>
          <w:szCs w:val="18"/>
          <w:color w:val="auto"/>
        </w:rPr>
      </w:pPr>
    </w:p>
    <w:p>
      <w:pPr>
        <w:ind w:left="360" w:right="180" w:firstLine="419"/>
        <w:spacing w:after="0" w:line="258" w:lineRule="auto"/>
        <w:tabs>
          <w:tab w:leader="none" w:pos="103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after giving effect to the terms of this Amendment, (i) no Default or Event of Default has occurred and is continuing or would result therefrom and (ii) the representations and warranties of the Loan Parties set forth in the Amended Credit Agreement and the other Loan Documents are true and correct in all respects with the same effect as though made on and as of the date hereof (it being understood and agreed that any representation or warranty which by its terms is made as of a specified date is true and correct only as of such specified date).</w:t>
      </w:r>
    </w:p>
    <w:p>
      <w:pPr>
        <w:spacing w:after="0" w:line="183" w:lineRule="exact"/>
        <w:rPr>
          <w:rFonts w:ascii="Times New Roman" w:cs="Times New Roman" w:eastAsia="Times New Roman" w:hAnsi="Times New Roman"/>
          <w:sz w:val="18"/>
          <w:szCs w:val="18"/>
          <w:color w:val="auto"/>
        </w:rPr>
      </w:pPr>
    </w:p>
    <w:p>
      <w:pPr>
        <w:ind w:left="540" w:hanging="184"/>
        <w:spacing w:after="0"/>
        <w:tabs>
          <w:tab w:leader="none" w:pos="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and Effect on the Existing Credit Agreement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60" w:right="240" w:firstLine="419"/>
        <w:spacing w:after="0" w:line="282" w:lineRule="auto"/>
        <w:tabs>
          <w:tab w:leader="none" w:pos="102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hereof, each reference to the Existing Credit Agreement in the Amended Credit Agreement or any other Loan Document shall mean and be a reference to the Amended Credit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520" w:top="270" w:right="539" w:bottom="1440" w:gutter="0" w:footer="0" w:header="0"/>
        </w:sectPr>
      </w:pPr>
    </w:p>
    <w:bookmarkStart w:id="169" w:name="page170"/>
    <w:bookmarkEnd w:id="169"/>
    <w:p>
      <w:pPr>
        <w:ind w:left="420" w:right="80" w:firstLine="419"/>
        <w:spacing w:after="0" w:line="282" w:lineRule="auto"/>
        <w:tabs>
          <w:tab w:leader="none" w:pos="1098"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Amended Credit Agreement and all other documents, instruments and agreements executed and/or delivered in connection with the Existing Credit Agreement shall remain in full force and effect and are hereby ratified and confirmed.</w:t>
      </w:r>
    </w:p>
    <w:p>
      <w:pPr>
        <w:spacing w:after="0" w:line="53" w:lineRule="exact"/>
        <w:rPr>
          <w:rFonts w:ascii="Times New Roman" w:cs="Times New Roman" w:eastAsia="Times New Roman" w:hAnsi="Times New Roman"/>
          <w:sz w:val="18"/>
          <w:szCs w:val="18"/>
          <w:color w:val="auto"/>
        </w:rPr>
      </w:pPr>
    </w:p>
    <w:p>
      <w:pPr>
        <w:jc w:val="both"/>
        <w:ind w:left="420" w:right="700" w:firstLine="419"/>
        <w:spacing w:after="0" w:line="266" w:lineRule="auto"/>
        <w:tabs>
          <w:tab w:leader="none" w:pos="1088"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operate as a waiver of any right, power or remedy of the Administrative Agent or the Lenders, nor constitute a waiver of any provision of the Existing Credit Agreement or any other documents, instruments and agreements executed and/or delivered in connection therewith.</w:t>
      </w:r>
    </w:p>
    <w:p>
      <w:pPr>
        <w:spacing w:after="0" w:line="67"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a Loan Document.</w:t>
      </w:r>
    </w:p>
    <w:p>
      <w:pPr>
        <w:spacing w:after="0" w:line="225"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construed in accordance with and governed by the law of the State of New York.</w:t>
      </w:r>
    </w:p>
    <w:p>
      <w:pPr>
        <w:spacing w:after="0" w:line="225" w:lineRule="exact"/>
        <w:rPr>
          <w:rFonts w:ascii="Times New Roman" w:cs="Times New Roman" w:eastAsia="Times New Roman" w:hAnsi="Times New Roman"/>
          <w:sz w:val="18"/>
          <w:szCs w:val="18"/>
          <w:color w:val="auto"/>
        </w:rPr>
      </w:pPr>
    </w:p>
    <w:p>
      <w:pPr>
        <w:ind w:left="-20" w:right="400" w:firstLine="436"/>
        <w:spacing w:after="0" w:line="282" w:lineRule="auto"/>
        <w:tabs>
          <w:tab w:leader="none" w:pos="6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Amendment are included herein for convenience of reference only and shall not constitute a part of this Amendment for any other purpose.</w:t>
      </w:r>
    </w:p>
    <w:p>
      <w:pPr>
        <w:spacing w:after="0" w:line="161" w:lineRule="exact"/>
        <w:rPr>
          <w:rFonts w:ascii="Times New Roman" w:cs="Times New Roman" w:eastAsia="Times New Roman" w:hAnsi="Times New Roman"/>
          <w:sz w:val="18"/>
          <w:szCs w:val="18"/>
          <w:color w:val="auto"/>
        </w:rPr>
      </w:pPr>
    </w:p>
    <w:p>
      <w:pPr>
        <w:ind w:left="-20" w:firstLine="436"/>
        <w:spacing w:after="0" w:line="252" w:lineRule="auto"/>
        <w:tabs>
          <w:tab w:leader="none" w:pos="6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may be executed by one or more of the parties hereto on any number of separate counterparts, and all of said counterparts taken together shall be deemed to constitute one and the same instrument. Delivery of an executed counterpart of a signature page of this Amendment that is an Electronic Signature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As used herein, “Electronic Signature” means an electronic sound, symbol, or process attached to, or associated with, a contract or other record and adopted by a Person with the intent to sign, authenticate or accept such contract or record.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Amendment has been duly executed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Felcher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Felcher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19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NN POWER SOLUTIONS HOLDINGS,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AUTOCAM CORPORATION,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INDUSTRIAL MOLDING CORPORATION,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NN PRECISION PLASTICS,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WHIRLAWAY CORPORATION,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CAPROCK MANUFACTURING,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CAPROCK ENCLOSURES,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PMC USA ACQUISITION COMPANY,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AUTOCAM-PAX,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BRAININ-ADVANCE INDUSTRIES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POLYMETALLURGICAL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SOUTHERN CALIFORNIA TECHNICAL ARTS,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GENERAL METAL FINISHING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WAUCONDA TOOL &amp; ENGINEERING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ADVANCED PRECISION PRODUCTS,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HOLMED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HOWESTEMCO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PREMCO,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NN POWER SOLUTIONS,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PNC ACQUISITION COMPANY,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PMC ACQUISITION COMPANY,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PROFILES, INCORPORATED, as Loan Parties</w:t>
      </w:r>
    </w:p>
    <w:p>
      <w:pPr>
        <w:spacing w:after="0" w:line="207" w:lineRule="exact"/>
        <w:rPr>
          <w:sz w:val="20"/>
          <w:szCs w:val="20"/>
          <w:color w:val="auto"/>
        </w:rPr>
      </w:pPr>
    </w:p>
    <w:tbl>
      <w:tblPr>
        <w:tblLayout w:type="fixed"/>
        <w:tblInd w:w="3660" w:type="dxa"/>
        <w:tblCellMar>
          <w:top w:w="0" w:type="dxa"/>
          <w:left w:w="0" w:type="dxa"/>
          <w:bottom w:w="0" w:type="dxa"/>
          <w:right w:w="0" w:type="dxa"/>
        </w:tblCellMar>
      </w:tblPr>
      <w:tr>
        <w:trPr>
          <w:trHeight w:val="234"/>
        </w:trPr>
        <w:tc>
          <w:tcPr>
            <w:tcW w:w="30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Felcher</w:t>
            </w:r>
          </w:p>
        </w:tc>
      </w:tr>
      <w:tr>
        <w:trPr>
          <w:trHeight w:val="191"/>
        </w:trPr>
        <w:tc>
          <w:tcPr>
            <w:tcW w:w="3040" w:type="dxa"/>
            <w:vAlign w:val="bottom"/>
          </w:tcPr>
          <w:p>
            <w:pPr>
              <w:spacing w:after="0"/>
              <w:rPr>
                <w:sz w:val="16"/>
                <w:szCs w:val="16"/>
                <w:color w:val="auto"/>
              </w:rPr>
            </w:pP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Michael Felcher</w:t>
            </w:r>
          </w:p>
        </w:tc>
      </w:tr>
      <w:tr>
        <w:trPr>
          <w:trHeight w:val="234"/>
        </w:trPr>
        <w:tc>
          <w:tcPr>
            <w:tcW w:w="304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Vice President and Treasurer</w:t>
            </w:r>
          </w:p>
        </w:tc>
      </w:tr>
      <w:tr>
        <w:trPr>
          <w:trHeight w:val="589"/>
        </w:trPr>
        <w:tc>
          <w:tcPr>
            <w:tcW w:w="3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Signature Page to Amendment No. 2 to</w:t>
            </w:r>
          </w:p>
        </w:tc>
        <w:tc>
          <w:tcPr>
            <w:tcW w:w="3880" w:type="dxa"/>
            <w:vAlign w:val="bottom"/>
          </w:tcPr>
          <w:p>
            <w:pPr>
              <w:spacing w:after="0"/>
              <w:rPr>
                <w:sz w:val="24"/>
                <w:szCs w:val="24"/>
                <w:color w:val="auto"/>
              </w:rPr>
            </w:pPr>
          </w:p>
        </w:tc>
      </w:tr>
      <w:tr>
        <w:trPr>
          <w:trHeight w:val="234"/>
        </w:trPr>
        <w:tc>
          <w:tcPr>
            <w:tcW w:w="3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Credit Agreement</w:t>
            </w:r>
          </w:p>
        </w:tc>
        <w:tc>
          <w:tcPr>
            <w:tcW w:w="3880" w:type="dxa"/>
            <w:vAlign w:val="bottom"/>
          </w:tcPr>
          <w:p>
            <w:pPr>
              <w:spacing w:after="0"/>
              <w:rPr>
                <w:sz w:val="20"/>
                <w:szCs w:val="20"/>
                <w:color w:val="auto"/>
              </w:rPr>
            </w:pPr>
          </w:p>
        </w:tc>
      </w:tr>
    </w:tbl>
    <w:p>
      <w:pPr>
        <w:sectPr>
          <w:pgSz w:w="11900" w:h="16838" w:orient="portrait"/>
          <w:cols w:equalWidth="0" w:num="1">
            <w:col w:w="10580"/>
          </w:cols>
          <w:pgMar w:left="880" w:top="270" w:right="439" w:bottom="1440" w:gutter="0" w:footer="0" w:header="0"/>
        </w:sectPr>
      </w:pPr>
    </w:p>
    <w:bookmarkStart w:id="171" w:name="page172"/>
    <w:bookmarkEnd w:id="17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as Administrative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 and as a Lender</w:t>
      </w:r>
    </w:p>
    <w:p>
      <w:pPr>
        <w:spacing w:after="0" w:line="207" w:lineRule="exact"/>
        <w:rPr>
          <w:sz w:val="20"/>
          <w:szCs w:val="20"/>
          <w:color w:val="auto"/>
        </w:rPr>
      </w:pPr>
    </w:p>
    <w:tbl>
      <w:tblPr>
        <w:tblLayout w:type="fixed"/>
        <w:tblInd w:w="3100" w:type="dxa"/>
        <w:tblCellMar>
          <w:top w:w="0" w:type="dxa"/>
          <w:left w:w="0" w:type="dxa"/>
          <w:bottom w:w="0" w:type="dxa"/>
          <w:right w:w="0" w:type="dxa"/>
        </w:tblCellMar>
      </w:tblPr>
      <w:tr>
        <w:trPr>
          <w:trHeight w:val="234"/>
        </w:trPr>
        <w:tc>
          <w:tcPr>
            <w:tcW w:w="30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Andrew Rossman</w:t>
            </w:r>
          </w:p>
        </w:tc>
      </w:tr>
      <w:tr>
        <w:trPr>
          <w:trHeight w:val="191"/>
        </w:trPr>
        <w:tc>
          <w:tcPr>
            <w:tcW w:w="3040" w:type="dxa"/>
            <w:vAlign w:val="bottom"/>
          </w:tcPr>
          <w:p>
            <w:pPr>
              <w:ind w:left="2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Andrew Rossman</w:t>
            </w:r>
          </w:p>
        </w:tc>
      </w:tr>
      <w:tr>
        <w:trPr>
          <w:trHeight w:val="234"/>
        </w:trPr>
        <w:tc>
          <w:tcPr>
            <w:tcW w:w="30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Director</w:t>
            </w:r>
          </w:p>
        </w:tc>
      </w:tr>
      <w:tr>
        <w:trPr>
          <w:trHeight w:val="589"/>
        </w:trPr>
        <w:tc>
          <w:tcPr>
            <w:tcW w:w="3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Signature Page to Amendment No. 2 to</w:t>
            </w:r>
          </w:p>
        </w:tc>
        <w:tc>
          <w:tcPr>
            <w:tcW w:w="3880" w:type="dxa"/>
            <w:vAlign w:val="bottom"/>
          </w:tcPr>
          <w:p>
            <w:pPr>
              <w:spacing w:after="0"/>
              <w:rPr>
                <w:sz w:val="24"/>
                <w:szCs w:val="24"/>
                <w:color w:val="auto"/>
              </w:rPr>
            </w:pPr>
          </w:p>
        </w:tc>
      </w:tr>
      <w:tr>
        <w:trPr>
          <w:trHeight w:val="234"/>
        </w:trPr>
        <w:tc>
          <w:tcPr>
            <w:tcW w:w="3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Credit Agreement</w:t>
            </w:r>
          </w:p>
        </w:tc>
        <w:tc>
          <w:tcPr>
            <w:tcW w:w="38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020"/>
      </w:cols>
      <w:pgMar w:left="1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1)"/>
      <w:numFmt w:val="lowerLetter"/>
      <w:start w:val="1"/>
    </w:lvl>
  </w:abstractNum>
  <w:abstractNum w:abstractNumId="2">
    <w:nsid w:val="6FC75AF8"/>
    <w:multiLevelType w:val="hybridMultilevel"/>
    <w:lvl w:ilvl="0">
      <w:lvlJc w:val="left"/>
      <w:lvlText w:val="(%1)"/>
      <w:numFmt w:val="lowerLetter"/>
      <w:start w:val="1"/>
    </w:lvl>
  </w:abstractNum>
  <w:abstractNum w:abstractNumId="3">
    <w:nsid w:val="6A5F7029"/>
    <w:multiLevelType w:val="hybridMultilevel"/>
    <w:lvl w:ilvl="0">
      <w:lvlJc w:val="left"/>
      <w:lvlText w:val="(%1)"/>
      <w:numFmt w:val="lowerLetter"/>
      <w:start w:val="1"/>
    </w:lvl>
  </w:abstractNum>
  <w:abstractNum w:abstractNumId="4">
    <w:nsid w:val="7D5E18F8"/>
    <w:multiLevelType w:val="hybridMultilevel"/>
    <w:lvl w:ilvl="0">
      <w:lvlJc w:val="left"/>
      <w:lvlText w:val="(%1)"/>
      <w:numFmt w:val="lowerLetter"/>
      <w:start w:val="3"/>
    </w:lvl>
  </w:abstractNum>
  <w:abstractNum w:abstractNumId="5">
    <w:nsid w:val="5F3534A4"/>
    <w:multiLevelType w:val="hybridMultilevel"/>
    <w:lvl w:ilvl="0">
      <w:lvlJc w:val="left"/>
      <w:lvlText w:val="(%1)"/>
      <w:numFmt w:val="lowerLetter"/>
      <w:start w:val="1"/>
    </w:lvl>
  </w:abstractNum>
  <w:abstractNum w:abstractNumId="6">
    <w:nsid w:val="73A1821B"/>
    <w:multiLevelType w:val="hybridMultilevel"/>
    <w:lvl w:ilvl="0">
      <w:lvlJc w:val="left"/>
      <w:lvlText w:val="A"/>
      <w:numFmt w:val="bullet"/>
      <w:start w:val="1"/>
    </w:lvl>
  </w:abstractNum>
  <w:abstractNum w:abstractNumId="7">
    <w:nsid w:val="7DE67713"/>
    <w:multiLevelType w:val="hybridMultilevel"/>
    <w:lvl w:ilvl="0">
      <w:lvlJc w:val="left"/>
      <w:lvlText w:val="B"/>
      <w:numFmt w:val="bullet"/>
      <w:start w:val="1"/>
    </w:lvl>
  </w:abstractNum>
  <w:abstractNum w:abstractNumId="8">
    <w:nsid w:val="555C55B5"/>
    <w:multiLevelType w:val="hybridMultilevel"/>
    <w:lvl w:ilvl="0">
      <w:lvlJc w:val="left"/>
      <w:lvlText w:val="(%1)"/>
      <w:numFmt w:val="lowerLetter"/>
      <w:start w:val="1"/>
    </w:lvl>
  </w:abstractNum>
  <w:abstractNum w:abstractNumId="9">
    <w:nsid w:val="3FA62ACA"/>
    <w:multiLevelType w:val="hybridMultilevel"/>
    <w:lvl w:ilvl="0">
      <w:lvlJc w:val="left"/>
      <w:lvlText w:val="(%1)"/>
      <w:numFmt w:val="lowerRoman"/>
      <w:start w:val="2"/>
    </w:lvl>
  </w:abstractNum>
  <w:abstractNum w:abstractNumId="10">
    <w:nsid w:val="14FCE74E"/>
    <w:multiLevelType w:val="hybridMultilevel"/>
    <w:lvl w:ilvl="0">
      <w:lvlJc w:val="left"/>
      <w:lvlText w:val="(%1)"/>
      <w:numFmt w:val="decimal"/>
      <w:start w:val="1"/>
    </w:lvl>
  </w:abstractNum>
  <w:abstractNum w:abstractNumId="11">
    <w:nsid w:val="6A3DD3E8"/>
    <w:multiLevelType w:val="hybridMultilevel"/>
    <w:lvl w:ilvl="0">
      <w:lvlJc w:val="left"/>
      <w:lvlText w:val="(%1)"/>
      <w:numFmt w:val="decimal"/>
      <w:start w:val="1"/>
    </w:lvl>
  </w:abstractNum>
  <w:abstractNum w:abstractNumId="12">
    <w:nsid w:val="71C91298"/>
    <w:multiLevelType w:val="hybridMultilevel"/>
    <w:lvl w:ilvl="0">
      <w:lvlJc w:val="left"/>
      <w:lvlText w:val="(%1)"/>
      <w:numFmt w:val="decimal"/>
      <w:start w:val="1"/>
    </w:lvl>
  </w:abstractNum>
  <w:abstractNum w:abstractNumId="13">
    <w:nsid w:val="9DAF632"/>
    <w:multiLevelType w:val="hybridMultilevel"/>
    <w:lvl w:ilvl="0">
      <w:lvlJc w:val="left"/>
      <w:lvlText w:val="(%1)"/>
      <w:numFmt w:val="decimal"/>
      <w:start w:val="3"/>
    </w:lvl>
  </w:abstractNum>
  <w:abstractNum w:abstractNumId="14">
    <w:nsid w:val="53299938"/>
    <w:multiLevelType w:val="hybridMultilevel"/>
    <w:lvl w:ilvl="0">
      <w:lvlJc w:val="left"/>
      <w:lvlText w:val="(%1)"/>
      <w:numFmt w:val="decimal"/>
      <w:start w:val="1"/>
    </w:lvl>
  </w:abstractNum>
  <w:abstractNum w:abstractNumId="15">
    <w:nsid w:val="1FBFE8E0"/>
    <w:multiLevelType w:val="hybridMultilevel"/>
    <w:lvl w:ilvl="0">
      <w:lvlJc w:val="left"/>
      <w:lvlText w:val="(%1)"/>
      <w:numFmt w:val="lowerLetter"/>
      <w:start w:val="1"/>
    </w:lvl>
  </w:abstractNum>
  <w:abstractNum w:abstractNumId="16">
    <w:nsid w:val="5092CA79"/>
    <w:multiLevelType w:val="hybridMultilevel"/>
    <w:lvl w:ilvl="0">
      <w:lvlJc w:val="left"/>
      <w:lvlText w:val="(%1)"/>
      <w:numFmt w:val="lowerRoman"/>
      <w:start w:val="12"/>
    </w:lvl>
  </w:abstractNum>
  <w:abstractNum w:abstractNumId="17">
    <w:nsid w:val="1D545C4D"/>
    <w:multiLevelType w:val="hybridMultilevel"/>
    <w:lvl w:ilvl="0">
      <w:lvlJc w:val="left"/>
      <w:lvlText w:val="(%1)"/>
      <w:numFmt w:val="lowerLetter"/>
      <w:start w:val="2"/>
    </w:lvl>
  </w:abstractNum>
  <w:abstractNum w:abstractNumId="18">
    <w:nsid w:val="59ADEA3D"/>
    <w:multiLevelType w:val="hybridMultilevel"/>
    <w:lvl w:ilvl="0">
      <w:lvlJc w:val="left"/>
      <w:lvlText w:val="(%1)"/>
      <w:numFmt w:val="decimal"/>
      <w:start w:val="2"/>
    </w:lvl>
  </w:abstractNum>
  <w:abstractNum w:abstractNumId="19">
    <w:nsid w:val="288F1A34"/>
    <w:multiLevelType w:val="hybridMultilevel"/>
    <w:lvl w:ilvl="0">
      <w:lvlJc w:val="left"/>
      <w:lvlText w:val="%1"/>
      <w:numFmt w:val="lowerLetter"/>
      <w:start w:val="1"/>
    </w:lvl>
    <w:lvl w:ilvl="1">
      <w:lvlJc w:val="left"/>
      <w:lvlText w:val="(%2)"/>
      <w:numFmt w:val="lowerLetter"/>
      <w:start w:val="1"/>
    </w:lvl>
  </w:abstractNum>
  <w:abstractNum w:abstractNumId="20">
    <w:nsid w:val="2A155DBC"/>
    <w:multiLevelType w:val="hybridMultilevel"/>
    <w:lvl w:ilvl="0">
      <w:lvlJc w:val="left"/>
      <w:lvlText w:val="(%1)"/>
      <w:numFmt w:val="lowerLetter"/>
      <w:start w:val="9"/>
    </w:lvl>
    <w:lvl w:ilvl="1">
      <w:lvlJc w:val="left"/>
      <w:lvlText w:val="%2"/>
      <w:numFmt w:val="lowerLetter"/>
      <w:start w:val="1"/>
    </w:lvl>
  </w:abstractNum>
  <w:abstractNum w:abstractNumId="21">
    <w:nsid w:val="1D9F6E5F"/>
    <w:multiLevelType w:val="hybridMultilevel"/>
    <w:lvl w:ilvl="0">
      <w:lvlJc w:val="left"/>
      <w:lvlText w:val="(%1)"/>
      <w:numFmt w:val="decimal"/>
      <w:start w:val="5"/>
    </w:lvl>
    <w:lvl w:ilvl="1">
      <w:lvlJc w:val="left"/>
      <w:lvlText w:val="(%2)"/>
      <w:numFmt w:val="lowerLetter"/>
      <w:start w:val="4"/>
    </w:lvl>
  </w:abstractNum>
  <w:abstractNum w:abstractNumId="22">
    <w:nsid w:val="97E1B4E"/>
    <w:multiLevelType w:val="hybridMultilevel"/>
    <w:lvl w:ilvl="0">
      <w:lvlJc w:val="left"/>
      <w:lvlText w:val="(%1)"/>
      <w:numFmt w:val="lowerLetter"/>
      <w:start w:val="1"/>
    </w:lvl>
  </w:abstractNum>
  <w:abstractNum w:abstractNumId="23">
    <w:nsid w:val="51088277"/>
    <w:multiLevelType w:val="hybridMultilevel"/>
    <w:lvl w:ilvl="0">
      <w:lvlJc w:val="left"/>
      <w:lvlText w:val="(%1)"/>
      <w:numFmt w:val="lowerLetter"/>
      <w:start w:val="1"/>
    </w:lvl>
  </w:abstractNum>
  <w:abstractNum w:abstractNumId="24">
    <w:nsid w:val="1CA0C5FA"/>
    <w:multiLevelType w:val="hybridMultilevel"/>
    <w:lvl w:ilvl="0">
      <w:lvlJc w:val="left"/>
      <w:lvlText w:val="(%1)"/>
      <w:numFmt w:val="lowerLetter"/>
      <w:start w:val="1"/>
    </w:lvl>
  </w:abstractNum>
  <w:abstractNum w:abstractNumId="25">
    <w:nsid w:val="53584BCB"/>
    <w:multiLevelType w:val="hybridMultilevel"/>
    <w:lvl w:ilvl="0">
      <w:lvlJc w:val="left"/>
      <w:lvlText w:val="(%1)"/>
      <w:numFmt w:val="lowerRoman"/>
      <w:start w:val="1"/>
    </w:lvl>
  </w:abstractNum>
  <w:abstractNum w:abstractNumId="26">
    <w:nsid w:val="415E286C"/>
    <w:multiLevelType w:val="hybridMultilevel"/>
    <w:lvl w:ilvl="0">
      <w:lvlJc w:val="left"/>
      <w:lvlText w:val="(%1)"/>
      <w:numFmt w:val="lowerRoman"/>
      <w:start w:val="1"/>
    </w:lvl>
  </w:abstractNum>
  <w:abstractNum w:abstractNumId="27">
    <w:nsid w:val="7C58FD05"/>
    <w:multiLevelType w:val="hybridMultilevel"/>
    <w:lvl w:ilvl="0">
      <w:lvlJc w:val="left"/>
      <w:lvlText w:val="(%1)"/>
      <w:numFmt w:val="lowerRoman"/>
      <w:start w:val="4"/>
    </w:lvl>
  </w:abstractNum>
  <w:abstractNum w:abstractNumId="28">
    <w:nsid w:val="23D86AAC"/>
    <w:multiLevelType w:val="hybridMultilevel"/>
    <w:lvl w:ilvl="0">
      <w:lvlJc w:val="left"/>
      <w:lvlText w:val="(%1)"/>
      <w:numFmt w:val="lowerRoman"/>
      <w:start w:val="12"/>
    </w:lvl>
  </w:abstractNum>
  <w:abstractNum w:abstractNumId="29">
    <w:nsid w:val="45E6D486"/>
    <w:multiLevelType w:val="hybridMultilevel"/>
    <w:lvl w:ilvl="0">
      <w:lvlJc w:val="left"/>
      <w:lvlText w:val="(%1)"/>
      <w:numFmt w:val="lowerLetter"/>
      <w:start w:val="2"/>
    </w:lvl>
  </w:abstractNum>
  <w:abstractNum w:abstractNumId="30">
    <w:nsid w:val="5C10FE21"/>
    <w:multiLevelType w:val="hybridMultilevel"/>
    <w:lvl w:ilvl="0">
      <w:lvlJc w:val="left"/>
      <w:lvlText w:val="(%1)"/>
      <w:numFmt w:val="lowerLetter"/>
      <w:start w:val="1"/>
    </w:lvl>
  </w:abstractNum>
  <w:abstractNum w:abstractNumId="31">
    <w:nsid w:val="E7FFA2B"/>
    <w:multiLevelType w:val="hybridMultilevel"/>
    <w:lvl w:ilvl="0">
      <w:lvlJc w:val="left"/>
      <w:lvlText w:val="(%1)"/>
      <w:numFmt w:val="lowerLetter"/>
      <w:start w:val="10"/>
    </w:lvl>
  </w:abstractNum>
  <w:abstractNum w:abstractNumId="32">
    <w:nsid w:val="3C5991AA"/>
    <w:multiLevelType w:val="hybridMultilevel"/>
    <w:lvl w:ilvl="0">
      <w:lvlJc w:val="left"/>
      <w:lvlText w:val="(%1)"/>
      <w:numFmt w:val="lowerRoman"/>
      <w:start w:val="1"/>
    </w:lvl>
  </w:abstractNum>
  <w:abstractNum w:abstractNumId="33">
    <w:nsid w:val="4BD8591A"/>
    <w:multiLevelType w:val="hybridMultilevel"/>
    <w:lvl w:ilvl="0">
      <w:lvlJc w:val="left"/>
      <w:lvlText w:val="%1"/>
      <w:numFmt w:val="upperLetter"/>
      <w:start w:val="1"/>
    </w:lvl>
    <w:lvl w:ilvl="1">
      <w:lvlJc w:val="left"/>
      <w:lvlText w:val="(%2)"/>
      <w:numFmt w:val="lowerLetter"/>
      <w:start w:val="1"/>
    </w:lvl>
  </w:abstractNum>
  <w:abstractNum w:abstractNumId="34">
    <w:nsid w:val="78DF6A55"/>
    <w:multiLevelType w:val="hybridMultilevel"/>
    <w:lvl w:ilvl="0">
      <w:lvlJc w:val="left"/>
      <w:lvlText w:val="(%1)"/>
      <w:numFmt w:val="upperLetter"/>
      <w:start w:val="3"/>
    </w:lvl>
    <w:lvl w:ilvl="1">
      <w:lvlJc w:val="left"/>
      <w:lvlText w:val="(%2)"/>
      <w:numFmt w:val="lowerLetter"/>
      <w:start w:val="2"/>
    </w:lvl>
  </w:abstractNum>
  <w:abstractNum w:abstractNumId="35">
    <w:nsid w:val="39B7AAA2"/>
    <w:multiLevelType w:val="hybridMultilevel"/>
    <w:lvl w:ilvl="0">
      <w:lvlJc w:val="left"/>
      <w:lvlText w:val="(%1)"/>
      <w:numFmt w:val="lowerLetter"/>
      <w:start w:val="2"/>
    </w:lvl>
  </w:abstractNum>
  <w:abstractNum w:abstractNumId="36">
    <w:nsid w:val="2B0D8DBE"/>
    <w:multiLevelType w:val="hybridMultilevel"/>
    <w:lvl w:ilvl="0">
      <w:lvlJc w:val="left"/>
      <w:lvlText w:val="(%1)"/>
      <w:numFmt w:val="lowerLetter"/>
      <w:start w:val="1"/>
    </w:lvl>
  </w:abstractNum>
  <w:abstractNum w:abstractNumId="37">
    <w:nsid w:val="6C80EC70"/>
    <w:multiLevelType w:val="hybridMultilevel"/>
    <w:lvl w:ilvl="0">
      <w:lvlJc w:val="left"/>
      <w:lvlText w:val="(%1)"/>
      <w:numFmt w:val="lowerLetter"/>
      <w:start w:val="1"/>
    </w:lvl>
  </w:abstractNum>
  <w:abstractNum w:abstractNumId="38">
    <w:nsid w:val="379E21B5"/>
    <w:multiLevelType w:val="hybridMultilevel"/>
    <w:lvl w:ilvl="0">
      <w:lvlJc w:val="left"/>
      <w:lvlText w:val="(%1)"/>
      <w:numFmt w:val="lowerLetter"/>
      <w:start w:val="1"/>
    </w:lvl>
  </w:abstractNum>
  <w:abstractNum w:abstractNumId="39">
    <w:nsid w:val="69E373"/>
    <w:multiLevelType w:val="hybridMultilevel"/>
    <w:lvl w:ilvl="0">
      <w:lvlJc w:val="left"/>
      <w:lvlText w:val="(%1)"/>
      <w:numFmt w:val="lowerLetter"/>
      <w:start w:val="1"/>
    </w:lvl>
  </w:abstractNum>
  <w:abstractNum w:abstractNumId="40">
    <w:nsid w:val="2C27173B"/>
    <w:multiLevelType w:val="hybridMultilevel"/>
    <w:lvl w:ilvl="0">
      <w:lvlJc w:val="left"/>
      <w:lvlText w:val="(%1)"/>
      <w:numFmt w:val="lowerLetter"/>
      <w:start w:val="1"/>
    </w:lvl>
  </w:abstractNum>
  <w:abstractNum w:abstractNumId="41">
    <w:nsid w:val="4C9B0904"/>
    <w:multiLevelType w:val="hybridMultilevel"/>
    <w:lvl w:ilvl="0">
      <w:lvlJc w:val="left"/>
      <w:lvlText w:val="(%1)"/>
      <w:numFmt w:val="lowerLetter"/>
      <w:start w:val="2"/>
    </w:lvl>
  </w:abstractNum>
  <w:abstractNum w:abstractNumId="42">
    <w:nsid w:val="6AA7B75C"/>
    <w:multiLevelType w:val="hybridMultilevel"/>
    <w:lvl w:ilvl="0">
      <w:lvlJc w:val="left"/>
      <w:lvlText w:val="(%1)"/>
      <w:numFmt w:val="lowerLetter"/>
      <w:start w:val="1"/>
    </w:lvl>
  </w:abstractNum>
  <w:abstractNum w:abstractNumId="43">
    <w:nsid w:val="1DF029D3"/>
    <w:multiLevelType w:val="hybridMultilevel"/>
    <w:lvl w:ilvl="0">
      <w:lvlJc w:val="left"/>
      <w:lvlText w:val="(%1)"/>
      <w:numFmt w:val="lowerLetter"/>
      <w:start w:val="1"/>
    </w:lvl>
  </w:abstractNum>
  <w:abstractNum w:abstractNumId="44">
    <w:nsid w:val="5675FF36"/>
    <w:multiLevelType w:val="hybridMultilevel"/>
    <w:lvl w:ilvl="0">
      <w:lvlJc w:val="left"/>
      <w:lvlText w:val="%1"/>
      <w:numFmt w:val="lowerLetter"/>
      <w:start w:val="1"/>
    </w:lvl>
    <w:lvl w:ilvl="1">
      <w:lvlJc w:val="left"/>
      <w:lvlText w:val="(%2)"/>
      <w:numFmt w:val="lowerLetter"/>
      <w:start w:val="2"/>
    </w:lvl>
  </w:abstractNum>
  <w:abstractNum w:abstractNumId="45">
    <w:nsid w:val="3DD15094"/>
    <w:multiLevelType w:val="hybridMultilevel"/>
    <w:lvl w:ilvl="0">
      <w:lvlJc w:val="left"/>
      <w:lvlText w:val="(%1)"/>
      <w:numFmt w:val="lowerLetter"/>
      <w:start w:val="9"/>
    </w:lvl>
    <w:lvl w:ilvl="1">
      <w:lvlJc w:val="left"/>
      <w:lvlText w:val="(%2)"/>
      <w:numFmt w:val="lowerLetter"/>
      <w:start w:val="3"/>
    </w:lvl>
  </w:abstractNum>
  <w:abstractNum w:abstractNumId="46">
    <w:nsid w:val="3DB012B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7">
    <w:nsid w:val="2708C9AF"/>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48">
    <w:nsid w:val="5B25ACE2"/>
    <w:multiLevelType w:val="hybridMultilevel"/>
    <w:lvl w:ilvl="0">
      <w:lvlJc w:val="left"/>
      <w:lvlText w:val="%1"/>
      <w:numFmt w:val="decimal"/>
      <w:start w:val="1"/>
    </w:lvl>
    <w:lvl w:ilvl="1">
      <w:lvlJc w:val="left"/>
      <w:lvlText w:val="(%2)"/>
      <w:numFmt w:val="lowerRoman"/>
      <w:start w:val="2"/>
    </w:lvl>
  </w:abstractNum>
  <w:abstractNum w:abstractNumId="49">
    <w:nsid w:val="175DFCF0"/>
    <w:multiLevelType w:val="hybridMultilevel"/>
    <w:lvl w:ilvl="0">
      <w:lvlJc w:val="left"/>
      <w:lvlText w:val="(%1)"/>
      <w:numFmt w:val="decimal"/>
      <w:start w:val="10"/>
    </w:lvl>
    <w:lvl w:ilvl="1">
      <w:lvlJc w:val="left"/>
      <w:lvlText w:val="%2"/>
      <w:numFmt w:val="lowerRoman"/>
      <w:start w:val="1"/>
    </w:lvl>
  </w:abstractNum>
  <w:abstractNum w:abstractNumId="50">
    <w:nsid w:val="4F97E3E4"/>
    <w:multiLevelType w:val="hybridMultilevel"/>
    <w:lvl w:ilvl="0">
      <w:lvlJc w:val="left"/>
      <w:lvlText w:val="%1"/>
      <w:numFmt w:val="decimal"/>
      <w:start w:val="1"/>
    </w:lvl>
    <w:lvl w:ilvl="1">
      <w:lvlJc w:val="left"/>
      <w:lvlText w:val="(%2)"/>
      <w:numFmt w:val="lowerRoman"/>
      <w:start w:val="3"/>
    </w:lvl>
  </w:abstractNum>
  <w:abstractNum w:abstractNumId="51">
    <w:nsid w:val="53B0A9E"/>
    <w:multiLevelType w:val="hybridMultilevel"/>
    <w:lvl w:ilvl="0">
      <w:lvlJc w:val="left"/>
      <w:lvlText w:val="(%1)"/>
      <w:numFmt w:val="decimal"/>
      <w:start w:val="3"/>
    </w:lvl>
    <w:lvl w:ilvl="1">
      <w:lvlJc w:val="left"/>
      <w:lvlText w:val="%2"/>
      <w:numFmt w:val="lowerRoman"/>
      <w:start w:val="1"/>
    </w:lvl>
  </w:abstractNum>
  <w:abstractNum w:abstractNumId="52">
    <w:nsid w:val="34FD6B4F"/>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abstractNum>
  <w:abstractNum w:abstractNumId="53">
    <w:nsid w:val="5915FF32"/>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54">
    <w:nsid w:val="56438D1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5">
    <w:nsid w:val="519E3149"/>
    <w:multiLevelType w:val="hybridMultilevel"/>
    <w:lvl w:ilvl="0">
      <w:lvlJc w:val="left"/>
      <w:lvlText w:val="(%1)"/>
      <w:numFmt w:val="upperLetter"/>
      <w:start w:val="2"/>
    </w:lvl>
  </w:abstractNum>
  <w:abstractNum w:abstractNumId="56">
    <w:nsid w:val="2C6E4AFD"/>
    <w:multiLevelType w:val="hybridMultilevel"/>
    <w:lvl w:ilvl="0">
      <w:lvlJc w:val="left"/>
      <w:lvlText w:val="(%1)"/>
      <w:numFmt w:val="lowerLetter"/>
      <w:start w:val="1"/>
    </w:lvl>
  </w:abstractNum>
  <w:abstractNum w:abstractNumId="57">
    <w:nsid w:val="17A1B58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58">
    <w:nsid w:val="4DF72E4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59">
    <w:nsid w:val="5046B5A9"/>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2"/>
    </w:lvl>
  </w:abstractNum>
  <w:abstractNum w:abstractNumId="60">
    <w:nsid w:val="5D888A08"/>
    <w:multiLevelType w:val="hybridMultilevel"/>
    <w:lvl w:ilvl="0">
      <w:lvlJc w:val="left"/>
      <w:lvlText w:val="(%1)"/>
      <w:numFmt w:val="lowerLetter"/>
      <w:start w:val="3"/>
    </w:lvl>
  </w:abstractNum>
  <w:abstractNum w:abstractNumId="61">
    <w:nsid w:val="2A082C70"/>
    <w:multiLevelType w:val="hybridMultilevel"/>
    <w:lvl w:ilvl="0">
      <w:lvlJc w:val="left"/>
      <w:lvlText w:val="(%1)"/>
      <w:numFmt w:val="lowerLetter"/>
      <w:start w:val="1"/>
    </w:lvl>
    <w:lvl w:ilvl="1">
      <w:lvlJc w:val="left"/>
      <w:lvlText w:val="(%2)"/>
      <w:numFmt w:val="lowerRoman"/>
      <w:start w:val="1"/>
    </w:lvl>
  </w:abstractNum>
  <w:abstractNum w:abstractNumId="62">
    <w:nsid w:val="5EC6AFD4"/>
    <w:multiLevelType w:val="hybridMultilevel"/>
    <w:lvl w:ilvl="0">
      <w:lvlJc w:val="left"/>
      <w:lvlText w:val="(%1)"/>
      <w:numFmt w:val="lowerLetter"/>
      <w:start w:val="1"/>
    </w:lvl>
  </w:abstractNum>
  <w:abstractNum w:abstractNumId="63">
    <w:nsid w:val="19E21BB2"/>
    <w:multiLevelType w:val="hybridMultilevel"/>
    <w:lvl w:ilvl="0">
      <w:lvlJc w:val="left"/>
      <w:lvlText w:val="(%1)"/>
      <w:numFmt w:val="lowerRoman"/>
      <w:start w:val="2"/>
    </w:lvl>
  </w:abstractNum>
  <w:abstractNum w:abstractNumId="64">
    <w:nsid w:val="75E0858A"/>
    <w:multiLevelType w:val="hybridMultilevel"/>
    <w:lvl w:ilvl="0">
      <w:lvlJc w:val="left"/>
      <w:lvlText w:val="(%1)"/>
      <w:numFmt w:val="lowerLetter"/>
      <w:start w:val="3"/>
    </w:lvl>
  </w:abstractNum>
  <w:abstractNum w:abstractNumId="65">
    <w:nsid w:val="57A61A29"/>
    <w:multiLevelType w:val="hybridMultilevel"/>
    <w:lvl w:ilvl="0">
      <w:lvlJc w:val="left"/>
      <w:lvlText w:val="(%1)"/>
      <w:numFmt w:val="lowerRoman"/>
      <w:start w:val="1"/>
    </w:lvl>
  </w:abstractNum>
  <w:abstractNum w:abstractNumId="66">
    <w:nsid w:val="5399C654"/>
    <w:multiLevelType w:val="hybridMultilevel"/>
    <w:lvl w:ilvl="0">
      <w:lvlJc w:val="left"/>
      <w:lvlText w:val="(%1)"/>
      <w:numFmt w:val="lowerLetter"/>
      <w:start w:val="1"/>
    </w:lvl>
    <w:lvl w:ilvl="1">
      <w:lvlJc w:val="left"/>
      <w:lvlText w:val="(%2)"/>
      <w:numFmt w:val="lowerRoman"/>
      <w:start w:val="1"/>
    </w:lvl>
  </w:abstractNum>
  <w:abstractNum w:abstractNumId="67">
    <w:nsid w:val="20EE1348"/>
    <w:multiLevelType w:val="hybridMultilevel"/>
    <w:lvl w:ilvl="0">
      <w:lvlJc w:val="left"/>
      <w:lvlText w:val="(%1)"/>
      <w:numFmt w:val="lowerLetter"/>
      <w:start w:val="1"/>
    </w:lvl>
  </w:abstractNum>
  <w:abstractNum w:abstractNumId="68">
    <w:nsid w:val="4427069A"/>
    <w:multiLevelType w:val="hybridMultilevel"/>
    <w:lvl w:ilvl="0">
      <w:lvlJc w:val="left"/>
      <w:lvlText w:val="(%1)"/>
      <w:numFmt w:val="lowerLetter"/>
      <w:start w:val="4"/>
    </w:lvl>
    <w:lvl w:ilvl="1">
      <w:lvlJc w:val="left"/>
      <w:lvlText w:val="(%2)"/>
      <w:numFmt w:val="lowerRoman"/>
      <w:start w:val="1"/>
    </w:lvl>
  </w:abstractNum>
  <w:abstractNum w:abstractNumId="69">
    <w:nsid w:val="B37E80A"/>
    <w:multiLevelType w:val="hybridMultilevel"/>
    <w:lvl w:ilvl="0">
      <w:lvlJc w:val="left"/>
      <w:lvlText w:val="(%1)"/>
      <w:numFmt w:val="lowerRoman"/>
      <w:start w:val="1"/>
    </w:lvl>
    <w:lvl w:ilvl="1">
      <w:lvlJc w:val="left"/>
      <w:lvlText w:val="(%2)"/>
      <w:numFmt w:val="upperLetter"/>
      <w:start w:val="1"/>
    </w:lvl>
  </w:abstractNum>
  <w:abstractNum w:abstractNumId="70">
    <w:nsid w:val="2157F6BC"/>
    <w:multiLevelType w:val="hybridMultilevel"/>
    <w:lvl w:ilvl="0">
      <w:lvlJc w:val="left"/>
      <w:lvlText w:val="%1"/>
      <w:numFmt w:val="lowerLetter"/>
      <w:start w:val="1"/>
    </w:lvl>
    <w:lvl w:ilvl="1">
      <w:lvlJc w:val="left"/>
      <w:lvlText w:val="(%2)"/>
      <w:numFmt w:val="lowerRoman"/>
      <w:start w:val="2"/>
    </w:lvl>
  </w:abstractNum>
  <w:abstractNum w:abstractNumId="71">
    <w:nsid w:val="704E1DD5"/>
    <w:multiLevelType w:val="hybridMultilevel"/>
    <w:lvl w:ilvl="0">
      <w:lvlJc w:val="left"/>
      <w:lvlText w:val="(%1)"/>
      <w:numFmt w:val="lowerLetter"/>
      <w:start w:val="6"/>
    </w:lvl>
    <w:lvl w:ilvl="1">
      <w:lvlJc w:val="left"/>
      <w:lvlText w:val="%2"/>
      <w:numFmt w:val="lowerRoman"/>
      <w:start w:val="1"/>
    </w:lvl>
  </w:abstractNum>
  <w:abstractNum w:abstractNumId="72">
    <w:nsid w:val="57D2F10E"/>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73">
    <w:nsid w:val="BFFAE18"/>
    <w:multiLevelType w:val="hybridMultilevel"/>
    <w:lvl w:ilvl="0">
      <w:lvlJc w:val="left"/>
      <w:lvlText w:val="(%1)"/>
      <w:numFmt w:val="lowerLetter"/>
      <w:start w:val="2"/>
    </w:lvl>
    <w:lvl w:ilvl="1">
      <w:lvlJc w:val="left"/>
      <w:lvlText w:val="(%2)"/>
      <w:numFmt w:val="lowerRoman"/>
      <w:start w:val="1"/>
    </w:lvl>
  </w:abstractNum>
  <w:abstractNum w:abstractNumId="74">
    <w:nsid w:val="E3E47A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lowerRoman"/>
      <w:start w:val="9"/>
    </w:lvl>
    <w:lvl w:ilvl="4">
      <w:lvlJc w:val="left"/>
      <w:lvlText w:val="(%5)"/>
      <w:numFmt w:val="decimal"/>
      <w:start w:val="1"/>
    </w:lvl>
  </w:abstractNum>
  <w:abstractNum w:abstractNumId="75">
    <w:nsid w:val="2E48F044"/>
    <w:multiLevelType w:val="hybridMultilevel"/>
    <w:lvl w:ilvl="0">
      <w:lvlJc w:val="left"/>
      <w:lvlText w:val="%1"/>
      <w:numFmt w:val="upperLetter"/>
      <w:start w:val="1"/>
    </w:lvl>
    <w:lvl w:ilvl="1">
      <w:lvlJc w:val="left"/>
      <w:lvlText w:val="(%2)"/>
      <w:numFmt w:val="decimal"/>
      <w:start w:val="2"/>
    </w:lvl>
  </w:abstractNum>
  <w:abstractNum w:abstractNumId="76">
    <w:nsid w:val="49D0FEAC"/>
    <w:multiLevelType w:val="hybridMultilevel"/>
    <w:lvl w:ilvl="0">
      <w:lvlJc w:val="left"/>
      <w:lvlText w:val="(%1)"/>
      <w:numFmt w:val="upperLetter"/>
      <w:start w:val="3"/>
    </w:lvl>
    <w:lvl w:ilvl="1">
      <w:lvlJc w:val="left"/>
      <w:lvlText w:val="%2"/>
      <w:numFmt w:val="decimal"/>
      <w:start w:val="1"/>
    </w:lvl>
  </w:abstractNum>
  <w:abstractNum w:abstractNumId="77">
    <w:nsid w:val="4BEE5A5B"/>
    <w:multiLevelType w:val="hybridMultilevel"/>
    <w:lvl w:ilvl="0">
      <w:lvlJc w:val="left"/>
      <w:lvlText w:val="%1"/>
      <w:numFmt w:val="lowerLetter"/>
      <w:start w:val="1"/>
    </w:lvl>
    <w:lvl w:ilvl="1">
      <w:lvlJc w:val="left"/>
      <w:lvlText w:val="(%2)"/>
      <w:numFmt w:val="lowerLetter"/>
      <w:start w:val="61"/>
    </w:lvl>
  </w:abstractNum>
  <w:abstractNum w:abstractNumId="78">
    <w:nsid w:val="5551B9F3"/>
    <w:multiLevelType w:val="hybridMultilevel"/>
    <w:lvl w:ilvl="0">
      <w:lvlJc w:val="left"/>
      <w:lvlText w:val="(%1)"/>
      <w:numFmt w:val="lowerLetter"/>
      <w:start w:val="6"/>
    </w:lvl>
    <w:lvl w:ilvl="1">
      <w:lvlJc w:val="left"/>
      <w:lvlText w:val="%2"/>
      <w:numFmt w:val="lowerLetter"/>
      <w:start w:val="1"/>
    </w:lvl>
  </w:abstractNum>
  <w:abstractNum w:abstractNumId="79">
    <w:nsid w:val="24F6AB8E"/>
    <w:multiLevelType w:val="hybridMultilevel"/>
    <w:lvl w:ilvl="0">
      <w:lvlJc w:val="left"/>
      <w:lvlText w:val="(%1)"/>
      <w:numFmt w:val="lowerLetter"/>
      <w:start w:val="1"/>
    </w:lvl>
    <w:lvl w:ilvl="1">
      <w:lvlJc w:val="left"/>
      <w:lvlText w:val="(%2)"/>
      <w:numFmt w:val="lowerRoman"/>
      <w:start w:val="1"/>
    </w:lvl>
  </w:abstractNum>
  <w:abstractNum w:abstractNumId="80">
    <w:nsid w:val="634C574C"/>
    <w:multiLevelType w:val="hybridMultilevel"/>
    <w:lvl w:ilvl="0">
      <w:lvlJc w:val="left"/>
      <w:lvlText w:val="(%1)"/>
      <w:numFmt w:val="lowerLetter"/>
      <w:start w:val="2"/>
    </w:lvl>
  </w:abstractNum>
  <w:abstractNum w:abstractNumId="81">
    <w:nsid w:val="24E99DD7"/>
    <w:multiLevelType w:val="hybridMultilevel"/>
    <w:lvl w:ilvl="0">
      <w:lvlJc w:val="left"/>
      <w:lvlText w:val="%1"/>
      <w:numFmt w:val="decimal"/>
      <w:start w:val="1"/>
    </w:lvl>
    <w:lvl w:ilvl="1">
      <w:lvlJc w:val="left"/>
      <w:lvlText w:val="(%2)"/>
      <w:numFmt w:val="lowerLetter"/>
      <w:start w:val="3"/>
    </w:lvl>
  </w:abstractNum>
  <w:abstractNum w:abstractNumId="82">
    <w:nsid w:val="2A31B62D"/>
    <w:multiLevelType w:val="hybridMultilevel"/>
    <w:lvl w:ilvl="0">
      <w:lvlJc w:val="left"/>
      <w:lvlText w:val="(%1)"/>
      <w:numFmt w:val="decimal"/>
      <w:start w:val="9"/>
    </w:lvl>
    <w:lvl w:ilvl="1">
      <w:lvlJc w:val="left"/>
      <w:lvlText w:val="%2"/>
      <w:numFmt w:val="lowerLetter"/>
      <w:start w:val="1"/>
    </w:lvl>
  </w:abstractNum>
  <w:abstractNum w:abstractNumId="83">
    <w:nsid w:val="1849C29B"/>
    <w:multiLevelType w:val="hybridMultilevel"/>
    <w:lvl w:ilvl="0">
      <w:lvlJc w:val="left"/>
      <w:lvlText w:val="(%1)"/>
      <w:numFmt w:val="lowerLetter"/>
      <w:start w:val="1"/>
    </w:lvl>
  </w:abstractNum>
  <w:abstractNum w:abstractNumId="84">
    <w:nsid w:val="7DFF9D09"/>
    <w:multiLevelType w:val="hybridMultilevel"/>
    <w:lvl w:ilvl="0">
      <w:lvlJc w:val="left"/>
      <w:lvlText w:val="(%1)"/>
      <w:numFmt w:val="lowerLetter"/>
      <w:start w:val="1"/>
    </w:lvl>
  </w:abstractNum>
  <w:abstractNum w:abstractNumId="85">
    <w:nsid w:val="754342"/>
    <w:multiLevelType w:val="hybridMultilevel"/>
    <w:lvl w:ilvl="0">
      <w:lvlJc w:val="left"/>
      <w:lvlText w:val="(%1)"/>
      <w:numFmt w:val="lowerLetter"/>
      <w:start w:val="2"/>
    </w:lvl>
  </w:abstractNum>
  <w:abstractNum w:abstractNumId="86">
    <w:nsid w:val="69E7F3E5"/>
    <w:multiLevelType w:val="hybridMultilevel"/>
    <w:lvl w:ilvl="0">
      <w:lvlJc w:val="left"/>
      <w:lvlText w:val="(%1)"/>
      <w:numFmt w:val="lowerLetter"/>
      <w:start w:val="1"/>
    </w:lvl>
    <w:lvl w:ilvl="1">
      <w:lvlJc w:val="left"/>
      <w:lvlText w:val="(%2)"/>
      <w:numFmt w:val="lowerRoman"/>
      <w:start w:val="1"/>
    </w:lvl>
  </w:abstractNum>
  <w:abstractNum w:abstractNumId="87">
    <w:nsid w:val="2A6DE806"/>
    <w:multiLevelType w:val="hybridMultilevel"/>
    <w:lvl w:ilvl="0">
      <w:lvlJc w:val="left"/>
      <w:lvlText w:val="%1"/>
      <w:numFmt w:val="lowerRoman"/>
      <w:start w:val="1"/>
    </w:lvl>
    <w:lvl w:ilvl="1">
      <w:lvlJc w:val="left"/>
      <w:lvlText w:val="(%2)"/>
      <w:numFmt w:val="upperLetter"/>
      <w:start w:val="1"/>
    </w:lvl>
  </w:abstractNum>
  <w:abstractNum w:abstractNumId="88">
    <w:nsid w:val="1816F8C4"/>
    <w:multiLevelType w:val="hybridMultilevel"/>
    <w:lvl w:ilvl="0">
      <w:lvlJc w:val="left"/>
      <w:lvlText w:val="(%1)"/>
      <w:numFmt w:val="lowerRoman"/>
      <w:start w:val="4"/>
    </w:lvl>
    <w:lvl w:ilvl="1">
      <w:lvlJc w:val="left"/>
      <w:lvlText w:val="%2"/>
      <w:numFmt w:val="upperLetter"/>
      <w:start w:val="1"/>
    </w:lvl>
  </w:abstractNum>
  <w:abstractNum w:abstractNumId="89">
    <w:nsid w:val="37DF2233"/>
    <w:multiLevelType w:val="hybridMultilevel"/>
    <w:lvl w:ilvl="0">
      <w:lvlJc w:val="left"/>
      <w:lvlText w:val="(%1)"/>
      <w:numFmt w:val="lowerRoman"/>
      <w:start w:val="6"/>
    </w:lvl>
  </w:abstractNum>
  <w:abstractNum w:abstractNumId="90">
    <w:nsid w:val="7AB49DAF"/>
    <w:multiLevelType w:val="hybridMultilevel"/>
    <w:lvl w:ilvl="0">
      <w:lvlJc w:val="left"/>
      <w:lvlText w:val="(%1)"/>
      <w:numFmt w:val="lowerRoman"/>
      <w:start w:val="12"/>
    </w:lvl>
  </w:abstractNum>
  <w:abstractNum w:abstractNumId="91">
    <w:nsid w:val="759F82CD"/>
    <w:multiLevelType w:val="hybridMultilevel"/>
    <w:lvl w:ilvl="0">
      <w:lvlJc w:val="left"/>
      <w:lvlText w:val="(%1)"/>
      <w:numFmt w:val="lowerLetter"/>
      <w:start w:val="2"/>
    </w:lvl>
  </w:abstractNum>
  <w:abstractNum w:abstractNumId="92">
    <w:nsid w:val="61E74EA3"/>
    <w:multiLevelType w:val="hybridMultilevel"/>
    <w:lvl w:ilvl="0">
      <w:lvlJc w:val="left"/>
      <w:lvlText w:val="(%1)"/>
      <w:numFmt w:val="lowerLetter"/>
      <w:start w:val="1"/>
    </w:lvl>
  </w:abstractNum>
  <w:abstractNum w:abstractNumId="93">
    <w:nsid w:val="597B4D84"/>
    <w:multiLevelType w:val="hybridMultilevel"/>
    <w:lvl w:ilvl="0">
      <w:lvlJc w:val="left"/>
      <w:lvlText w:val="(%1)"/>
      <w:numFmt w:val="lowerLetter"/>
      <w:start w:val="2"/>
    </w:lvl>
  </w:abstractNum>
  <w:abstractNum w:abstractNumId="94">
    <w:nsid w:val="F819E7F"/>
    <w:multiLevelType w:val="hybridMultilevel"/>
    <w:lvl w:ilvl="0">
      <w:lvlJc w:val="left"/>
      <w:lvlText w:val="(%1)"/>
      <w:numFmt w:val="upperLetter"/>
      <w:start w:val="1"/>
    </w:lvl>
  </w:abstractNum>
  <w:abstractNum w:abstractNumId="95">
    <w:nsid w:val="57C7D42D"/>
    <w:multiLevelType w:val="hybridMultilevel"/>
    <w:lvl w:ilvl="0">
      <w:lvlJc w:val="left"/>
      <w:lvlText w:val="(%1)"/>
      <w:numFmt w:val="lowerRoman"/>
      <w:start w:val="2"/>
    </w:lvl>
  </w:abstractNum>
  <w:abstractNum w:abstractNumId="96">
    <w:nsid w:val="312167AD"/>
    <w:multiLevelType w:val="hybridMultilevel"/>
    <w:lvl w:ilvl="0">
      <w:lvlJc w:val="left"/>
      <w:lvlText w:val="%1"/>
      <w:numFmt w:val="decimal"/>
      <w:start w:val="1"/>
    </w:lvl>
    <w:lvl w:ilvl="1">
      <w:lvlJc w:val="left"/>
      <w:lvlText w:val="(%2)"/>
      <w:numFmt w:val="lowerLetter"/>
      <w:start w:val="1"/>
    </w:lvl>
  </w:abstractNum>
  <w:abstractNum w:abstractNumId="97">
    <w:nsid w:val="631B64D4"/>
    <w:multiLevelType w:val="hybridMultilevel"/>
    <w:lvl w:ilvl="0">
      <w:lvlJc w:val="left"/>
      <w:lvlText w:val="(%1)"/>
      <w:numFmt w:val="decimal"/>
      <w:start w:val="5"/>
    </w:lvl>
    <w:lvl w:ilvl="1">
      <w:lvlJc w:val="left"/>
      <w:lvlText w:val="(%2)"/>
      <w:numFmt w:val="lowerLetter"/>
      <w:start w:val="2"/>
    </w:lvl>
  </w:abstractNum>
  <w:abstractNum w:abstractNumId="98">
    <w:nsid w:val="78B5E776"/>
    <w:multiLevelType w:val="hybridMultilevel"/>
    <w:lvl w:ilvl="0">
      <w:lvlJc w:val="left"/>
      <w:lvlText w:val="(%1)"/>
      <w:numFmt w:val="lowerLetter"/>
      <w:start w:val="1"/>
    </w:lvl>
  </w:abstractNum>
  <w:abstractNum w:abstractNumId="99">
    <w:nsid w:val="75486E47"/>
    <w:multiLevelType w:val="hybridMultilevel"/>
    <w:lvl w:ilvl="0">
      <w:lvlJc w:val="left"/>
      <w:lvlText w:val="%1"/>
      <w:numFmt w:val="lowerLetter"/>
      <w:start w:val="1"/>
    </w:lvl>
    <w:lvl w:ilvl="1">
      <w:lvlJc w:val="left"/>
      <w:lvlText w:val="(%2)"/>
      <w:numFmt w:val="lowerLetter"/>
      <w:start w:val="2"/>
    </w:lvl>
  </w:abstractNum>
  <w:abstractNum w:abstractNumId="100">
    <w:nsid w:val="6E534CDE"/>
    <w:multiLevelType w:val="hybridMultilevel"/>
    <w:lvl w:ilvl="0">
      <w:lvlJc w:val="left"/>
      <w:lvlText w:val="(%1)"/>
      <w:numFmt w:val="lowerLetter"/>
      <w:start w:val="24"/>
    </w:lvl>
    <w:lvl w:ilvl="1">
      <w:lvlJc w:val="left"/>
      <w:lvlText w:val="(%2)"/>
      <w:numFmt w:val="lowerLetter"/>
      <w:start w:val="3"/>
    </w:lvl>
  </w:abstractNum>
  <w:abstractNum w:abstractNumId="101">
    <w:nsid w:val="1A0DDE32"/>
    <w:multiLevelType w:val="hybridMultilevel"/>
    <w:lvl w:ilvl="0">
      <w:lvlJc w:val="left"/>
      <w:lvlText w:val="(%1)"/>
      <w:numFmt w:val="lowerLetter"/>
      <w:start w:val="8"/>
    </w:lvl>
  </w:abstractNum>
  <w:abstractNum w:abstractNumId="102">
    <w:nsid w:val="65968C1C"/>
    <w:multiLevelType w:val="hybridMultilevel"/>
    <w:lvl w:ilvl="0">
      <w:lvlJc w:val="left"/>
      <w:lvlText w:val="(%1)"/>
      <w:numFmt w:val="lowerLetter"/>
      <w:start w:val="12"/>
    </w:lvl>
  </w:abstractNum>
  <w:abstractNum w:abstractNumId="103">
    <w:nsid w:val="46263DEC"/>
    <w:multiLevelType w:val="hybridMultilevel"/>
    <w:lvl w:ilvl="0">
      <w:lvlJc w:val="left"/>
      <w:lvlText w:val="(%1)"/>
      <w:numFmt w:val="lowerRoman"/>
      <w:start w:val="3"/>
    </w:lvl>
  </w:abstractNum>
  <w:abstractNum w:abstractNumId="104">
    <w:nsid w:val="260D8C4A"/>
    <w:multiLevelType w:val="hybridMultilevel"/>
    <w:lvl w:ilvl="0">
      <w:lvlJc w:val="left"/>
      <w:lvlText w:val="(%1)"/>
      <w:numFmt w:val="lowerLetter"/>
      <w:start w:val="1"/>
    </w:lvl>
  </w:abstractNum>
  <w:abstractNum w:abstractNumId="105">
    <w:nsid w:val="73D4D3C4"/>
    <w:multiLevelType w:val="hybridMultilevel"/>
    <w:lvl w:ilvl="0">
      <w:lvlJc w:val="left"/>
      <w:lvlText w:val="(%1)"/>
      <w:numFmt w:val="lowerLetter"/>
      <w:start w:val="3"/>
    </w:lvl>
  </w:abstractNum>
  <w:abstractNum w:abstractNumId="106">
    <w:nsid w:val="746F2E30"/>
    <w:multiLevelType w:val="hybridMultilevel"/>
    <w:lvl w:ilvl="0">
      <w:lvlJc w:val="left"/>
      <w:lvlText w:val="%1"/>
      <w:numFmt w:val="decimal"/>
      <w:start w:val="1"/>
    </w:lvl>
    <w:lvl w:ilvl="1">
      <w:lvlJc w:val="left"/>
      <w:lvlText w:val="(%2)"/>
      <w:numFmt w:val="lowerLetter"/>
      <w:start w:val="1"/>
    </w:lvl>
  </w:abstractNum>
  <w:abstractNum w:abstractNumId="107">
    <w:nsid w:val="6FDE8AF6"/>
    <w:multiLevelType w:val="hybridMultilevel"/>
    <w:lvl w:ilvl="0">
      <w:lvlJc w:val="left"/>
      <w:lvlText w:val="(%1)"/>
      <w:numFmt w:val="decimal"/>
      <w:start w:val="30"/>
    </w:lvl>
    <w:lvl w:ilvl="1">
      <w:lvlJc w:val="left"/>
      <w:lvlText w:val="(%2)"/>
      <w:numFmt w:val="lowerLetter"/>
      <w:start w:val="2"/>
    </w:lvl>
  </w:abstractNum>
  <w:abstractNum w:abstractNumId="108">
    <w:nsid w:val="3FC32E20"/>
    <w:multiLevelType w:val="hybridMultilevel"/>
    <w:lvl w:ilvl="0">
      <w:lvlJc w:val="left"/>
      <w:lvlText w:val="(%1)"/>
      <w:numFmt w:val="lowerLetter"/>
      <w:start w:val="1"/>
    </w:lvl>
  </w:abstractNum>
  <w:abstractNum w:abstractNumId="109">
    <w:nsid w:val="49C0E823"/>
    <w:multiLevelType w:val="hybridMultilevel"/>
    <w:lvl w:ilvl="0">
      <w:lvlJc w:val="left"/>
      <w:lvlText w:val="(%1)"/>
      <w:numFmt w:val="lowerLetter"/>
      <w:start w:val="1"/>
    </w:lvl>
  </w:abstractNum>
  <w:abstractNum w:abstractNumId="110">
    <w:nsid w:val="14D53685"/>
    <w:multiLevelType w:val="hybridMultilevel"/>
    <w:lvl w:ilvl="0">
      <w:lvlJc w:val="left"/>
      <w:lvlText w:val="(%1)"/>
      <w:numFmt w:val="lowerLetter"/>
      <w:start w:val="1"/>
    </w:lvl>
  </w:abstractNum>
  <w:abstractNum w:abstractNumId="111">
    <w:nsid w:val="230F856C"/>
    <w:multiLevelType w:val="hybridMultilevel"/>
    <w:lvl w:ilvl="0">
      <w:lvlJc w:val="left"/>
      <w:lvlText w:val="(%1)"/>
      <w:numFmt w:val="lowerLetter"/>
      <w:start w:val="3"/>
    </w:lvl>
    <w:lvl w:ilvl="1">
      <w:lvlJc w:val="left"/>
      <w:lvlText w:val="(%2)"/>
      <w:numFmt w:val="lowerRoman"/>
      <w:start w:val="1"/>
    </w:lvl>
  </w:abstractNum>
  <w:abstractNum w:abstractNumId="112">
    <w:nsid w:val="6EAA85FB"/>
    <w:multiLevelType w:val="hybridMultilevel"/>
    <w:lvl w:ilvl="0">
      <w:lvlJc w:val="left"/>
      <w:lvlText w:val="(%1)"/>
      <w:numFmt w:val="lowerRoman"/>
      <w:start w:val="5"/>
    </w:lvl>
  </w:abstractNum>
  <w:abstractNum w:abstractNumId="113">
    <w:nsid w:val="3F06ECB2"/>
    <w:multiLevelType w:val="hybridMultilevel"/>
    <w:lvl w:ilvl="0">
      <w:lvlJc w:val="left"/>
      <w:lvlText w:val="(%1)"/>
      <w:numFmt w:val="lowerLetter"/>
      <w:start w:val="6"/>
    </w:lvl>
  </w:abstractNum>
  <w:abstractNum w:abstractNumId="114">
    <w:nsid w:val="3B594807"/>
    <w:multiLevelType w:val="hybridMultilevel"/>
    <w:lvl w:ilvl="0">
      <w:lvlJc w:val="left"/>
      <w:lvlText w:val="(%1)"/>
      <w:numFmt w:val="lowerLetter"/>
      <w:start w:val="1"/>
    </w:lvl>
  </w:abstractNum>
  <w:abstractNum w:abstractNumId="115">
    <w:nsid w:val="6CAA2304"/>
    <w:multiLevelType w:val="hybridMultilevel"/>
    <w:lvl w:ilvl="0">
      <w:lvlJc w:val="left"/>
      <w:lvlText w:val="(%1)"/>
      <w:numFmt w:val="lowerLetter"/>
      <w:start w:val="1"/>
    </w:lvl>
  </w:abstractNum>
  <w:abstractNum w:abstractNumId="116">
    <w:nsid w:val="3F7C2FF4"/>
    <w:multiLevelType w:val="hybridMultilevel"/>
    <w:lvl w:ilvl="0">
      <w:lvlJc w:val="left"/>
      <w:lvlText w:val="(%1)"/>
      <w:numFmt w:val="lowerLetter"/>
      <w:start w:val="5"/>
    </w:lvl>
  </w:abstractNum>
  <w:abstractNum w:abstractNumId="117">
    <w:nsid w:val="25413BEC"/>
    <w:multiLevelType w:val="hybridMultilevel"/>
    <w:lvl w:ilvl="0">
      <w:lvlJc w:val="left"/>
      <w:lvlText w:val="%1"/>
      <w:numFmt w:val="lowerLetter"/>
      <w:start w:val="1"/>
    </w:lvl>
    <w:lvl w:ilvl="1">
      <w:lvlJc w:val="left"/>
      <w:lvlText w:val="(%2)"/>
      <w:numFmt w:val="lowerLetter"/>
      <w:start w:val="9"/>
    </w:lvl>
  </w:abstractNum>
  <w:abstractNum w:abstractNumId="118">
    <w:nsid w:val="17180B0B"/>
    <w:multiLevelType w:val="hybridMultilevel"/>
    <w:lvl w:ilvl="0">
      <w:lvlJc w:val="left"/>
      <w:lvlText w:val="(%1)"/>
      <w:numFmt w:val="lowerLetter"/>
      <w:start w:val="14"/>
    </w:lvl>
    <w:lvl w:ilvl="1">
      <w:lvlJc w:val="left"/>
      <w:lvlText w:val="(%2)"/>
      <w:numFmt w:val="lowerLetter"/>
      <w:start w:val="15"/>
    </w:lvl>
  </w:abstractNum>
  <w:abstractNum w:abstractNumId="119">
    <w:nsid w:val="579328B9"/>
    <w:multiLevelType w:val="hybridMultilevel"/>
    <w:lvl w:ilvl="0">
      <w:lvlJc w:val="left"/>
      <w:lvlText w:val="(%1)"/>
      <w:numFmt w:val="lowerLetter"/>
      <w:start w:val="18"/>
    </w:lvl>
  </w:abstractNum>
  <w:abstractNum w:abstractNumId="120">
    <w:nsid w:val="5D205E20"/>
    <w:multiLevelType w:val="hybridMultilevel"/>
    <w:lvl w:ilvl="0">
      <w:lvlJc w:val="left"/>
      <w:lvlText w:val="%1"/>
      <w:numFmt w:val="lowerLetter"/>
      <w:start w:val="1"/>
    </w:lvl>
    <w:lvl w:ilvl="1">
      <w:lvlJc w:val="left"/>
      <w:lvlText w:val="(%2)"/>
      <w:numFmt w:val="lowerLetter"/>
      <w:start w:val="1"/>
    </w:lvl>
  </w:abstractNum>
  <w:abstractNum w:abstractNumId="121">
    <w:nsid w:val="11CCA8BA"/>
    <w:multiLevelType w:val="hybridMultilevel"/>
    <w:lvl w:ilvl="0">
      <w:lvlJc w:val="left"/>
      <w:lvlText w:val="(%1)"/>
      <w:numFmt w:val="lowerLetter"/>
      <w:start w:val="7"/>
    </w:lvl>
    <w:lvl w:ilvl="1">
      <w:lvlJc w:val="left"/>
      <w:lvlText w:val="%2"/>
      <w:numFmt w:val="lowerLetter"/>
      <w:start w:val="1"/>
    </w:lvl>
  </w:abstractNum>
  <w:abstractNum w:abstractNumId="122">
    <w:nsid w:val="4D32AB86"/>
    <w:multiLevelType w:val="hybridMultilevel"/>
    <w:lvl w:ilvl="0">
      <w:lvlJc w:val="left"/>
      <w:lvlText w:val="%1"/>
      <w:numFmt w:val="lowerLetter"/>
      <w:start w:val="1"/>
    </w:lvl>
    <w:lvl w:ilvl="1">
      <w:lvlJc w:val="left"/>
      <w:lvlText w:val="(%2)"/>
      <w:numFmt w:val="lowerLetter"/>
      <w:start w:val="4"/>
    </w:lvl>
  </w:abstractNum>
  <w:abstractNum w:abstractNumId="123">
    <w:nsid w:val="3F07ACC3"/>
    <w:multiLevelType w:val="hybridMultilevel"/>
    <w:lvl w:ilvl="0">
      <w:lvlJc w:val="left"/>
      <w:lvlText w:val="(%1)"/>
      <w:numFmt w:val="lowerLetter"/>
      <w:start w:val="12"/>
    </w:lvl>
    <w:lvl w:ilvl="1">
      <w:lvlJc w:val="left"/>
      <w:lvlText w:val="(%2)"/>
      <w:numFmt w:val="lowerLetter"/>
      <w:start w:val="8"/>
    </w:lvl>
  </w:abstractNum>
  <w:abstractNum w:abstractNumId="124">
    <w:nsid w:val="6B47F63E"/>
    <w:multiLevelType w:val="hybridMultilevel"/>
    <w:lvl w:ilvl="0">
      <w:lvlJc w:val="left"/>
      <w:lvlText w:val="%1"/>
      <w:numFmt w:val="lowerLetter"/>
      <w:start w:val="1"/>
    </w:lvl>
    <w:lvl w:ilvl="1">
      <w:lvlJc w:val="left"/>
      <w:lvlText w:val="(%2)"/>
      <w:numFmt w:val="lowerLetter"/>
      <w:start w:val="11"/>
    </w:lvl>
  </w:abstractNum>
  <w:abstractNum w:abstractNumId="125">
    <w:nsid w:val="5CB44A05"/>
    <w:multiLevelType w:val="hybridMultilevel"/>
    <w:lvl w:ilvl="0">
      <w:lvlJc w:val="left"/>
      <w:lvlText w:val="(%1)"/>
      <w:numFmt w:val="lowerLetter"/>
      <w:start w:val="12"/>
    </w:lvl>
    <w:lvl w:ilvl="1">
      <w:lvlJc w:val="left"/>
      <w:lvlText w:val="(%2)"/>
      <w:numFmt w:val="lowerLetter"/>
      <w:start w:val="13"/>
    </w:lvl>
  </w:abstractNum>
  <w:abstractNum w:abstractNumId="126">
    <w:nsid w:val="16CF80F1"/>
    <w:multiLevelType w:val="hybridMultilevel"/>
    <w:lvl w:ilvl="0">
      <w:lvlJc w:val="left"/>
      <w:lvlText w:val="(%1)"/>
      <w:numFmt w:val="lowerLetter"/>
      <w:start w:val="61"/>
    </w:lvl>
    <w:lvl w:ilvl="1">
      <w:lvlJc w:val="left"/>
      <w:lvlText w:val="(%2)"/>
      <w:numFmt w:val="lowerLetter"/>
      <w:start w:val="15"/>
    </w:lvl>
  </w:abstractNum>
  <w:abstractNum w:abstractNumId="127">
    <w:nsid w:val="1C695DEC"/>
    <w:multiLevelType w:val="hybridMultilevel"/>
    <w:lvl w:ilvl="0">
      <w:lvlJc w:val="left"/>
      <w:lvlText w:val="(%1)"/>
      <w:numFmt w:val="lowerLetter"/>
      <w:start w:val="16"/>
    </w:lvl>
  </w:abstractNum>
  <w:abstractNum w:abstractNumId="128">
    <w:nsid w:val="3FCFAED9"/>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129">
    <w:nsid w:val="F85686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130">
    <w:nsid w:val="11B1CC33"/>
    <w:multiLevelType w:val="hybridMultilevel"/>
    <w:lvl w:ilvl="0">
      <w:lvlJc w:val="left"/>
      <w:lvlText w:val="(%1)"/>
      <w:numFmt w:val="lowerRoman"/>
      <w:start w:val="5"/>
    </w:lvl>
  </w:abstractNum>
  <w:abstractNum w:abstractNumId="131">
    <w:nsid w:val="2E22FBB7"/>
    <w:multiLevelType w:val="hybridMultilevel"/>
    <w:lvl w:ilvl="0">
      <w:lvlJc w:val="left"/>
      <w:lvlText w:val="(%1)"/>
      <w:numFmt w:val="lowerRoman"/>
      <w:start w:val="15"/>
    </w:lvl>
  </w:abstractNum>
  <w:abstractNum w:abstractNumId="132">
    <w:nsid w:val="2993469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3">
    <w:nsid w:val="77485850"/>
    <w:multiLevelType w:val="hybridMultilevel"/>
    <w:lvl w:ilvl="0">
      <w:lvlJc w:val="left"/>
      <w:lvlText w:val="(%1)"/>
      <w:numFmt w:val="lowerLetter"/>
      <w:start w:val="1"/>
    </w:lvl>
  </w:abstractNum>
  <w:abstractNum w:abstractNumId="134">
    <w:nsid w:val="744939A3"/>
    <w:multiLevelType w:val="hybridMultilevel"/>
    <w:lvl w:ilvl="0">
      <w:lvlJc w:val="left"/>
      <w:lvlText w:val="(%1)"/>
      <w:numFmt w:val="lowerLetter"/>
      <w:start w:val="1"/>
    </w:lvl>
  </w:abstractNum>
  <w:abstractNum w:abstractNumId="135">
    <w:nsid w:val="4FA0D2E3"/>
    <w:multiLevelType w:val="hybridMultilevel"/>
    <w:lvl w:ilvl="0">
      <w:lvlJc w:val="left"/>
      <w:lvlText w:val="(%1)"/>
      <w:numFmt w:val="lowerLetter"/>
      <w:start w:val="4"/>
    </w:lvl>
  </w:abstractNum>
  <w:abstractNum w:abstractNumId="136">
    <w:nsid w:val="6B1D2C14"/>
    <w:multiLevelType w:val="hybridMultilevel"/>
    <w:lvl w:ilvl="0">
      <w:lvlJc w:val="left"/>
      <w:lvlText w:val="(%1)"/>
      <w:numFmt w:val="lowerLetter"/>
      <w:start w:val="1"/>
    </w:lvl>
  </w:abstractNum>
  <w:abstractNum w:abstractNumId="137">
    <w:nsid w:val="68B867D3"/>
    <w:multiLevelType w:val="hybridMultilevel"/>
    <w:lvl w:ilvl="0">
      <w:lvlJc w:val="left"/>
      <w:lvlText w:val="(%1)"/>
      <w:numFmt w:val="lowerRoman"/>
      <w:start w:val="2"/>
    </w:lvl>
  </w:abstractNum>
  <w:abstractNum w:abstractNumId="138">
    <w:nsid w:val="3F7F5DD9"/>
    <w:multiLevelType w:val="hybridMultilevel"/>
    <w:lvl w:ilvl="0">
      <w:lvlJc w:val="left"/>
      <w:lvlText w:val="(%1)"/>
      <w:numFmt w:val="lowerLetter"/>
      <w:start w:val="1"/>
    </w:lvl>
  </w:abstractNum>
  <w:abstractNum w:abstractNumId="139">
    <w:nsid w:val="2AE05A34"/>
    <w:multiLevelType w:val="hybridMultilevel"/>
    <w:lvl w:ilvl="0">
      <w:lvlJc w:val="left"/>
      <w:lvlText w:val="(%1)"/>
      <w:numFmt w:val="lowerLetter"/>
      <w:start w:val="2"/>
    </w:lvl>
  </w:abstractNum>
  <w:abstractNum w:abstractNumId="140">
    <w:nsid w:val="32794FF7"/>
    <w:multiLevelType w:val="hybridMultilevel"/>
    <w:lvl w:ilvl="0">
      <w:lvlJc w:val="left"/>
      <w:lvlText w:val="%1"/>
      <w:numFmt w:val="decimal"/>
      <w:start w:val="1"/>
    </w:lvl>
    <w:lvl w:ilvl="1">
      <w:lvlJc w:val="left"/>
      <w:lvlText w:val="(%2)"/>
      <w:numFmt w:val="lowerLetter"/>
      <w:start w:val="2"/>
    </w:lvl>
  </w:abstractNum>
  <w:abstractNum w:abstractNumId="141">
    <w:nsid w:val="5454945E"/>
    <w:multiLevelType w:val="hybridMultilevel"/>
    <w:lvl w:ilvl="0">
      <w:lvlJc w:val="left"/>
      <w:lvlText w:val="(%1)"/>
      <w:numFmt w:val="decimal"/>
      <w:start w:val="5"/>
    </w:lvl>
    <w:lvl w:ilvl="1">
      <w:lvlJc w:val="left"/>
      <w:lvlText w:val="%2"/>
      <w:numFmt w:val="lowerLetter"/>
      <w:start w:val="1"/>
    </w:lvl>
  </w:abstractNum>
  <w:abstractNum w:abstractNumId="142">
    <w:nsid w:val="4DEFDFA0"/>
    <w:multiLevelType w:val="hybridMultilevel"/>
    <w:lvl w:ilvl="0">
      <w:lvlJc w:val="left"/>
      <w:lvlText w:val="(%1)"/>
      <w:numFmt w:val="lowerLetter"/>
      <w:start w:val="1"/>
    </w:lvl>
    <w:lvl w:ilvl="1">
      <w:lvlJc w:val="left"/>
      <w:lvlText w:val="(%2)"/>
      <w:numFmt w:val="lowerRoman"/>
      <w:start w:val="1"/>
    </w:lvl>
  </w:abstractNum>
  <w:abstractNum w:abstractNumId="143">
    <w:nsid w:val="2123D5F2"/>
    <w:multiLevelType w:val="hybridMultilevel"/>
    <w:lvl w:ilvl="0">
      <w:lvlJc w:val="left"/>
      <w:lvlText w:val="(%1)"/>
      <w:numFmt w:val="lowerLetter"/>
      <w:start w:val="6"/>
    </w:lvl>
    <w:lvl w:ilvl="1">
      <w:lvlJc w:val="left"/>
      <w:lvlText w:val="(%2)"/>
      <w:numFmt w:val="lowerLetter"/>
      <w:start w:val="9"/>
    </w:lvl>
  </w:abstractNum>
  <w:abstractNum w:abstractNumId="144">
    <w:nsid w:val="135B8110"/>
    <w:multiLevelType w:val="hybridMultilevel"/>
    <w:lvl w:ilvl="0">
      <w:lvlJc w:val="left"/>
      <w:lvlText w:val="%1"/>
      <w:numFmt w:val="lowerLetter"/>
      <w:start w:val="1"/>
    </w:lvl>
    <w:lvl w:ilvl="1">
      <w:lvlJc w:val="left"/>
      <w:lvlText w:val="(%2)"/>
      <w:numFmt w:val="lowerLetter"/>
      <w:start w:val="35"/>
    </w:lvl>
  </w:abstractNum>
  <w:abstractNum w:abstractNumId="145">
    <w:nsid w:val="94927A8"/>
    <w:multiLevelType w:val="hybridMultilevel"/>
    <w:lvl w:ilvl="0">
      <w:lvlJc w:val="left"/>
      <w:lvlText w:val="(%1)"/>
      <w:numFmt w:val="lowerLetter"/>
      <w:start w:val="10"/>
    </w:lvl>
    <w:lvl w:ilvl="1">
      <w:lvlJc w:val="left"/>
      <w:lvlText w:val="%2"/>
      <w:numFmt w:val="lowerLetter"/>
      <w:start w:val="1"/>
    </w:lvl>
  </w:abstractNum>
  <w:abstractNum w:abstractNumId="146">
    <w:nsid w:val="DCDF8F6"/>
    <w:multiLevelType w:val="hybridMultilevel"/>
    <w:lvl w:ilvl="0">
      <w:lvlJc w:val="left"/>
      <w:lvlText w:val="(%1)"/>
      <w:numFmt w:val="lowerLetter"/>
      <w:start w:val="11"/>
    </w:lvl>
  </w:abstractNum>
  <w:abstractNum w:abstractNumId="147">
    <w:nsid w:val="52D7B105"/>
    <w:multiLevelType w:val="hybridMultilevel"/>
    <w:lvl w:ilvl="0">
      <w:lvlJc w:val="left"/>
      <w:lvlText w:val="(%1)"/>
      <w:numFmt w:val="lowerLetter"/>
      <w:start w:val="1"/>
    </w:lvl>
  </w:abstractNum>
  <w:abstractNum w:abstractNumId="148">
    <w:nsid w:val="2E8A6394"/>
    <w:multiLevelType w:val="hybridMultilevel"/>
    <w:lvl w:ilvl="0">
      <w:lvlJc w:val="left"/>
      <w:lvlText w:val="(%1)"/>
      <w:numFmt w:val="lowerRoman"/>
      <w:start w:val="4"/>
    </w:lvl>
  </w:abstractNum>
  <w:abstractNum w:abstractNumId="149">
    <w:nsid w:val="24E60401"/>
    <w:multiLevelType w:val="hybridMultilevel"/>
    <w:lvl w:ilvl="0">
      <w:lvlJc w:val="left"/>
      <w:lvlText w:val="(%1)"/>
      <w:numFmt w:val="lowerLetter"/>
      <w:start w:val="1"/>
    </w:lvl>
  </w:abstractNum>
  <w:abstractNum w:abstractNumId="150">
    <w:nsid w:val="2A6AD9BE"/>
    <w:multiLevelType w:val="hybridMultilevel"/>
    <w:lvl w:ilvl="0">
      <w:lvlJc w:val="left"/>
      <w:lvlText w:val="(%1)"/>
      <w:numFmt w:val="lowerRoman"/>
      <w:start w:val="5"/>
    </w:lvl>
  </w:abstractNum>
  <w:abstractNum w:abstractNumId="151">
    <w:nsid w:val="BAAC1B4"/>
    <w:multiLevelType w:val="hybridMultilevel"/>
    <w:lvl w:ilvl="0">
      <w:lvlJc w:val="left"/>
      <w:lvlText w:val="(%1)"/>
      <w:numFmt w:val="lowerLetter"/>
      <w:start w:val="1"/>
    </w:lvl>
  </w:abstractNum>
  <w:abstractNum w:abstractNumId="152">
    <w:nsid w:val="36B2ACBC"/>
    <w:multiLevelType w:val="hybridMultilevel"/>
    <w:lvl w:ilvl="0">
      <w:lvlJc w:val="left"/>
      <w:lvlText w:val="(%1)"/>
      <w:numFmt w:val="lowerLetter"/>
      <w:start w:val="1"/>
    </w:lvl>
    <w:lvl w:ilvl="1">
      <w:lvlJc w:val="left"/>
      <w:lvlText w:val="(%2)"/>
      <w:numFmt w:val="lowerLetter"/>
      <w:start w:val="9"/>
    </w:lvl>
  </w:abstractNum>
  <w:abstractNum w:abstractNumId="153">
    <w:nsid w:val="779D8544"/>
    <w:multiLevelType w:val="hybridMultilevel"/>
    <w:lvl w:ilvl="0">
      <w:lvlJc w:val="left"/>
      <w:lvlText w:val="%1"/>
      <w:numFmt w:val="lowerLetter"/>
      <w:start w:val="1"/>
    </w:lvl>
    <w:lvl w:ilvl="1">
      <w:lvlJc w:val="left"/>
      <w:lvlText w:val="(%2)"/>
      <w:numFmt w:val="lowerLetter"/>
      <w:start w:val="35"/>
    </w:lvl>
  </w:abstractNum>
  <w:abstractNum w:abstractNumId="154">
    <w:nsid w:val="4AB26E78"/>
    <w:multiLevelType w:val="hybridMultilevel"/>
    <w:lvl w:ilvl="0">
      <w:lvlJc w:val="left"/>
      <w:lvlText w:val="(%1)"/>
      <w:numFmt w:val="lowerLetter"/>
      <w:start w:val="2"/>
    </w:lvl>
    <w:lvl w:ilvl="1">
      <w:lvlJc w:val="left"/>
      <w:lvlText w:val="%2"/>
      <w:numFmt w:val="lowerLetter"/>
      <w:start w:val="1"/>
    </w:lvl>
  </w:abstractNum>
  <w:abstractNum w:abstractNumId="155">
    <w:nsid w:val="21FAA2FA"/>
    <w:multiLevelType w:val="hybridMultilevel"/>
    <w:lvl w:ilvl="0">
      <w:lvlJc w:val="left"/>
      <w:lvlText w:val="(%1)"/>
      <w:numFmt w:val="lowerLetter"/>
      <w:start w:val="1"/>
    </w:lvl>
  </w:abstractNum>
  <w:abstractNum w:abstractNumId="156">
    <w:nsid w:val="5451CF49"/>
    <w:multiLevelType w:val="hybridMultilevel"/>
    <w:lvl w:ilvl="0">
      <w:lvlJc w:val="left"/>
      <w:lvlText w:val="(%1)"/>
      <w:numFmt w:val="lowerLetter"/>
      <w:start w:val="1"/>
    </w:lvl>
  </w:abstractNum>
  <w:abstractNum w:abstractNumId="157">
    <w:nsid w:val="6181EF69"/>
    <w:multiLevelType w:val="hybridMultilevel"/>
    <w:lvl w:ilvl="0">
      <w:lvlJc w:val="left"/>
      <w:lvlText w:val="(%1)"/>
      <w:numFmt w:val="lowerLetter"/>
      <w:start w:val="1"/>
    </w:lvl>
  </w:abstractNum>
  <w:abstractNum w:abstractNumId="158">
    <w:nsid w:val="3E6400E6"/>
    <w:multiLevelType w:val="hybridMultilevel"/>
    <w:lvl w:ilvl="0">
      <w:lvlJc w:val="left"/>
      <w:lvlText w:val="(%1)"/>
      <w:numFmt w:val="lowerLetter"/>
      <w:start w:val="1"/>
    </w:lvl>
  </w:abstractNum>
  <w:abstractNum w:abstractNumId="159">
    <w:nsid w:val="14217E23"/>
    <w:multiLevelType w:val="hybridMultilevel"/>
    <w:lvl w:ilvl="0">
      <w:lvlJc w:val="left"/>
      <w:lvlText w:val="(%1)"/>
      <w:numFmt w:val="lowerLetter"/>
      <w:start w:val="3"/>
    </w:lvl>
  </w:abstractNum>
  <w:abstractNum w:abstractNumId="160">
    <w:nsid w:val="710757D0"/>
    <w:multiLevelType w:val="hybridMultilevel"/>
    <w:lvl w:ilvl="0">
      <w:lvlJc w:val="left"/>
      <w:lvlText w:val="(%1)"/>
      <w:numFmt w:val="lowerLetter"/>
      <w:start w:val="1"/>
    </w:lvl>
  </w:abstractNum>
  <w:abstractNum w:abstractNumId="161">
    <w:nsid w:val="5015CD1A"/>
    <w:multiLevelType w:val="hybridMultilevel"/>
    <w:lvl w:ilvl="0">
      <w:lvlJc w:val="left"/>
      <w:lvlText w:val="(%1)"/>
      <w:numFmt w:val="lowerLetter"/>
      <w:start w:val="2"/>
    </w:lvl>
  </w:abstractNum>
  <w:abstractNum w:abstractNumId="162">
    <w:nsid w:val="424479DA"/>
    <w:multiLevelType w:val="hybridMultilevel"/>
    <w:lvl w:ilvl="0">
      <w:lvlJc w:val="left"/>
      <w:lvlText w:val="%1"/>
      <w:numFmt w:val="lowerLetter"/>
      <w:start w:val="1"/>
    </w:lvl>
    <w:lvl w:ilvl="1">
      <w:lvlJc w:val="left"/>
      <w:lvlText w:val="(%2)"/>
      <w:numFmt w:val="lowerLetter"/>
      <w:start w:val="3"/>
    </w:lvl>
  </w:abstractNum>
  <w:abstractNum w:abstractNumId="163">
    <w:nsid w:val="1A9A9E69"/>
    <w:multiLevelType w:val="hybridMultilevel"/>
    <w:lvl w:ilvl="0">
      <w:lvlJc w:val="left"/>
      <w:lvlText w:val="(%1)"/>
      <w:numFmt w:val="lowerLetter"/>
      <w:start w:val="35"/>
    </w:lvl>
    <w:lvl w:ilvl="1">
      <w:lvlJc w:val="left"/>
      <w:lvlText w:val="(%2)"/>
      <w:numFmt w:val="lowerLetter"/>
      <w:start w:val="5"/>
    </w:lvl>
  </w:abstractNum>
  <w:abstractNum w:abstractNumId="164">
    <w:nsid w:val="475E256A"/>
    <w:multiLevelType w:val="hybridMultilevel"/>
    <w:lvl w:ilvl="0">
      <w:lvlJc w:val="left"/>
      <w:lvlText w:val="(%1)"/>
      <w:numFmt w:val="lowerLetter"/>
      <w:start w:val="35"/>
    </w:lvl>
    <w:lvl w:ilvl="1">
      <w:lvlJc w:val="left"/>
      <w:lvlText w:val="%2"/>
      <w:numFmt w:val="lowerLetter"/>
      <w:start w:val="1"/>
    </w:lvl>
  </w:abstractNum>
  <w:abstractNum w:abstractNumId="165">
    <w:nsid w:val="368DB37E"/>
    <w:multiLevelType w:val="hybridMultilevel"/>
    <w:lvl w:ilvl="0">
      <w:lvlJc w:val="left"/>
      <w:lvlText w:val="(%1)"/>
      <w:numFmt w:val="lowerLetter"/>
      <w:start w:val="1"/>
    </w:lvl>
  </w:abstractNum>
  <w:abstractNum w:abstractNumId="166">
    <w:nsid w:val="6A3B714C"/>
    <w:multiLevelType w:val="hybridMultilevel"/>
    <w:lvl w:ilvl="0">
      <w:lvlJc w:val="left"/>
      <w:lvlText w:val="(%1)"/>
      <w:numFmt w:val="lowerLetter"/>
      <w:start w:val="3"/>
    </w:lvl>
  </w:abstractNum>
  <w:abstractNum w:abstractNumId="167">
    <w:nsid w:val="327B51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8">
    <w:nsid w:val="1F461B51"/>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169">
    <w:nsid w:val="29BACF25"/>
    <w:multiLevelType w:val="hybridMultilevel"/>
    <w:lvl w:ilvl="0">
      <w:lvlJc w:val="left"/>
      <w:lvlText w:val="(%1)"/>
      <w:numFmt w:val="lowerRoman"/>
      <w:start w:val="2"/>
    </w:lvl>
    <w:lvl w:ilvl="1">
      <w:lvlJc w:val="left"/>
      <w:lvlText w:val="(%2)"/>
      <w:numFmt w:val="decimal"/>
      <w:start w:val="9"/>
    </w:lvl>
    <w:lvl w:ilvl="2">
      <w:lvlJc w:val="left"/>
      <w:lvlText w:val="(%3)"/>
      <w:numFmt w:val="upperLetter"/>
      <w:start w:val="1"/>
    </w:lvl>
  </w:abstractNum>
  <w:abstractNum w:abstractNumId="170">
    <w:nsid w:val="5D5BABB3"/>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171">
    <w:nsid w:val="51BF6B48"/>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172">
    <w:nsid w:val="7E0F6384"/>
    <w:multiLevelType w:val="hybridMultilevel"/>
    <w:lvl w:ilvl="0">
      <w:lvlJc w:val="left"/>
      <w:lvlText w:val="(%1)"/>
      <w:numFmt w:val="lowerRoman"/>
      <w:start w:val="5"/>
    </w:lvl>
    <w:lvl w:ilvl="1">
      <w:lvlJc w:val="left"/>
      <w:lvlText w:val="(%2)"/>
      <w:numFmt w:val="upperLetter"/>
      <w:start w:val="1"/>
    </w:lvl>
    <w:lvl w:ilvl="2">
      <w:lvlJc w:val="left"/>
      <w:lvlText w:val="(%3)"/>
      <w:numFmt w:val="upperLetter"/>
      <w:start w:val="1"/>
    </w:lvl>
  </w:abstractNum>
  <w:abstractNum w:abstractNumId="173">
    <w:nsid w:val="2B4B8B53"/>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abstractNum>
  <w:abstractNum w:abstractNumId="174">
    <w:nsid w:val="72E3413A"/>
    <w:multiLevelType w:val="hybridMultilevel"/>
    <w:lvl w:ilvl="0">
      <w:lvlJc w:val="left"/>
      <w:lvlText w:val="(%1)"/>
      <w:numFmt w:val="lowerRoman"/>
      <w:start w:val="6"/>
    </w:lvl>
    <w:lvl w:ilvl="1">
      <w:lvlJc w:val="left"/>
      <w:lvlText w:val="%2"/>
      <w:numFmt w:val="upperLetter"/>
      <w:start w:val="1"/>
    </w:lvl>
    <w:lvl w:ilvl="2">
      <w:lvlJc w:val="left"/>
      <w:lvlText w:val="%3"/>
      <w:numFmt w:val="upperLetter"/>
      <w:start w:val="1"/>
    </w:lvl>
  </w:abstractNum>
  <w:abstractNum w:abstractNumId="175">
    <w:nsid w:val="116AE494"/>
    <w:multiLevelType w:val="hybridMultilevel"/>
    <w:lvl w:ilvl="0">
      <w:lvlJc w:val="left"/>
      <w:lvlText w:val="%1"/>
      <w:numFmt w:val="lowerLetter"/>
      <w:start w:val="1"/>
    </w:lvl>
    <w:lvl w:ilvl="1">
      <w:lvlJc w:val="left"/>
      <w:lvlText w:val="(%2)"/>
      <w:numFmt w:val="lowerRoman"/>
      <w:start w:val="7"/>
    </w:lvl>
  </w:abstractNum>
  <w:abstractNum w:abstractNumId="176">
    <w:nsid w:val="3494B2FB"/>
    <w:multiLevelType w:val="hybridMultilevel"/>
    <w:lvl w:ilvl="0">
      <w:lvlJc w:val="left"/>
      <w:lvlText w:val="(%1)"/>
      <w:numFmt w:val="lowerLetter"/>
      <w:start w:val="3"/>
    </w:lvl>
    <w:lvl w:ilvl="1">
      <w:lvlJc w:val="left"/>
      <w:lvlText w:val="%2"/>
      <w:numFmt w:val="lowerRoman"/>
      <w:start w:val="1"/>
    </w:lvl>
  </w:abstractNum>
  <w:abstractNum w:abstractNumId="177">
    <w:nsid w:val="B13A31"/>
    <w:multiLevelType w:val="hybridMultilevel"/>
    <w:lvl w:ilvl="0">
      <w:lvlJc w:val="left"/>
      <w:lvlText w:val="(%1)"/>
      <w:numFmt w:val="upperLetter"/>
      <w:start w:val="2"/>
    </w:lvl>
  </w:abstractNum>
  <w:abstractNum w:abstractNumId="178">
    <w:nsid w:val="64429599"/>
    <w:multiLevelType w:val="hybridMultilevel"/>
    <w:lvl w:ilvl="0">
      <w:lvlJc w:val="left"/>
      <w:lvlText w:val="(%1)"/>
      <w:numFmt w:val="lowerLetter"/>
      <w:start w:val="5"/>
    </w:lvl>
  </w:abstractNum>
  <w:abstractNum w:abstractNumId="179">
    <w:nsid w:val="631F1690"/>
    <w:multiLevelType w:val="hybridMultilevel"/>
    <w:lvl w:ilvl="0">
      <w:lvlJc w:val="left"/>
      <w:lvlText w:val="(%1)"/>
      <w:numFmt w:val="lowerRoman"/>
      <w:start w:val="1"/>
    </w:lvl>
  </w:abstractNum>
  <w:abstractNum w:abstractNumId="180">
    <w:nsid w:val="25973E32"/>
    <w:multiLevelType w:val="hybridMultilevel"/>
    <w:lvl w:ilvl="0">
      <w:lvlJc w:val="left"/>
      <w:lvlText w:val="(%1)"/>
      <w:numFmt w:val="lowerLetter"/>
      <w:start w:val="2"/>
    </w:lvl>
  </w:abstractNum>
  <w:abstractNum w:abstractNumId="181">
    <w:nsid w:val="EAD6F57"/>
    <w:multiLevelType w:val="hybridMultilevel"/>
    <w:lvl w:ilvl="0">
      <w:lvlJc w:val="left"/>
      <w:lvlText w:val="(%1)"/>
      <w:numFmt w:val="lowerLetter"/>
      <w:start w:val="1"/>
    </w:lvl>
  </w:abstractNum>
  <w:abstractNum w:abstractNumId="182">
    <w:nsid w:val="6EC9D844"/>
    <w:multiLevelType w:val="hybridMultilevel"/>
    <w:lvl w:ilvl="0">
      <w:lvlJc w:val="left"/>
      <w:lvlText w:val="(%1)"/>
      <w:numFmt w:val="lowerLetter"/>
      <w:start w:val="2"/>
    </w:lvl>
  </w:abstractNum>
  <w:abstractNum w:abstractNumId="183">
    <w:nsid w:val="5C49EAEE"/>
    <w:multiLevelType w:val="hybridMultilevel"/>
    <w:lvl w:ilvl="0">
      <w:lvlJc w:val="left"/>
      <w:lvlText w:val="(%1)"/>
      <w:numFmt w:val="lowerLetter"/>
      <w:start w:val="1"/>
    </w:lvl>
  </w:abstractNum>
  <w:abstractNum w:abstractNumId="184">
    <w:nsid w:val="64AF49B"/>
    <w:multiLevelType w:val="hybridMultilevel"/>
    <w:lvl w:ilvl="0">
      <w:lvlJc w:val="left"/>
      <w:lvlText w:val="(%1)"/>
      <w:numFmt w:val="lowerLetter"/>
      <w:start w:val="3"/>
    </w:lvl>
  </w:abstractNum>
  <w:abstractNum w:abstractNumId="185">
    <w:nsid w:val="397C46BC"/>
    <w:multiLevelType w:val="hybridMultilevel"/>
    <w:lvl w:ilvl="0">
      <w:lvlJc w:val="left"/>
      <w:lvlText w:val="(%1)"/>
      <w:numFmt w:val="upperLetter"/>
      <w:start w:val="1"/>
    </w:lvl>
  </w:abstractNum>
  <w:abstractNum w:abstractNumId="186">
    <w:nsid w:val="7E448DE9"/>
    <w:multiLevelType w:val="hybridMultilevel"/>
    <w:lvl w:ilvl="0">
      <w:lvlJc w:val="left"/>
      <w:lvlText w:val="(%1)"/>
      <w:numFmt w:val="lowerLetter"/>
      <w:start w:val="1"/>
    </w:lvl>
    <w:lvl w:ilvl="1">
      <w:lvlJc w:val="left"/>
      <w:lvlText w:val="(%2)"/>
      <w:numFmt w:val="lowerRoman"/>
      <w:start w:val="1"/>
    </w:lvl>
  </w:abstractNum>
  <w:abstractNum w:abstractNumId="187">
    <w:nsid w:val="5A9CC3E5"/>
    <w:multiLevelType w:val="hybridMultilevel"/>
    <w:lvl w:ilvl="0">
      <w:lvlJc w:val="left"/>
      <w:lvlText w:val="%1."/>
      <w:numFmt w:val="decimal"/>
      <w:start w:val="1"/>
    </w:lvl>
    <w:lvl w:ilvl="1">
      <w:lvlJc w:val="left"/>
      <w:lvlText w:val="(%2)"/>
      <w:numFmt w:val="lowerLetter"/>
      <w:start w:val="1"/>
    </w:lvl>
  </w:abstractNum>
  <w:abstractNum w:abstractNumId="188">
    <w:nsid w:val="1AFE3625"/>
    <w:multiLevelType w:val="hybridMultilevel"/>
    <w:lvl w:ilvl="0">
      <w:lvlJc w:val="left"/>
      <w:lvlText w:val="(%1)"/>
      <w:numFmt w:val="lowerLetter"/>
      <w:start w:val="2"/>
    </w:lvl>
  </w:abstractNum>
  <w:abstractNum w:abstractNumId="189">
    <w:nsid w:val="3CA88ECF"/>
    <w:multiLevelType w:val="hybridMultilevel"/>
    <w:lvl w:ilvl="0">
      <w:lvlJc w:val="left"/>
      <w:lvlText w:val="(%1)"/>
      <w:numFmt w:val="lowerLetter"/>
      <w:start w:val="3"/>
    </w:lvl>
    <w:lvl w:ilvl="1">
      <w:lvlJc w:val="left"/>
      <w:lvlText w:val="(%2)"/>
      <w:numFmt w:val="lowerLetter"/>
      <w:start w:val="1"/>
    </w:lvl>
  </w:abstractNum>
  <w:abstractNum w:abstractNumId="190">
    <w:nsid w:val="6EBE4208"/>
    <w:multiLevelType w:val="hybridMultilevel"/>
    <w:lvl w:ilvl="0">
      <w:lvlJc w:val="left"/>
      <w:lvlText w:val="%1"/>
      <w:numFmt w:val="lowerLetter"/>
      <w:start w:val="1"/>
    </w:lvl>
    <w:lvl w:ilvl="1">
      <w:lvlJc w:val="left"/>
      <w:lvlText w:val="(%2)"/>
      <w:numFmt w:val="lowerLetter"/>
      <w:start w:val="5"/>
    </w:lvl>
  </w:abstractNum>
  <w:abstractNum w:abstractNumId="191">
    <w:nsid w:val="C058DF5"/>
    <w:multiLevelType w:val="hybridMultilevel"/>
    <w:lvl w:ilvl="0">
      <w:lvlJc w:val="left"/>
      <w:lvlText w:val="%1."/>
      <w:numFmt w:val="decimal"/>
      <w:start w:val="2"/>
    </w:lvl>
    <w:lvl w:ilvl="1">
      <w:lvlJc w:val="left"/>
      <w:lvlText w:val="(%2)"/>
      <w:numFmt w:val="lowerLetter"/>
      <w:start w:val="1"/>
    </w:lvl>
  </w:abstractNum>
  <w:abstractNum w:abstractNumId="192">
    <w:nsid w:val="CBE5BE9"/>
    <w:multiLevelType w:val="hybridMultilevel"/>
    <w:lvl w:ilvl="0">
      <w:lvlJc w:val="left"/>
      <w:lvlText w:val="%1"/>
      <w:numFmt w:val="decimal"/>
      <w:start w:val="1"/>
    </w:lvl>
    <w:lvl w:ilvl="1">
      <w:lvlJc w:val="left"/>
      <w:lvlText w:val="(%2)"/>
      <w:numFmt w:val="lowerLetter"/>
      <w:start w:val="3"/>
    </w:lvl>
  </w:abstractNum>
  <w:abstractNum w:abstractNumId="193">
    <w:nsid w:val="3102BBE2"/>
    <w:multiLevelType w:val="hybridMultilevel"/>
    <w:lvl w:ilvl="0">
      <w:lvlJc w:val="left"/>
      <w:lvlText w:val="%1."/>
      <w:numFmt w:val="decimal"/>
      <w:start w:val="3"/>
    </w:lvl>
    <w:lvl w:ilvl="1">
      <w:lvlJc w:val="left"/>
      <w:lvlText w:val="(%2)"/>
      <w:numFmt w:val="lowerLetter"/>
      <w:start w:val="1"/>
    </w:lvl>
  </w:abstractNum>
  <w:abstractNum w:abstractNumId="194">
    <w:nsid w:val="26A02C5E"/>
    <w:multiLevelType w:val="hybridMultilevel"/>
    <w:lvl w:ilvl="0">
      <w:lvlJc w:val="left"/>
      <w:lvlText w:val="%1"/>
      <w:numFmt w:val="decimal"/>
      <w:start w:val="1"/>
    </w:lvl>
    <w:lvl w:ilvl="1">
      <w:lvlJc w:val="left"/>
      <w:lvlText w:val="(%2)"/>
      <w:numFmt w:val="lowerLetter"/>
      <w:start w:val="2"/>
    </w:lvl>
  </w:abstractNum>
  <w:abstractNum w:abstractNumId="195">
    <w:nsid w:val="541C8153"/>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2024-03-15T15:48:21Z</dcterms:created>
  <dcterms:modified xsi:type="dcterms:W3CDTF">2024-03-15T15:48:21Z</dcterms:modified>
</cp:coreProperties>
</file>