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8"/>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143510</wp:posOffset>
            </wp:positionH>
            <wp:positionV relativeFrom="page">
              <wp:posOffset>107950</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UNITED STATES</w:t>
      </w:r>
    </w:p>
    <w:p>
      <w:pPr>
        <w:spacing w:after="0" w:line="32" w:lineRule="exact"/>
        <w:rPr>
          <w:sz w:val="24"/>
          <w:szCs w:val="24"/>
          <w:color w:val="auto"/>
        </w:rPr>
      </w:pPr>
    </w:p>
    <w:p>
      <w:pPr>
        <w:jc w:val="center"/>
        <w:ind w:right="-848"/>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848"/>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848"/>
        <w:spacing w:after="0"/>
        <w:rPr>
          <w:sz w:val="20"/>
          <w:szCs w:val="20"/>
          <w:color w:val="auto"/>
        </w:rPr>
      </w:pPr>
      <w:r>
        <w:rPr>
          <w:rFonts w:ascii="Arial" w:cs="Arial" w:eastAsia="Arial" w:hAnsi="Arial"/>
          <w:sz w:val="27"/>
          <w:szCs w:val="27"/>
          <w:b w:val="1"/>
          <w:bCs w:val="1"/>
          <w:color w:val="auto"/>
        </w:rPr>
        <w:t>FORM 8-K</w:t>
      </w:r>
    </w:p>
    <w:p>
      <w:pPr>
        <w:spacing w:after="0" w:line="210" w:lineRule="exact"/>
        <w:rPr>
          <w:sz w:val="24"/>
          <w:szCs w:val="24"/>
          <w:color w:val="auto"/>
        </w:rPr>
      </w:pPr>
    </w:p>
    <w:p>
      <w:pPr>
        <w:jc w:val="center"/>
        <w:ind w:right="-848"/>
        <w:spacing w:after="0"/>
        <w:rPr>
          <w:sz w:val="20"/>
          <w:szCs w:val="20"/>
          <w:color w:val="auto"/>
        </w:rPr>
      </w:pPr>
      <w:r>
        <w:rPr>
          <w:rFonts w:ascii="Arial" w:cs="Arial" w:eastAsia="Arial" w:hAnsi="Arial"/>
          <w:sz w:val="18"/>
          <w:szCs w:val="18"/>
          <w:b w:val="1"/>
          <w:bCs w:val="1"/>
          <w:color w:val="auto"/>
        </w:rPr>
        <w:t>CURRENT REPORT</w:t>
      </w:r>
    </w:p>
    <w:p>
      <w:pPr>
        <w:spacing w:after="0" w:line="201" w:lineRule="exact"/>
        <w:rPr>
          <w:sz w:val="24"/>
          <w:szCs w:val="24"/>
          <w:color w:val="auto"/>
        </w:rPr>
      </w:pPr>
    </w:p>
    <w:p>
      <w:pPr>
        <w:ind w:left="210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13" w:lineRule="exact"/>
        <w:rPr>
          <w:sz w:val="24"/>
          <w:szCs w:val="24"/>
          <w:color w:val="auto"/>
        </w:rPr>
      </w:pPr>
    </w:p>
    <w:p>
      <w:pPr>
        <w:ind w:left="9"/>
        <w:spacing w:after="0"/>
        <w:rPr>
          <w:sz w:val="20"/>
          <w:szCs w:val="20"/>
          <w:color w:val="auto"/>
        </w:rPr>
      </w:pPr>
      <w:r>
        <w:rPr>
          <w:rFonts w:ascii="Arial" w:cs="Arial" w:eastAsia="Arial" w:hAnsi="Arial"/>
          <w:sz w:val="15"/>
          <w:szCs w:val="15"/>
          <w:b w:val="1"/>
          <w:bCs w:val="1"/>
          <w:color w:val="auto"/>
        </w:rPr>
        <w:t>Date of Report (Date of earliest event reported): August 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474345" cy="467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345" cy="467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4989"/>
        <w:spacing w:after="0"/>
        <w:rPr>
          <w:sz w:val="20"/>
          <w:szCs w:val="20"/>
          <w:color w:val="auto"/>
        </w:rPr>
      </w:pPr>
      <w:r>
        <w:rPr>
          <w:rFonts w:ascii="Arial" w:cs="Arial" w:eastAsia="Arial" w:hAnsi="Arial"/>
          <w:sz w:val="36"/>
          <w:szCs w:val="36"/>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828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6985"/>
                    </a:xfrm>
                    <a:prstGeom prst="rect">
                      <a:avLst/>
                    </a:prstGeom>
                    <a:noFill/>
                  </pic:spPr>
                </pic:pic>
              </a:graphicData>
            </a:graphic>
          </wp:anchor>
        </w:drawing>
      </w:r>
    </w:p>
    <w:p>
      <w:pPr>
        <w:spacing w:after="0" w:line="194" w:lineRule="exact"/>
        <w:rPr>
          <w:sz w:val="24"/>
          <w:szCs w:val="24"/>
          <w:color w:val="auto"/>
        </w:rPr>
      </w:pPr>
    </w:p>
    <w:p>
      <w:pPr>
        <w:ind w:left="438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391" w:lineRule="exact"/>
        <w:rPr>
          <w:sz w:val="24"/>
          <w:szCs w:val="24"/>
          <w:color w:val="auto"/>
        </w:rPr>
      </w:pPr>
    </w:p>
    <w:tbl>
      <w:tblPr>
        <w:tblLayout w:type="fixed"/>
        <w:tblInd w:w="609" w:type="dxa"/>
        <w:tblCellMar>
          <w:top w:w="0" w:type="dxa"/>
          <w:left w:w="0" w:type="dxa"/>
          <w:bottom w:w="0" w:type="dxa"/>
          <w:right w:w="0" w:type="dxa"/>
        </w:tblCellMar>
      </w:tblPr>
      <w:tr>
        <w:trPr>
          <w:trHeight w:val="208"/>
        </w:trPr>
        <w:tc>
          <w:tcPr>
            <w:tcW w:w="3460" w:type="dxa"/>
            <w:vAlign w:val="bottom"/>
          </w:tcPr>
          <w:p>
            <w:pPr>
              <w:jc w:val="center"/>
              <w:ind w:right="782"/>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1485"/>
              <w:spacing w:after="0"/>
              <w:rPr>
                <w:sz w:val="20"/>
                <w:szCs w:val="20"/>
                <w:color w:val="auto"/>
              </w:rPr>
            </w:pPr>
            <w:r>
              <w:rPr>
                <w:rFonts w:ascii="Arial" w:cs="Arial" w:eastAsia="Arial" w:hAnsi="Arial"/>
                <w:sz w:val="15"/>
                <w:szCs w:val="15"/>
                <w:b w:val="1"/>
                <w:bCs w:val="1"/>
                <w:color w:val="auto"/>
              </w:rPr>
              <w:t>0-23486</w:t>
            </w:r>
          </w:p>
        </w:tc>
        <w:tc>
          <w:tcPr>
            <w:tcW w:w="3060" w:type="dxa"/>
            <w:vAlign w:val="bottom"/>
          </w:tcPr>
          <w:p>
            <w:pPr>
              <w:jc w:val="right"/>
              <w:ind w:right="601"/>
              <w:spacing w:after="0"/>
              <w:rPr>
                <w:sz w:val="20"/>
                <w:szCs w:val="20"/>
                <w:color w:val="auto"/>
              </w:rPr>
            </w:pPr>
            <w:r>
              <w:rPr>
                <w:rFonts w:ascii="Arial" w:cs="Arial" w:eastAsia="Arial" w:hAnsi="Arial"/>
                <w:sz w:val="15"/>
                <w:szCs w:val="15"/>
                <w:b w:val="1"/>
                <w:bCs w:val="1"/>
                <w:color w:val="auto"/>
              </w:rPr>
              <w:t>62-1096725</w:t>
            </w:r>
          </w:p>
        </w:tc>
      </w:tr>
      <w:tr>
        <w:trPr>
          <w:trHeight w:val="231"/>
        </w:trPr>
        <w:tc>
          <w:tcPr>
            <w:tcW w:w="3460" w:type="dxa"/>
            <w:vAlign w:val="bottom"/>
          </w:tcPr>
          <w:p>
            <w:pPr>
              <w:spacing w:after="0"/>
              <w:rPr>
                <w:sz w:val="20"/>
                <w:szCs w:val="20"/>
                <w:color w:val="auto"/>
              </w:rPr>
            </w:pPr>
            <w:r>
              <w:rPr>
                <w:rFonts w:ascii="Arial" w:cs="Arial" w:eastAsia="Arial" w:hAnsi="Arial"/>
                <w:sz w:val="15"/>
                <w:szCs w:val="15"/>
                <w:color w:val="auto"/>
              </w:rPr>
              <w:t>(State or other jurisdiction of incorporation)</w:t>
            </w:r>
          </w:p>
        </w:tc>
        <w:tc>
          <w:tcPr>
            <w:tcW w:w="3460" w:type="dxa"/>
            <w:vAlign w:val="bottom"/>
          </w:tcPr>
          <w:p>
            <w:pPr>
              <w:jc w:val="center"/>
              <w:ind w:right="85"/>
              <w:spacing w:after="0"/>
              <w:rPr>
                <w:sz w:val="20"/>
                <w:szCs w:val="20"/>
                <w:color w:val="auto"/>
              </w:rPr>
            </w:pPr>
            <w:r>
              <w:rPr>
                <w:rFonts w:ascii="Arial" w:cs="Arial" w:eastAsia="Arial" w:hAnsi="Arial"/>
                <w:sz w:val="15"/>
                <w:szCs w:val="15"/>
                <w:color w:val="auto"/>
                <w:w w:val="93"/>
              </w:rPr>
              <w:t>(Commission File Number)</w:t>
            </w:r>
          </w:p>
        </w:tc>
        <w:tc>
          <w:tcPr>
            <w:tcW w:w="3060" w:type="dxa"/>
            <w:vAlign w:val="bottom"/>
          </w:tcPr>
          <w:p>
            <w:pPr>
              <w:jc w:val="center"/>
              <w:ind w:left="881"/>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IRS Employer Identification No.)</w:t>
            </w:r>
          </w:p>
        </w:tc>
      </w:tr>
      <w:tr>
        <w:trPr>
          <w:trHeight w:val="339"/>
        </w:trPr>
        <w:tc>
          <w:tcPr>
            <w:tcW w:w="3460" w:type="dxa"/>
            <w:vAlign w:val="bottom"/>
          </w:tcPr>
          <w:p>
            <w:pPr>
              <w:jc w:val="center"/>
              <w:ind w:right="742"/>
              <w:spacing w:after="0"/>
              <w:rPr>
                <w:sz w:val="20"/>
                <w:szCs w:val="20"/>
                <w:color w:val="auto"/>
              </w:rPr>
            </w:pPr>
            <w:r>
              <w:rPr>
                <w:rFonts w:ascii="Arial" w:cs="Arial" w:eastAsia="Arial" w:hAnsi="Arial"/>
                <w:sz w:val="15"/>
                <w:szCs w:val="15"/>
                <w:b w:val="1"/>
                <w:bCs w:val="1"/>
                <w:color w:val="auto"/>
                <w:w w:val="91"/>
              </w:rPr>
              <w:t>2000 Waters Edge Drive</w:t>
            </w:r>
          </w:p>
        </w:tc>
        <w:tc>
          <w:tcPr>
            <w:tcW w:w="3460" w:type="dxa"/>
            <w:vAlign w:val="bottom"/>
          </w:tcPr>
          <w:p>
            <w:pPr>
              <w:spacing w:after="0"/>
              <w:rPr>
                <w:sz w:val="24"/>
                <w:szCs w:val="24"/>
                <w:color w:val="auto"/>
              </w:rPr>
            </w:pPr>
          </w:p>
        </w:tc>
        <w:tc>
          <w:tcPr>
            <w:tcW w:w="3060" w:type="dxa"/>
            <w:vAlign w:val="bottom"/>
          </w:tcPr>
          <w:p>
            <w:pPr>
              <w:jc w:val="right"/>
              <w:ind w:right="781"/>
              <w:spacing w:after="0"/>
              <w:rPr>
                <w:sz w:val="20"/>
                <w:szCs w:val="20"/>
                <w:color w:val="auto"/>
              </w:rPr>
            </w:pPr>
            <w:r>
              <w:rPr>
                <w:rFonts w:ascii="Arial" w:cs="Arial" w:eastAsia="Arial" w:hAnsi="Arial"/>
                <w:sz w:val="15"/>
                <w:szCs w:val="15"/>
                <w:b w:val="1"/>
                <w:bCs w:val="1"/>
                <w:color w:val="auto"/>
              </w:rPr>
              <w:t>37604</w:t>
            </w:r>
          </w:p>
        </w:tc>
      </w:tr>
      <w:tr>
        <w:trPr>
          <w:trHeight w:val="185"/>
        </w:trPr>
        <w:tc>
          <w:tcPr>
            <w:tcW w:w="3460" w:type="dxa"/>
            <w:vAlign w:val="bottom"/>
          </w:tcPr>
          <w:p>
            <w:pPr>
              <w:jc w:val="center"/>
              <w:ind w:right="782"/>
              <w:spacing w:after="0"/>
              <w:rPr>
                <w:sz w:val="20"/>
                <w:szCs w:val="20"/>
                <w:color w:val="auto"/>
              </w:rPr>
            </w:pPr>
            <w:r>
              <w:rPr>
                <w:rFonts w:ascii="Arial" w:cs="Arial" w:eastAsia="Arial" w:hAnsi="Arial"/>
                <w:sz w:val="15"/>
                <w:szCs w:val="15"/>
                <w:b w:val="1"/>
                <w:bCs w:val="1"/>
                <w:color w:val="auto"/>
                <w:w w:val="86"/>
              </w:rPr>
              <w:t>Johnson City, Tennessee</w:t>
            </w:r>
          </w:p>
        </w:tc>
        <w:tc>
          <w:tcPr>
            <w:tcW w:w="3460" w:type="dxa"/>
            <w:vAlign w:val="bottom"/>
          </w:tcPr>
          <w:p>
            <w:pPr>
              <w:spacing w:after="0"/>
              <w:rPr>
                <w:sz w:val="16"/>
                <w:szCs w:val="16"/>
                <w:color w:val="auto"/>
              </w:rPr>
            </w:pPr>
          </w:p>
        </w:tc>
        <w:tc>
          <w:tcPr>
            <w:tcW w:w="3060" w:type="dxa"/>
            <w:vAlign w:val="bottom"/>
          </w:tcPr>
          <w:p>
            <w:pPr>
              <w:jc w:val="center"/>
              <w:ind w:left="881"/>
              <w:spacing w:after="0"/>
              <w:rPr>
                <w:sz w:val="20"/>
                <w:szCs w:val="20"/>
                <w:color w:val="auto"/>
              </w:rPr>
            </w:pPr>
            <w:r>
              <w:rPr>
                <w:rFonts w:ascii="Arial" w:cs="Arial" w:eastAsia="Arial" w:hAnsi="Arial"/>
                <w:sz w:val="15"/>
                <w:szCs w:val="15"/>
                <w:color w:val="auto"/>
                <w:w w:val="93"/>
              </w:rPr>
              <w:t>(Zip Code)</w:t>
            </w:r>
          </w:p>
        </w:tc>
      </w:tr>
      <w:tr>
        <w:trPr>
          <w:trHeight w:val="190"/>
        </w:trPr>
        <w:tc>
          <w:tcPr>
            <w:tcW w:w="3460" w:type="dxa"/>
            <w:vAlign w:val="bottom"/>
          </w:tcPr>
          <w:p>
            <w:pPr>
              <w:jc w:val="center"/>
              <w:ind w:right="782"/>
              <w:spacing w:after="0"/>
              <w:rPr>
                <w:sz w:val="20"/>
                <w:szCs w:val="20"/>
                <w:color w:val="auto"/>
              </w:rPr>
            </w:pPr>
            <w:r>
              <w:rPr>
                <w:rFonts w:ascii="Arial" w:cs="Arial" w:eastAsia="Arial" w:hAnsi="Arial"/>
                <w:sz w:val="15"/>
                <w:szCs w:val="15"/>
                <w:color w:val="auto"/>
                <w:w w:val="93"/>
              </w:rPr>
              <w:t>(Address of principal executive offices)</w:t>
            </w:r>
          </w:p>
        </w:tc>
        <w:tc>
          <w:tcPr>
            <w:tcW w:w="3460" w:type="dxa"/>
            <w:vAlign w:val="bottom"/>
          </w:tcPr>
          <w:p>
            <w:pPr>
              <w:spacing w:after="0"/>
              <w:rPr>
                <w:sz w:val="16"/>
                <w:szCs w:val="16"/>
                <w:color w:val="auto"/>
              </w:rPr>
            </w:pPr>
          </w:p>
        </w:tc>
        <w:tc>
          <w:tcPr>
            <w:tcW w:w="3060" w:type="dxa"/>
            <w:vAlign w:val="bottom"/>
          </w:tcPr>
          <w:p>
            <w:pPr>
              <w:spacing w:after="0"/>
              <w:rPr>
                <w:sz w:val="16"/>
                <w:szCs w:val="16"/>
                <w:color w:val="auto"/>
              </w:rPr>
            </w:pPr>
          </w:p>
        </w:tc>
      </w:tr>
    </w:tbl>
    <w:p>
      <w:pPr>
        <w:spacing w:after="0" w:line="386"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Registrant's telephone number, including area code: (423) 743-9151</w:t>
      </w:r>
    </w:p>
    <w:p>
      <w:pPr>
        <w:spacing w:after="0" w:line="213" w:lineRule="exact"/>
        <w:rPr>
          <w:sz w:val="24"/>
          <w:szCs w:val="24"/>
          <w:color w:val="auto"/>
        </w:rPr>
      </w:pPr>
    </w:p>
    <w:p>
      <w:pPr>
        <w:ind w:left="9"/>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19" w:lineRule="exact"/>
        <w:rPr>
          <w:sz w:val="24"/>
          <w:szCs w:val="24"/>
          <w:color w:val="auto"/>
        </w:rPr>
      </w:pPr>
    </w:p>
    <w:p>
      <w:pPr>
        <w:ind w:left="169" w:hanging="169"/>
        <w:spacing w:after="0"/>
        <w:tabs>
          <w:tab w:leader="none" w:pos="169" w:val="left"/>
        </w:tabs>
        <w:numPr>
          <w:ilvl w:val="0"/>
          <w:numId w:val="1"/>
        </w:numPr>
        <w:rPr>
          <w:rFonts w:ascii="Arial" w:cs="Arial" w:eastAsia="Arial" w:hAnsi="Arial"/>
          <w:sz w:val="18"/>
          <w:szCs w:val="18"/>
          <w:color w:val="auto"/>
        </w:rPr>
      </w:pPr>
      <w:r>
        <w:rPr>
          <w:rFonts w:ascii="Arial" w:cs="Arial" w:eastAsia="Arial" w:hAnsi="Arial"/>
          <w:sz w:val="15"/>
          <w:szCs w:val="15"/>
          <w:color w:val="auto"/>
        </w:rPr>
        <w:t>Written communications pursuant to Rule 425 under the Securities Act (17 CFT 230.425)</w:t>
      </w:r>
    </w:p>
    <w:p>
      <w:pPr>
        <w:spacing w:after="0" w:line="194" w:lineRule="exact"/>
        <w:rPr>
          <w:rFonts w:ascii="Arial" w:cs="Arial" w:eastAsia="Arial" w:hAnsi="Arial"/>
          <w:sz w:val="18"/>
          <w:szCs w:val="18"/>
          <w:color w:val="auto"/>
        </w:rPr>
      </w:pPr>
    </w:p>
    <w:p>
      <w:pPr>
        <w:ind w:left="149" w:hanging="149"/>
        <w:spacing w:after="0"/>
        <w:tabs>
          <w:tab w:leader="none" w:pos="149"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CFT 240.14a-12)</w:t>
      </w:r>
    </w:p>
    <w:p>
      <w:pPr>
        <w:spacing w:after="0" w:line="218" w:lineRule="exact"/>
        <w:rPr>
          <w:rFonts w:ascii="Arial" w:cs="Arial" w:eastAsia="Arial" w:hAnsi="Arial"/>
          <w:sz w:val="15"/>
          <w:szCs w:val="15"/>
          <w:color w:val="auto"/>
        </w:rPr>
      </w:pPr>
    </w:p>
    <w:p>
      <w:pPr>
        <w:ind w:left="169" w:hanging="169"/>
        <w:spacing w:after="0"/>
        <w:tabs>
          <w:tab w:leader="none" w:pos="169"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14d-2(b) under the Exchange Act (17 CFT 240.14d-2(b))</w:t>
      </w:r>
    </w:p>
    <w:p>
      <w:pPr>
        <w:spacing w:after="0" w:line="200" w:lineRule="exact"/>
        <w:rPr>
          <w:rFonts w:ascii="Arial" w:cs="Arial" w:eastAsia="Arial" w:hAnsi="Arial"/>
          <w:sz w:val="18"/>
          <w:szCs w:val="18"/>
          <w:color w:val="auto"/>
        </w:rPr>
      </w:pPr>
    </w:p>
    <w:p>
      <w:pPr>
        <w:ind w:left="169" w:hanging="169"/>
        <w:spacing w:after="0"/>
        <w:tabs>
          <w:tab w:leader="none" w:pos="169"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839470</wp:posOffset>
            </wp:positionV>
            <wp:extent cx="72745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1112520</wp:posOffset>
            </wp:positionV>
            <wp:extent cx="727456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589"/>
          </w:cols>
          <w:pgMar w:left="231" w:top="482" w:right="10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Furnished as Exhibit 99.1 is a copy of the earnings release of NN, Inc. reporting results for the quarter ended June 30, 2007, which was issued on August 2, 2007.</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16"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40" w:type="dxa"/>
            <w:vAlign w:val="bottom"/>
            <w:gridSpan w:val="2"/>
          </w:tcPr>
          <w:p>
            <w:pPr>
              <w:spacing w:after="0"/>
              <w:rPr>
                <w:sz w:val="20"/>
                <w:szCs w:val="20"/>
                <w:color w:val="auto"/>
              </w:rPr>
            </w:pPr>
            <w:r>
              <w:rPr>
                <w:rFonts w:ascii="Arial" w:cs="Arial" w:eastAsia="Arial" w:hAnsi="Arial"/>
                <w:sz w:val="15"/>
                <w:szCs w:val="15"/>
                <w:b w:val="1"/>
                <w:bCs w:val="1"/>
                <w:color w:val="auto"/>
              </w:rPr>
              <w:t>Exhibits:</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352"/>
        </w:trPr>
        <w:tc>
          <w:tcPr>
            <w:tcW w:w="1040" w:type="dxa"/>
            <w:vAlign w:val="bottom"/>
            <w:gridSpan w:val="2"/>
          </w:tcPr>
          <w:p>
            <w:pPr>
              <w:spacing w:after="0"/>
              <w:rPr>
                <w:sz w:val="20"/>
                <w:szCs w:val="20"/>
                <w:color w:val="auto"/>
              </w:rPr>
            </w:pPr>
            <w:r>
              <w:rPr>
                <w:rFonts w:ascii="Arial" w:cs="Arial" w:eastAsia="Arial" w:hAnsi="Arial"/>
                <w:sz w:val="15"/>
                <w:szCs w:val="15"/>
                <w:color w:val="auto"/>
                <w:w w:val="99"/>
              </w:rPr>
              <w:t>Exhibit Number</w:t>
            </w:r>
          </w:p>
        </w:tc>
        <w:tc>
          <w:tcPr>
            <w:tcW w:w="10400" w:type="dxa"/>
            <w:vAlign w:val="bottom"/>
            <w:gridSpan w:val="3"/>
          </w:tcPr>
          <w:p>
            <w:pPr>
              <w:ind w:left="80"/>
              <w:spacing w:after="0"/>
              <w:rPr>
                <w:sz w:val="20"/>
                <w:szCs w:val="20"/>
                <w:color w:val="auto"/>
              </w:rPr>
            </w:pPr>
            <w:r>
              <w:rPr>
                <w:rFonts w:ascii="Arial" w:cs="Arial" w:eastAsia="Arial" w:hAnsi="Arial"/>
                <w:sz w:val="15"/>
                <w:szCs w:val="15"/>
                <w:color w:val="auto"/>
              </w:rPr>
              <w:t>Description of Exhibit</w:t>
            </w:r>
          </w:p>
        </w:tc>
      </w:tr>
      <w:tr>
        <w:trPr>
          <w:trHeight w:val="20"/>
        </w:trPr>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194"/>
        </w:trPr>
        <w:tc>
          <w:tcPr>
            <w:tcW w:w="940" w:type="dxa"/>
            <w:vAlign w:val="bottom"/>
          </w:tcPr>
          <w:p>
            <w:pPr>
              <w:spacing w:after="0"/>
              <w:rPr>
                <w:sz w:val="20"/>
                <w:szCs w:val="20"/>
                <w:color w:val="auto"/>
              </w:rPr>
            </w:pPr>
            <w:r>
              <w:rPr>
                <w:rFonts w:ascii="Arial" w:cs="Arial" w:eastAsia="Arial" w:hAnsi="Arial"/>
                <w:sz w:val="15"/>
                <w:szCs w:val="15"/>
                <w:color w:val="auto"/>
              </w:rPr>
              <w:t>99.1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320" w:type="dxa"/>
            <w:vAlign w:val="bottom"/>
            <w:gridSpan w:val="2"/>
          </w:tcPr>
          <w:p>
            <w:pPr>
              <w:ind w:left="80"/>
              <w:spacing w:after="0"/>
              <w:rPr>
                <w:sz w:val="20"/>
                <w:szCs w:val="20"/>
                <w:color w:val="auto"/>
              </w:rPr>
            </w:pPr>
            <w:r>
              <w:rPr>
                <w:rFonts w:ascii="Arial" w:cs="Arial" w:eastAsia="Arial" w:hAnsi="Arial"/>
                <w:sz w:val="15"/>
                <w:szCs w:val="15"/>
                <w:color w:val="auto"/>
              </w:rPr>
              <w:t>Press Release of NN, Inc. dated August 2, 2007</w:t>
            </w:r>
          </w:p>
        </w:tc>
      </w:tr>
      <w:tr>
        <w:trPr>
          <w:trHeight w:val="3767"/>
        </w:trPr>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9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532" w:right="219" w:bottom="1440" w:gutter="0" w:footer="0" w:header="0"/>
        </w:sectPr>
      </w:pPr>
    </w:p>
    <w:bookmarkStart w:id="2" w:name="page3"/>
    <w:bookmarkEnd w:id="2"/>
    <w:p>
      <w:pPr>
        <w:ind w:left="5220"/>
        <w:spacing w:after="0"/>
        <w:rPr>
          <w:sz w:val="20"/>
          <w:szCs w:val="20"/>
          <w:color w:val="auto"/>
        </w:rPr>
      </w:pPr>
      <w:r>
        <w:rPr>
          <w:rFonts w:ascii="Arial" w:cs="Arial" w:eastAsia="Arial" w:hAnsi="Arial"/>
          <w:sz w:val="15"/>
          <w:szCs w:val="15"/>
          <w:b w:val="1"/>
          <w:bCs w:val="1"/>
          <w:color w:val="auto"/>
        </w:rPr>
        <w:t>SIGNATURES</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NN, INC.</w:t>
      </w:r>
    </w:p>
    <w:p>
      <w:pPr>
        <w:spacing w:after="0" w:line="194" w:lineRule="exact"/>
        <w:rPr>
          <w:sz w:val="20"/>
          <w:szCs w:val="20"/>
          <w:color w:val="auto"/>
        </w:rPr>
      </w:pPr>
    </w:p>
    <w:p>
      <w:pPr>
        <w:spacing w:after="0"/>
        <w:tabs>
          <w:tab w:leader="none" w:pos="5700" w:val="left"/>
          <w:tab w:leader="none" w:pos="6060" w:val="left"/>
        </w:tabs>
        <w:rPr>
          <w:sz w:val="20"/>
          <w:szCs w:val="20"/>
          <w:color w:val="auto"/>
        </w:rPr>
      </w:pPr>
      <w:r>
        <w:rPr>
          <w:rFonts w:ascii="Arial" w:cs="Arial" w:eastAsia="Arial" w:hAnsi="Arial"/>
          <w:sz w:val="15"/>
          <w:szCs w:val="15"/>
          <w:color w:val="auto"/>
        </w:rPr>
        <w:t>Date: August 2, 2007</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19685</wp:posOffset>
            </wp:positionV>
            <wp:extent cx="253809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095" cy="14605"/>
                    </a:xfrm>
                    <a:prstGeom prst="rect">
                      <a:avLst/>
                    </a:prstGeom>
                    <a:noFill/>
                  </pic:spPr>
                </pic:pic>
              </a:graphicData>
            </a:graphic>
          </wp:anchor>
        </w:drawing>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Name: William C. Kelly, Jr.</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 Vice President and Chief Administrative Officer</w:t>
      </w:r>
    </w:p>
    <w:p>
      <w:pPr>
        <w:sectPr>
          <w:pgSz w:w="11900" w:h="16838" w:orient="portrait"/>
          <w:cols w:equalWidth="0" w:num="1">
            <w:col w:w="10700"/>
          </w:cols>
          <w:pgMar w:left="240" w:top="532" w:right="959" w:bottom="1440" w:gutter="0" w:footer="0" w:header="0"/>
        </w:sectPr>
      </w:pPr>
    </w:p>
    <w:bookmarkStart w:id="3" w:name="page4"/>
    <w:bookmarkEnd w:id="3"/>
    <w:p>
      <w:pPr>
        <w:jc w:val="right"/>
        <w:ind w:right="80"/>
        <w:spacing w:after="0"/>
        <w:rPr>
          <w:sz w:val="20"/>
          <w:szCs w:val="20"/>
          <w:color w:val="auto"/>
        </w:rPr>
      </w:pPr>
      <w:r>
        <w:rPr>
          <w:rFonts w:ascii="Arial" w:cs="Arial" w:eastAsia="Arial" w:hAnsi="Arial"/>
          <w:sz w:val="15"/>
          <w:szCs w:val="15"/>
          <w:color w:val="auto"/>
        </w:rPr>
        <w:t>EXHIBIT 99.1</w:t>
      </w:r>
    </w:p>
    <w:p>
      <w:pPr>
        <w:spacing w:after="0" w:line="18" w:lineRule="exact"/>
        <w:rPr>
          <w:sz w:val="20"/>
          <w:szCs w:val="20"/>
          <w:color w:val="auto"/>
        </w:rPr>
      </w:pPr>
    </w:p>
    <w:p>
      <w:pPr>
        <w:jc w:val="right"/>
        <w:ind w:right="80"/>
        <w:spacing w:after="0"/>
        <w:rPr>
          <w:sz w:val="20"/>
          <w:szCs w:val="20"/>
          <w:color w:val="auto"/>
        </w:rPr>
      </w:pPr>
      <w:r>
        <w:rPr>
          <w:rFonts w:ascii="Arial" w:cs="Arial" w:eastAsia="Arial" w:hAnsi="Arial"/>
          <w:sz w:val="85"/>
          <w:szCs w:val="85"/>
          <w:color w:val="auto"/>
        </w:rPr>
        <w:t>news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39"/>
          <w:szCs w:val="39"/>
          <w:color w:val="auto"/>
        </w:rPr>
        <w:t>F I N A N C I A L</w:t>
      </w:r>
    </w:p>
    <w:p>
      <w:pPr>
        <w:spacing w:after="0" w:line="29" w:lineRule="exact"/>
        <w:rPr>
          <w:sz w:val="20"/>
          <w:szCs w:val="20"/>
          <w:color w:val="auto"/>
        </w:rPr>
      </w:pPr>
    </w:p>
    <w:p>
      <w:pPr>
        <w:ind w:left="600"/>
        <w:spacing w:after="0"/>
        <w:rPr>
          <w:sz w:val="20"/>
          <w:szCs w:val="20"/>
          <w:color w:val="auto"/>
        </w:rPr>
      </w:pPr>
      <w:r>
        <w:rPr>
          <w:rFonts w:ascii="Arial" w:cs="Arial" w:eastAsia="Arial" w:hAnsi="Arial"/>
          <w:sz w:val="30"/>
          <w:szCs w:val="30"/>
          <w:color w:val="auto"/>
        </w:rPr>
        <w:t>RELATIONS BOARD</w:t>
      </w:r>
    </w:p>
    <w:p>
      <w:pPr>
        <w:spacing w:after="0" w:line="196" w:lineRule="exact"/>
        <w:rPr>
          <w:sz w:val="20"/>
          <w:szCs w:val="20"/>
          <w:color w:val="auto"/>
        </w:rPr>
      </w:pPr>
    </w:p>
    <w:p>
      <w:pPr>
        <w:ind w:left="9880"/>
        <w:spacing w:after="0"/>
        <w:rPr>
          <w:sz w:val="20"/>
          <w:szCs w:val="20"/>
          <w:color w:val="auto"/>
        </w:rPr>
      </w:pPr>
      <w:r>
        <w:rPr>
          <w:rFonts w:ascii="Arial" w:cs="Arial" w:eastAsia="Arial" w:hAnsi="Arial"/>
          <w:sz w:val="15"/>
          <w:szCs w:val="15"/>
          <w:color w:val="auto"/>
        </w:rPr>
        <w:t>RE: NN, Inc.</w:t>
      </w:r>
    </w:p>
    <w:p>
      <w:pPr>
        <w:spacing w:after="0" w:line="18"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2000 Waters Edge Drive</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Johnson City, TN 37604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3"/>
          </w:tcPr>
          <w:p>
            <w:pPr>
              <w:spacing w:after="0"/>
              <w:rPr>
                <w:sz w:val="20"/>
                <w:szCs w:val="20"/>
                <w:color w:val="auto"/>
              </w:rPr>
            </w:pPr>
            <w:r>
              <w:rPr>
                <w:rFonts w:ascii="Arial" w:cs="Arial" w:eastAsia="Arial" w:hAnsi="Arial"/>
                <w:sz w:val="15"/>
                <w:szCs w:val="15"/>
                <w:color w:val="auto"/>
              </w:rPr>
              <w:t>FOR FURTHER INFORMATION:</w:t>
            </w: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52"/>
        </w:trPr>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5"/>
                <w:szCs w:val="15"/>
                <w:b w:val="1"/>
                <w:bCs w:val="1"/>
                <w:color w:val="auto"/>
              </w:rPr>
              <w:t>AT THE COMPANY</w:t>
            </w: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AT FINANCIAL RELATIONS BOARD</w:t>
            </w:r>
          </w:p>
        </w:tc>
        <w:tc>
          <w:tcPr>
            <w:tcW w:w="9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5"/>
                <w:szCs w:val="15"/>
                <w:color w:val="auto"/>
              </w:rPr>
              <w:t>Will Kelly</w:t>
            </w:r>
          </w:p>
        </w:tc>
        <w:tc>
          <w:tcPr>
            <w:tcW w:w="2960" w:type="dxa"/>
            <w:vAlign w:val="bottom"/>
          </w:tcPr>
          <w:p>
            <w:pPr>
              <w:spacing w:after="0"/>
              <w:rPr>
                <w:sz w:val="16"/>
                <w:szCs w:val="16"/>
                <w:color w:val="auto"/>
              </w:rPr>
            </w:pPr>
          </w:p>
        </w:tc>
        <w:tc>
          <w:tcPr>
            <w:tcW w:w="4160" w:type="dxa"/>
            <w:vAlign w:val="bottom"/>
            <w:gridSpan w:val="3"/>
          </w:tcPr>
          <w:p>
            <w:pPr>
              <w:jc w:val="center"/>
              <w:ind w:right="420"/>
              <w:spacing w:after="0"/>
              <w:rPr>
                <w:sz w:val="20"/>
                <w:szCs w:val="20"/>
                <w:color w:val="auto"/>
              </w:rPr>
            </w:pPr>
            <w:r>
              <w:rPr>
                <w:rFonts w:ascii="Arial" w:cs="Arial" w:eastAsia="Arial" w:hAnsi="Arial"/>
                <w:sz w:val="15"/>
                <w:szCs w:val="15"/>
                <w:color w:val="auto"/>
                <w:w w:val="96"/>
              </w:rPr>
              <w:t>Marilynn Meek</w:t>
            </w:r>
          </w:p>
        </w:tc>
        <w:tc>
          <w:tcPr>
            <w:tcW w:w="980" w:type="dxa"/>
            <w:vAlign w:val="bottom"/>
          </w:tcPr>
          <w:p>
            <w:pPr>
              <w:ind w:left="100"/>
              <w:spacing w:after="0"/>
              <w:rPr>
                <w:sz w:val="20"/>
                <w:szCs w:val="20"/>
                <w:color w:val="auto"/>
              </w:rPr>
            </w:pPr>
            <w:r>
              <w:rPr>
                <w:rFonts w:ascii="Arial" w:cs="Arial" w:eastAsia="Arial" w:hAnsi="Arial"/>
                <w:sz w:val="15"/>
                <w:szCs w:val="15"/>
                <w:color w:val="auto"/>
                <w:w w:val="85"/>
              </w:rPr>
              <w:t>Susan Garland</w:t>
            </w:r>
          </w:p>
        </w:tc>
      </w:tr>
      <w:tr>
        <w:trPr>
          <w:trHeight w:val="181"/>
        </w:trPr>
        <w:tc>
          <w:tcPr>
            <w:tcW w:w="4360" w:type="dxa"/>
            <w:vAlign w:val="bottom"/>
            <w:gridSpan w:val="3"/>
          </w:tcPr>
          <w:p>
            <w:pPr>
              <w:ind w:left="20"/>
              <w:spacing w:after="0"/>
              <w:rPr>
                <w:sz w:val="20"/>
                <w:szCs w:val="20"/>
                <w:color w:val="auto"/>
              </w:rPr>
            </w:pPr>
            <w:r>
              <w:rPr>
                <w:rFonts w:ascii="Arial" w:cs="Arial" w:eastAsia="Arial" w:hAnsi="Arial"/>
                <w:sz w:val="15"/>
                <w:szCs w:val="15"/>
                <w:color w:val="auto"/>
              </w:rPr>
              <w:t>Vice President and Chief Administrative Officer</w:t>
            </w:r>
          </w:p>
        </w:tc>
        <w:tc>
          <w:tcPr>
            <w:tcW w:w="4160" w:type="dxa"/>
            <w:vAlign w:val="bottom"/>
            <w:gridSpan w:val="3"/>
          </w:tcPr>
          <w:p>
            <w:pPr>
              <w:jc w:val="center"/>
              <w:ind w:right="420"/>
              <w:spacing w:after="0"/>
              <w:rPr>
                <w:sz w:val="20"/>
                <w:szCs w:val="20"/>
                <w:color w:val="auto"/>
              </w:rPr>
            </w:pPr>
            <w:r>
              <w:rPr>
                <w:rFonts w:ascii="Arial" w:cs="Arial" w:eastAsia="Arial" w:hAnsi="Arial"/>
                <w:sz w:val="15"/>
                <w:szCs w:val="15"/>
                <w:color w:val="auto"/>
                <w:w w:val="93"/>
              </w:rPr>
              <w:t>(General info)</w:t>
            </w:r>
          </w:p>
        </w:tc>
        <w:tc>
          <w:tcPr>
            <w:tcW w:w="980" w:type="dxa"/>
            <w:vAlign w:val="bottom"/>
          </w:tcPr>
          <w:p>
            <w:pPr>
              <w:ind w:left="100"/>
              <w:spacing w:after="0"/>
              <w:rPr>
                <w:sz w:val="20"/>
                <w:szCs w:val="20"/>
                <w:color w:val="auto"/>
              </w:rPr>
            </w:pPr>
            <w:r>
              <w:rPr>
                <w:rFonts w:ascii="Arial" w:cs="Arial" w:eastAsia="Arial" w:hAnsi="Arial"/>
                <w:sz w:val="15"/>
                <w:szCs w:val="15"/>
                <w:color w:val="auto"/>
                <w:w w:val="98"/>
              </w:rPr>
              <w:t>(Analyst info)</w:t>
            </w:r>
          </w:p>
        </w:tc>
      </w:tr>
      <w:tr>
        <w:trPr>
          <w:trHeight w:val="190"/>
        </w:trPr>
        <w:tc>
          <w:tcPr>
            <w:tcW w:w="1400" w:type="dxa"/>
            <w:vAlign w:val="bottom"/>
            <w:gridSpan w:val="2"/>
          </w:tcPr>
          <w:p>
            <w:pPr>
              <w:ind w:left="20"/>
              <w:spacing w:after="0"/>
              <w:rPr>
                <w:sz w:val="20"/>
                <w:szCs w:val="20"/>
                <w:color w:val="auto"/>
              </w:rPr>
            </w:pPr>
            <w:r>
              <w:rPr>
                <w:rFonts w:ascii="Arial" w:cs="Arial" w:eastAsia="Arial" w:hAnsi="Arial"/>
                <w:sz w:val="15"/>
                <w:szCs w:val="15"/>
                <w:color w:val="auto"/>
              </w:rPr>
              <w:t>(423) 743-9151</w:t>
            </w:r>
          </w:p>
        </w:tc>
        <w:tc>
          <w:tcPr>
            <w:tcW w:w="2960" w:type="dxa"/>
            <w:vAlign w:val="bottom"/>
          </w:tcPr>
          <w:p>
            <w:pPr>
              <w:spacing w:after="0"/>
              <w:rPr>
                <w:sz w:val="16"/>
                <w:szCs w:val="16"/>
                <w:color w:val="auto"/>
              </w:rPr>
            </w:pPr>
          </w:p>
        </w:tc>
        <w:tc>
          <w:tcPr>
            <w:tcW w:w="4060" w:type="dxa"/>
            <w:vAlign w:val="bottom"/>
            <w:gridSpan w:val="2"/>
          </w:tcPr>
          <w:p>
            <w:pPr>
              <w:jc w:val="center"/>
              <w:ind w:right="245"/>
              <w:spacing w:after="0"/>
              <w:rPr>
                <w:sz w:val="20"/>
                <w:szCs w:val="20"/>
                <w:color w:val="auto"/>
              </w:rPr>
            </w:pPr>
            <w:r>
              <w:rPr>
                <w:rFonts w:ascii="Arial" w:cs="Arial" w:eastAsia="Arial" w:hAnsi="Arial"/>
                <w:sz w:val="15"/>
                <w:szCs w:val="15"/>
                <w:color w:val="auto"/>
                <w:w w:val="92"/>
              </w:rPr>
              <w:t>212-827-3773</w:t>
            </w:r>
          </w:p>
        </w:tc>
        <w:tc>
          <w:tcPr>
            <w:tcW w:w="1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Arial" w:cs="Arial" w:eastAsia="Arial" w:hAnsi="Arial"/>
                <w:sz w:val="15"/>
                <w:szCs w:val="15"/>
                <w:color w:val="auto"/>
                <w:w w:val="92"/>
              </w:rPr>
              <w:t>212-827-3775</w:t>
            </w:r>
          </w:p>
        </w:tc>
      </w:tr>
    </w:tbl>
    <w:p>
      <w:pPr>
        <w:jc w:val="right"/>
        <w:spacing w:after="0"/>
        <w:rPr>
          <w:sz w:val="20"/>
          <w:szCs w:val="20"/>
          <w:color w:val="auto"/>
        </w:rPr>
      </w:pPr>
      <w:r>
        <w:rPr>
          <w:rFonts w:ascii="Arial" w:cs="Arial" w:eastAsia="Arial" w:hAnsi="Arial"/>
          <w:sz w:val="15"/>
          <w:szCs w:val="15"/>
          <w:color w:val="auto"/>
        </w:rPr>
        <w:t>&amp;#</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160;</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August 2, 2007</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NN, INC. REPORTS SECOND QUARTER 2007 RESULTS</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Results Include $14.9 million, or $0.87 per Diluted Share, in Non-Cash, After-Tax Restructuring and Other One Time Charges</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b w:val="1"/>
          <w:bCs w:val="1"/>
          <w:color w:val="auto"/>
        </w:rPr>
        <w:t xml:space="preserve">Johnson City, Tenn, August 2, 2007 </w:t>
      </w:r>
      <w:r>
        <w:rPr>
          <w:rFonts w:ascii="Arial" w:cs="Arial" w:eastAsia="Arial" w:hAnsi="Arial"/>
          <w:sz w:val="15"/>
          <w:szCs w:val="15"/>
          <w:color w:val="auto"/>
        </w:rPr>
        <w:t>– NN, Inc. (Nasdaq: NNBR) today reported its financial results for the second quarter ended June 30, 2007. The results for the second quarter and first</w:t>
      </w:r>
      <w:r>
        <w:rPr>
          <w:rFonts w:ascii="Arial" w:cs="Arial" w:eastAsia="Arial" w:hAnsi="Arial"/>
          <w:sz w:val="15"/>
          <w:szCs w:val="15"/>
          <w:b w:val="1"/>
          <w:bCs w:val="1"/>
          <w:color w:val="auto"/>
        </w:rPr>
        <w:t xml:space="preserve"> </w:t>
      </w:r>
      <w:r>
        <w:rPr>
          <w:rFonts w:ascii="Arial" w:cs="Arial" w:eastAsia="Arial" w:hAnsi="Arial"/>
          <w:sz w:val="15"/>
          <w:szCs w:val="15"/>
          <w:color w:val="auto"/>
        </w:rPr>
        <w:t>half of 2007 include the operations of Whirlaway, which was acquired on December 1, 2006 and certain restructuring and other one time charges.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Net sales for the second quarter of 2007 were $107.3 million, an increase of $23.7 million, or 28.3% from net sales of $83.6 million for the same period of 2006. The acquisition of Whirlaway contributed $17.1 million of this increase. The remainder of the increase was due to the positive effect of currency translation of $3.8 million and stronger than expected demand, mainly at our European operations of $2.8 million. Net loss for the second quarter of 2007 totaled $11.8 million, or $0.69 per diluted share, compared to net income of $3.5 million, or $0.20 per diluted share for the second quarter of 2006. The 2007 second quarter results include the recording of approximately $14.9 million, or $0.87 per diluted share, in after-tax restructuring and other one time charges. Excluding the impact of the results of Whirlaway’s $0.03 per diluted share loss for the quarter and the restructuring and other one time charges, net income for the second quarter would have been $3.6 million, or $0.21 per diluted share.</w:t>
      </w:r>
    </w:p>
    <w:p>
      <w:pPr>
        <w:spacing w:after="0" w:line="183"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Net sales for the first half of 2007 were $215.2 million, up $45.6 million, or 26.9% as compared to $169.6 million for the same period of 2006. The acquisition of Whirlaway contributed $35.1 million of this increase. The positive effect of currency translation amounted to $9.3 million and volume increases, mainly in Europe of $2.6 million were offset by unfavorable price/mix issues of $1.4 million. Net loss for the first half of 2007 totaled $8.1 million, or $0.47 per diluted share, compared to net income of $8.7 million, or $0.50 per diluted share for the same period of 2006. The 2007 first half results include the recording of approximately $14.9 million, or $0.87 per diluted share, in after-tax restructuring and other one time</w:t>
      </w:r>
    </w:p>
    <w:p>
      <w:pPr>
        <w:spacing w:after="0" w:line="1" w:lineRule="exact"/>
        <w:rPr>
          <w:sz w:val="20"/>
          <w:szCs w:val="20"/>
          <w:color w:val="auto"/>
        </w:rPr>
      </w:pPr>
    </w:p>
    <w:p>
      <w:pPr>
        <w:ind w:right="400"/>
        <w:spacing w:after="0" w:line="264" w:lineRule="auto"/>
        <w:rPr>
          <w:sz w:val="20"/>
          <w:szCs w:val="20"/>
          <w:color w:val="auto"/>
        </w:rPr>
      </w:pPr>
      <w:r>
        <w:rPr>
          <w:rFonts w:ascii="Arial" w:cs="Arial" w:eastAsia="Arial" w:hAnsi="Arial"/>
          <w:sz w:val="15"/>
          <w:szCs w:val="15"/>
          <w:color w:val="auto"/>
        </w:rPr>
        <w:t>charges. Excluding the impact of results of Whirlaway’s $0.03 per share loss and the restructuring and other one time charges, net income for the first six months would have been $7.3 million, or $0.43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173990</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520"/>
          </w:cols>
          <w:pgMar w:left="240" w:top="129" w:right="139" w:bottom="1440" w:gutter="0" w:footer="0" w:header="0"/>
        </w:sectPr>
      </w:pPr>
    </w:p>
    <w:bookmarkStart w:id="4" w:name="page5"/>
    <w:bookmarkEnd w:id="4"/>
    <w:p>
      <w:pPr>
        <w:ind w:right="120"/>
        <w:spacing w:after="0" w:line="284" w:lineRule="auto"/>
        <w:rPr>
          <w:sz w:val="20"/>
          <w:szCs w:val="20"/>
          <w:color w:val="auto"/>
        </w:rPr>
      </w:pPr>
      <w:r>
        <w:rPr>
          <w:rFonts w:ascii="Arial" w:cs="Arial" w:eastAsia="Arial" w:hAnsi="Arial"/>
          <w:sz w:val="14"/>
          <w:szCs w:val="14"/>
          <w:color w:val="auto"/>
        </w:rPr>
        <w:t>As a percentage of net sales, 2007 second quarter cost of products sold was 80.1% compared to 77.7% recorded in the prior year. Approximately 60% of the increase of cost of goods sold as a percentage of net sales was associated with the addition of our Whirlaway operation. The remainder of the increased costs was due mainly to price/mix issues in our European operations. Year-to-date cost of products sold was 79.4% in 2007 as compared to 77.2% for the same period last year. Approximately 60% of this increase as a percentage of net sales was also due to the addition of our Whirlaway operation. The remainder of the increased costs was due mainly to price/mix issues in our European operations.</w:t>
      </w:r>
    </w:p>
    <w:p>
      <w:pPr>
        <w:spacing w:after="0" w:line="166"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Selling, general and administrative expenses were $9.6 million or 8.9% of net sales for the second quarter of 2007 as compared to $7.1 million, or 8.5% of net sales for the second quarter of 2006. The acquisition of Whirlaway accounted for $1.1 million of the increase and currency translation, increased stock option expense and legal and consulting expenses accounted for the remainder of the increase. Selling, general and administrative expenses for the first half of 2007 of 8.8% of net sales were relatively flat as compared to 8.7% of net sales for the same period in 2006.</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Roderick R. Baty, Chairman and Chief Executive Officer, commented, “On July 25, 2007, we announced that we would be revising our original 2007 full year earnings guidance from $0.98</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to $1.04 per diluted share to $0.70 to $0.74 per diluted share, before restructuring and other one time charges. This reduction in guidance was due mainly to two factors: sales weakness in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the Precision Metal Components Division (Whirlaway) and lower than anticipated revenues and profits from our manufacturing facility in China. The sales weakness in the Precision Metal</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Components Division is principally a result of negative factors in two major end markets, HVAC and diesel engine. Sales to these end markets for the full year are now forecasted to be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$12.0 million less than we originally planned for 2007. The HVAC segment has been impacted dramatically by two factors; customer inventory build in advance of the compliance date of 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new energy regulation (“13 SEER”) and the continuing slowdown of new home construction. Similarly, the 2007 diesel engine highway emissions legislation that took effect January 1,</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2007, prompted a 2006 pre-buy as fleet buyers sought to avoid the expensive technology improvements mandated by new government regulation. Demand for products used in vehicles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 Class 8 trucks built in 2007 has been far lower than predicted at the beginning of the year.”</w:t>
      </w:r>
    </w:p>
    <w:p>
      <w:pPr>
        <w:spacing w:after="0" w:line="203"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Mr. Baty continued, “Although we anticipated the negative economic impact of these two factors affecting our HVAC and diesel engine business in our original guidance, we did not accurately forecast the magnitude of the impact on our overall revenue for 2007. Despite the current level of unprofitable business at Whirlaway, we feel this is a short-term situation with these two end markets. We anticipate business levels in 2008 to return to more normalized levels and to achieve the profitability objectives we set at the time of the acquisition of Whirlaway. Additionally, with the exception of our continuing profitability problems in our China facility, our Metal Bearing Component and Rubber and Plastics Component Divisions are performing at business plan levels in terms of both revenues and profitability. Our cylindrical and tapered roller products have been strong for the first half of the year, and precision ball demand has been above our initial expectations. However, the shift of existing and new business to our China facility has been much slower than we had hoped and revenue in the facility continues to fall below break even volume and our expectations that we set at the beginning of the year. We will continue to work diligently during the last half of 2007 to achieve profitable levels of production and sales at our Chinese facility moving forward, including obtaining customer approvals and the integration of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170815</wp:posOffset>
            </wp:positionV>
            <wp:extent cx="727456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5" w:name="page6"/>
    <w:bookmarkEnd w:id="5"/>
    <w:p>
      <w:pPr>
        <w:spacing w:after="0" w:line="294" w:lineRule="auto"/>
        <w:rPr>
          <w:sz w:val="20"/>
          <w:szCs w:val="20"/>
          <w:color w:val="auto"/>
        </w:rPr>
      </w:pPr>
      <w:r>
        <w:rPr>
          <w:rFonts w:ascii="Arial" w:cs="Arial" w:eastAsia="Arial" w:hAnsi="Arial"/>
          <w:sz w:val="13"/>
          <w:szCs w:val="13"/>
          <w:color w:val="auto"/>
        </w:rPr>
        <w:t>Mr. James Dorton, Vice President and Chief Financial Officer commented, “As we previously stated in our release on July 25, 2007, we are taking steps to appropriately adjust our cost structure. This restructuring will occur mainly at our European operations of the Metal Bearing Components Division as we adjust our global precision ball manufacturing capacity to better take advantage of favorable cost structures at our Slovakian and Chinese ball manufacturing facilities. This will result in our recording of restructuring and other one time charges during the second and third quarters of 2007. During the second quarter, we recorded approximately $15.3 million ($14.9 million after-tax or $0.87 per diluted share) of non-cash restructuring</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costs. These costs include the write-down of certain excess production equipment and the impairment of goodwill and other intangible assets to levels supported by projected cash flows after the restructuring. Additionally, in the third quarter, we anticipate incurring approximately $0.9 million ($0.6 million after-tax, or $0.04 per diluted share) of cash charges for legal and employment expenses associated with the restructuring.”</w:t>
      </w:r>
    </w:p>
    <w:p>
      <w:pPr>
        <w:spacing w:after="0" w:line="182" w:lineRule="exact"/>
        <w:rPr>
          <w:sz w:val="20"/>
          <w:szCs w:val="20"/>
          <w:color w:val="auto"/>
        </w:rPr>
      </w:pPr>
    </w:p>
    <w:p>
      <w:pPr>
        <w:ind w:right="280"/>
        <w:spacing w:after="0" w:line="260" w:lineRule="auto"/>
        <w:rPr>
          <w:sz w:val="20"/>
          <w:szCs w:val="20"/>
          <w:color w:val="auto"/>
        </w:rPr>
      </w:pPr>
      <w:r>
        <w:rPr>
          <w:rFonts w:ascii="Arial" w:cs="Arial" w:eastAsia="Arial" w:hAnsi="Arial"/>
          <w:sz w:val="15"/>
          <w:szCs w:val="15"/>
          <w:color w:val="auto"/>
        </w:rPr>
        <w:t>Mr. Baty concluded, “We remain optimistic regarding the acquisition of Whirlaway and our long-term growth and profitability objectives associated with our new Precision Metal Components Division. Whirlaway is the cornerstone of a new platform that will continue to provide us with excellent growth opportunities in the future. Additionally, although we will incur restructuring and other one-time charges in 2007, we are taking the necessary steps to restructure our European precision ball manufacturing facilities to best take advantage of our global capabilities and cost structure.”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$330 million in 2006.</w:t>
      </w:r>
    </w:p>
    <w:p>
      <w:pPr>
        <w:spacing w:after="0" w:line="178"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325755</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b w:val="1"/>
          <w:bCs w:val="1"/>
          <w:color w:val="auto"/>
        </w:rPr>
        <w:t>NN, Inc. Consolidated Statements of Income</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620" w:type="dxa"/>
            <w:vAlign w:val="bottom"/>
            <w:gridSpan w:val="5"/>
          </w:tcPr>
          <w:p>
            <w:pPr>
              <w:jc w:val="center"/>
              <w:ind w:left="465"/>
              <w:spacing w:after="0"/>
              <w:rPr>
                <w:sz w:val="20"/>
                <w:szCs w:val="20"/>
                <w:color w:val="auto"/>
              </w:rPr>
            </w:pPr>
            <w:r>
              <w:rPr>
                <w:rFonts w:ascii="Arial" w:cs="Arial" w:eastAsia="Arial" w:hAnsi="Arial"/>
                <w:sz w:val="15"/>
                <w:szCs w:val="15"/>
                <w:b w:val="1"/>
                <w:bCs w:val="1"/>
                <w:color w:val="auto"/>
                <w:w w:val="91"/>
              </w:rPr>
              <w:t>Three Months Ended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gridSpan w:val="4"/>
          </w:tcPr>
          <w:p>
            <w:pPr>
              <w:jc w:val="center"/>
              <w:ind w:left="65"/>
              <w:spacing w:after="0"/>
              <w:rPr>
                <w:sz w:val="20"/>
                <w:szCs w:val="20"/>
                <w:color w:val="auto"/>
              </w:rPr>
            </w:pPr>
            <w:r>
              <w:rPr>
                <w:rFonts w:ascii="Arial" w:cs="Arial" w:eastAsia="Arial" w:hAnsi="Arial"/>
                <w:sz w:val="15"/>
                <w:szCs w:val="15"/>
                <w:b w:val="1"/>
                <w:bCs w:val="1"/>
                <w:color w:val="auto"/>
                <w:w w:val="90"/>
              </w:rPr>
              <w:t>Six Months Ended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3"/>
          </w:tcPr>
          <w:p>
            <w:pPr>
              <w:jc w:val="center"/>
              <w:ind w:left="125"/>
              <w:spacing w:after="0"/>
              <w:rPr>
                <w:sz w:val="20"/>
                <w:szCs w:val="20"/>
                <w:color w:val="auto"/>
              </w:rPr>
            </w:pPr>
            <w:r>
              <w:rPr>
                <w:rFonts w:ascii="Arial" w:cs="Arial" w:eastAsia="Arial" w:hAnsi="Arial"/>
                <w:sz w:val="15"/>
                <w:szCs w:val="15"/>
                <w:b w:val="1"/>
                <w:bCs w:val="1"/>
                <w:color w:val="auto"/>
                <w:w w:val="86"/>
              </w:rPr>
              <w:t>June 30,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65"/>
              <w:spacing w:after="0"/>
              <w:rPr>
                <w:sz w:val="20"/>
                <w:szCs w:val="20"/>
                <w:color w:val="auto"/>
              </w:rPr>
            </w:pPr>
            <w:r>
              <w:rPr>
                <w:rFonts w:ascii="Arial" w:cs="Arial" w:eastAsia="Arial" w:hAnsi="Arial"/>
                <w:sz w:val="15"/>
                <w:szCs w:val="15"/>
                <w:b w:val="1"/>
                <w:bCs w:val="1"/>
                <w:color w:val="auto"/>
                <w:w w:val="89"/>
              </w:rPr>
              <w:t>June 30,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2006</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2007</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2006</w:t>
            </w:r>
          </w:p>
        </w:tc>
        <w:tc>
          <w:tcPr>
            <w:tcW w:w="4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107,302</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83,554</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$ 215,246</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$ 169,571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line="171" w:lineRule="exact"/>
              <w:rPr>
                <w:sz w:val="20"/>
                <w:szCs w:val="20"/>
                <w:color w:val="auto"/>
              </w:rPr>
            </w:pPr>
            <w:r>
              <w:rPr>
                <w:rFonts w:ascii="Arial" w:cs="Arial" w:eastAsia="Arial" w:hAnsi="Arial"/>
                <w:sz w:val="15"/>
                <w:szCs w:val="15"/>
                <w:color w:val="auto"/>
              </w:rPr>
              <w:t>Cost of products sold (exclusive of</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ind w:left="100"/>
              <w:spacing w:after="0"/>
              <w:rPr>
                <w:sz w:val="20"/>
                <w:szCs w:val="20"/>
                <w:color w:val="auto"/>
              </w:rPr>
            </w:pPr>
            <w:r>
              <w:rPr>
                <w:rFonts w:ascii="Arial" w:cs="Arial" w:eastAsia="Arial" w:hAnsi="Arial"/>
                <w:sz w:val="15"/>
                <w:szCs w:val="15"/>
                <w:color w:val="auto"/>
              </w:rPr>
              <w:t>depreciation shown separately below)</w:t>
            </w:r>
          </w:p>
        </w:tc>
        <w:tc>
          <w:tcPr>
            <w:tcW w:w="92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85,929</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64,905</w:t>
            </w:r>
          </w:p>
        </w:tc>
        <w:tc>
          <w:tcPr>
            <w:tcW w:w="1580" w:type="dxa"/>
            <w:vAlign w:val="bottom"/>
            <w:gridSpan w:val="3"/>
          </w:tcPr>
          <w:p>
            <w:pPr>
              <w:jc w:val="right"/>
              <w:ind w:right="120"/>
              <w:spacing w:after="0"/>
              <w:rPr>
                <w:sz w:val="20"/>
                <w:szCs w:val="20"/>
                <w:color w:val="auto"/>
              </w:rPr>
            </w:pPr>
            <w:r>
              <w:rPr>
                <w:rFonts w:ascii="Arial" w:cs="Arial" w:eastAsia="Arial" w:hAnsi="Arial"/>
                <w:sz w:val="15"/>
                <w:szCs w:val="15"/>
                <w:color w:val="auto"/>
              </w:rPr>
              <w:t>171,010</w:t>
            </w:r>
          </w:p>
        </w:tc>
        <w:tc>
          <w:tcPr>
            <w:tcW w:w="1640" w:type="dxa"/>
            <w:vAlign w:val="bottom"/>
            <w:gridSpan w:val="3"/>
          </w:tcPr>
          <w:p>
            <w:pPr>
              <w:jc w:val="right"/>
              <w:spacing w:after="0"/>
              <w:rPr>
                <w:sz w:val="20"/>
                <w:szCs w:val="20"/>
                <w:color w:val="auto"/>
              </w:rPr>
            </w:pPr>
            <w:r>
              <w:rPr>
                <w:rFonts w:ascii="Arial" w:cs="Arial" w:eastAsia="Arial" w:hAnsi="Arial"/>
                <w:sz w:val="15"/>
                <w:szCs w:val="15"/>
                <w:color w:val="auto"/>
              </w:rPr>
              <w:t>130,904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9,558</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7,063</w:t>
            </w:r>
          </w:p>
        </w:tc>
        <w:tc>
          <w:tcPr>
            <w:tcW w:w="10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18,983</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14,744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5,658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4,425</w:t>
            </w:r>
          </w:p>
        </w:tc>
        <w:tc>
          <w:tcPr>
            <w:tcW w:w="10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11,180</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asset impairment charges</w:t>
            </w:r>
          </w:p>
        </w:tc>
        <w:tc>
          <w:tcPr>
            <w:tcW w:w="9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15,269</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15,269</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rPr>
                <w:sz w:val="20"/>
                <w:szCs w:val="20"/>
                <w:color w:val="auto"/>
              </w:rPr>
            </w:pPr>
            <w:r>
              <w:rPr>
                <w:rFonts w:ascii="Arial" w:cs="Arial" w:eastAsia="Arial" w:hAnsi="Arial"/>
                <w:sz w:val="15"/>
                <w:szCs w:val="15"/>
                <w:color w:val="auto"/>
              </w:rPr>
              <w:t>Loss (Gain) on disposal of assets</w:t>
            </w:r>
          </w:p>
        </w:tc>
        <w:tc>
          <w:tcPr>
            <w:tcW w:w="9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(6)</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10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Income (Loss) from operations</w:t>
            </w:r>
          </w:p>
        </w:tc>
        <w:tc>
          <w:tcPr>
            <w:tcW w:w="9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(9,106)</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7,157</w:t>
            </w:r>
          </w:p>
        </w:tc>
        <w:tc>
          <w:tcPr>
            <w:tcW w:w="10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(1,185)</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16,062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1,021</w:t>
            </w:r>
          </w:p>
        </w:tc>
        <w:tc>
          <w:tcPr>
            <w:tcW w:w="10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3,325</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2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w:t>
            </w: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9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9"/>
              </w:rPr>
              <w:t>(10,714)</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5,687</w:t>
            </w:r>
          </w:p>
        </w:tc>
        <w:tc>
          <w:tcPr>
            <w:tcW w:w="10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(4,513)</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13,815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2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2,234</w:t>
            </w: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CEEFF"/>
          </w:tcPr>
          <w:p>
            <w:pPr>
              <w:ind w:left="60"/>
              <w:spacing w:after="0"/>
              <w:rPr>
                <w:sz w:val="20"/>
                <w:szCs w:val="20"/>
                <w:color w:val="auto"/>
              </w:rPr>
            </w:pPr>
            <w:r>
              <w:rPr>
                <w:rFonts w:ascii="Arial" w:cs="Arial" w:eastAsia="Arial" w:hAnsi="Arial"/>
                <w:sz w:val="15"/>
                <w:szCs w:val="15"/>
                <w:color w:val="auto"/>
              </w:rPr>
              <w:t>Net income (Loss)</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$(11,818)</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3,453</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(8,063)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9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Diluted income per common share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(0.69)</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0.20</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9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diluted shares</w:t>
            </w:r>
          </w:p>
        </w:tc>
        <w:tc>
          <w:tcPr>
            <w:tcW w:w="9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17,028</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7"/>
              </w:rPr>
              <w:t>17,369</w:t>
            </w:r>
          </w:p>
        </w:tc>
        <w:tc>
          <w:tcPr>
            <w:tcW w:w="10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17,031</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17,365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5"/>
        </w:trPr>
        <w:tc>
          <w:tcPr>
            <w:tcW w:w="4920" w:type="dxa"/>
            <w:vAlign w:val="bottom"/>
            <w:tcBorders>
              <w:top w:val="single" w:sz="8" w:color="CCEEFF"/>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520" w:type="dxa"/>
            <w:vAlign w:val="bottom"/>
            <w:tcBorders>
              <w:top w:val="single" w:sz="8" w:color="auto"/>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42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CCEEFF"/>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420" w:type="dxa"/>
            <w:vAlign w:val="bottom"/>
            <w:tcBorders>
              <w:top w:val="single" w:sz="8" w:color="auto"/>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1560" w:type="dxa"/>
            <w:vAlign w:val="bottom"/>
          </w:tcPr>
          <w:p>
            <w:pPr>
              <w:jc w:val="center"/>
              <w:ind w:left="665"/>
              <w:spacing w:after="0"/>
              <w:rPr>
                <w:sz w:val="20"/>
                <w:szCs w:val="20"/>
                <w:color w:val="auto"/>
              </w:rPr>
            </w:pPr>
            <w:r>
              <w:rPr>
                <w:rFonts w:ascii="Arial" w:cs="Arial" w:eastAsia="Arial" w:hAnsi="Arial"/>
                <w:sz w:val="15"/>
                <w:szCs w:val="15"/>
                <w:b w:val="1"/>
                <w:bCs w:val="1"/>
                <w:color w:val="auto"/>
                <w:w w:val="89"/>
              </w:rPr>
              <w:t>June 30,</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jc w:val="right"/>
              <w:ind w:right="125"/>
              <w:spacing w:after="0"/>
              <w:rPr>
                <w:sz w:val="20"/>
                <w:szCs w:val="20"/>
                <w:color w:val="auto"/>
              </w:rPr>
            </w:pPr>
            <w:r>
              <w:rPr>
                <w:rFonts w:ascii="Arial" w:cs="Arial" w:eastAsia="Arial" w:hAnsi="Arial"/>
                <w:sz w:val="15"/>
                <w:szCs w:val="15"/>
                <w:b w:val="1"/>
                <w:bCs w:val="1"/>
                <w:color w:val="auto"/>
              </w:rPr>
              <w:t>December 31,</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rPr>
                <w:sz w:val="17"/>
                <w:szCs w:val="17"/>
                <w:color w:val="auto"/>
              </w:rPr>
            </w:pPr>
          </w:p>
        </w:tc>
        <w:tc>
          <w:tcPr>
            <w:tcW w:w="15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2007</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82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b w:val="1"/>
                <w:bCs w:val="1"/>
                <w:color w:val="auto"/>
              </w:rPr>
              <w:t>2006</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12,820</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74,267</w:t>
            </w:r>
          </w:p>
        </w:tc>
        <w:tc>
          <w:tcPr>
            <w:tcW w:w="1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63,442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Inventories, net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45,273</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spacing w:after="0"/>
              <w:rPr>
                <w:sz w:val="20"/>
                <w:szCs w:val="20"/>
                <w:color w:val="auto"/>
              </w:rPr>
            </w:pPr>
            <w:r>
              <w:rPr>
                <w:rFonts w:ascii="Arial" w:cs="Arial" w:eastAsia="Arial" w:hAnsi="Arial"/>
                <w:sz w:val="15"/>
                <w:szCs w:val="15"/>
                <w:color w:val="auto"/>
              </w:rPr>
              <w:t>Other current assets</w:t>
            </w:r>
          </w:p>
        </w:tc>
        <w:tc>
          <w:tcPr>
            <w:tcW w:w="1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8,448</w:t>
            </w:r>
          </w:p>
        </w:tc>
        <w:tc>
          <w:tcPr>
            <w:tcW w:w="48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140,808</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125,864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152,369</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156,447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Goodwill and intangible assets, net</w:t>
            </w:r>
          </w:p>
        </w:tc>
        <w:tc>
          <w:tcPr>
            <w:tcW w:w="2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44,327</w:t>
            </w:r>
          </w:p>
        </w:tc>
        <w:tc>
          <w:tcPr>
            <w:tcW w:w="1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56,278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assets</w:t>
            </w:r>
          </w:p>
        </w:tc>
        <w:tc>
          <w:tcPr>
            <w:tcW w:w="15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4,884</w:t>
            </w:r>
          </w:p>
        </w:tc>
        <w:tc>
          <w:tcPr>
            <w:tcW w:w="4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ind w:left="60"/>
              <w:spacing w:after="0"/>
              <w:rPr>
                <w:sz w:val="20"/>
                <w:szCs w:val="20"/>
                <w:color w:val="auto"/>
              </w:rPr>
            </w:pPr>
            <w:r>
              <w:rPr>
                <w:rFonts w:ascii="Arial" w:cs="Arial" w:eastAsia="Arial" w:hAnsi="Arial"/>
                <w:sz w:val="15"/>
                <w:szCs w:val="15"/>
                <w:color w:val="auto"/>
              </w:rPr>
              <w:t>Total assets</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w w:val="92"/>
              </w:rPr>
              <w:t>342,388</w:t>
            </w:r>
          </w:p>
        </w:tc>
        <w:tc>
          <w:tcPr>
            <w:tcW w:w="182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342,701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Accounts payable</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49,782</w:t>
            </w:r>
          </w:p>
        </w:tc>
        <w:tc>
          <w:tcPr>
            <w:tcW w:w="182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52,576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14,886</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9,054</w:t>
            </w:r>
          </w:p>
        </w:tc>
        <w:tc>
          <w:tcPr>
            <w:tcW w:w="1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15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8,998</w:t>
            </w:r>
          </w:p>
        </w:tc>
        <w:tc>
          <w:tcPr>
            <w:tcW w:w="4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82,720</w:t>
            </w:r>
          </w:p>
        </w:tc>
        <w:tc>
          <w:tcPr>
            <w:tcW w:w="1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74,869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tcPr>
          <w:p>
            <w:pPr>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5"/>
                <w:szCs w:val="15"/>
                <w:color w:val="auto"/>
              </w:rPr>
              <w:t>16,926</w:t>
            </w:r>
          </w:p>
        </w:tc>
        <w:tc>
          <w:tcPr>
            <w:tcW w:w="1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16,334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notes payable and Related Party Debt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100,160</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spacing w:after="0"/>
              <w:rPr>
                <w:sz w:val="20"/>
                <w:szCs w:val="20"/>
                <w:color w:val="auto"/>
              </w:rPr>
            </w:pPr>
            <w:r>
              <w:rPr>
                <w:rFonts w:ascii="Arial" w:cs="Arial" w:eastAsia="Arial" w:hAnsi="Arial"/>
                <w:sz w:val="15"/>
                <w:szCs w:val="15"/>
                <w:color w:val="auto"/>
              </w:rPr>
              <w:t>Other</w:t>
            </w:r>
          </w:p>
        </w:tc>
        <w:tc>
          <w:tcPr>
            <w:tcW w:w="1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16,685</w:t>
            </w:r>
          </w:p>
        </w:tc>
        <w:tc>
          <w:tcPr>
            <w:tcW w:w="48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216,491</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209,532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125,897</w:t>
            </w:r>
          </w:p>
        </w:tc>
        <w:tc>
          <w:tcPr>
            <w:tcW w:w="1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133,169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342,388</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342,701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300" w:type="dxa"/>
            <w:vAlign w:val="bottom"/>
            <w:tcBorders>
              <w:top w:val="single" w:sz="8" w:color="CCEEFF"/>
              <w:bottom w:val="single" w:sz="8" w:color="808080"/>
            </w:tcBorders>
          </w:tcPr>
          <w:p>
            <w:pPr>
              <w:spacing w:after="0"/>
              <w:rPr>
                <w:sz w:val="24"/>
                <w:szCs w:val="24"/>
                <w:color w:val="auto"/>
              </w:rPr>
            </w:pPr>
          </w:p>
        </w:tc>
        <w:tc>
          <w:tcPr>
            <w:tcW w:w="156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520" w:type="dxa"/>
            <w:vAlign w:val="bottom"/>
            <w:tcBorders>
              <w:top w:val="single" w:sz="8" w:color="auto"/>
              <w:bottom w:val="single" w:sz="8" w:color="808080"/>
            </w:tcBorders>
          </w:tcPr>
          <w:p>
            <w:pPr>
              <w:spacing w:after="0"/>
              <w:rPr>
                <w:sz w:val="24"/>
                <w:szCs w:val="24"/>
                <w:color w:val="auto"/>
              </w:rPr>
            </w:pPr>
          </w:p>
        </w:tc>
        <w:tc>
          <w:tcPr>
            <w:tcW w:w="480" w:type="dxa"/>
            <w:vAlign w:val="bottom"/>
            <w:tcBorders>
              <w:top w:val="single" w:sz="8" w:color="CCEEFF"/>
              <w:bottom w:val="single" w:sz="8" w:color="808080"/>
            </w:tcBorders>
          </w:tcPr>
          <w:p>
            <w:pPr>
              <w:spacing w:after="0"/>
              <w:rPr>
                <w:sz w:val="24"/>
                <w:szCs w:val="24"/>
                <w:color w:val="auto"/>
              </w:rPr>
            </w:pPr>
          </w:p>
        </w:tc>
        <w:tc>
          <w:tcPr>
            <w:tcW w:w="1820" w:type="dxa"/>
            <w:vAlign w:val="bottom"/>
            <w:tcBorders>
              <w:top w:val="single" w:sz="8" w:color="auto"/>
              <w:bottom w:val="single" w:sz="8" w:color="808080"/>
            </w:tcBorders>
          </w:tcPr>
          <w:p>
            <w:pPr>
              <w:spacing w:after="0"/>
              <w:rPr>
                <w:sz w:val="24"/>
                <w:szCs w:val="24"/>
                <w:color w:val="auto"/>
              </w:rPr>
            </w:pPr>
          </w:p>
        </w:tc>
        <w:tc>
          <w:tcPr>
            <w:tcW w:w="520" w:type="dxa"/>
            <w:vAlign w:val="bottom"/>
            <w:tcBorders>
              <w:top w:val="single" w:sz="8" w:color="auto"/>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Reconciliation of Non-GAAP to 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2660" w:type="dxa"/>
            <w:vAlign w:val="bottom"/>
            <w:gridSpan w:val="3"/>
          </w:tcPr>
          <w:p>
            <w:pPr>
              <w:jc w:val="center"/>
              <w:ind w:left="325"/>
              <w:spacing w:after="0"/>
              <w:rPr>
                <w:sz w:val="20"/>
                <w:szCs w:val="20"/>
                <w:color w:val="auto"/>
              </w:rPr>
            </w:pPr>
            <w:r>
              <w:rPr>
                <w:rFonts w:ascii="Arial" w:cs="Arial" w:eastAsia="Arial" w:hAnsi="Arial"/>
                <w:sz w:val="15"/>
                <w:szCs w:val="15"/>
                <w:b w:val="1"/>
                <w:bCs w:val="1"/>
                <w:color w:val="auto"/>
                <w:w w:val="92"/>
              </w:rPr>
              <w:t>Three Months Ended</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gridSpan w:val="3"/>
          </w:tcPr>
          <w:p>
            <w:pPr>
              <w:jc w:val="center"/>
              <w:ind w:left="925"/>
              <w:spacing w:after="0"/>
              <w:rPr>
                <w:sz w:val="20"/>
                <w:szCs w:val="20"/>
                <w:color w:val="auto"/>
              </w:rPr>
            </w:pPr>
            <w:r>
              <w:rPr>
                <w:rFonts w:ascii="Arial" w:cs="Arial" w:eastAsia="Arial" w:hAnsi="Arial"/>
                <w:sz w:val="15"/>
                <w:szCs w:val="15"/>
                <w:b w:val="1"/>
                <w:bCs w:val="1"/>
                <w:color w:val="auto"/>
                <w:w w:val="92"/>
              </w:rPr>
              <w:t>Six Months Ended</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2660" w:type="dxa"/>
            <w:vAlign w:val="bottom"/>
            <w:gridSpan w:val="3"/>
          </w:tcPr>
          <w:p>
            <w:pPr>
              <w:jc w:val="center"/>
              <w:ind w:left="325"/>
              <w:spacing w:after="0"/>
              <w:rPr>
                <w:sz w:val="20"/>
                <w:szCs w:val="20"/>
                <w:color w:val="auto"/>
              </w:rPr>
            </w:pPr>
            <w:r>
              <w:rPr>
                <w:rFonts w:ascii="Arial" w:cs="Arial" w:eastAsia="Arial" w:hAnsi="Arial"/>
                <w:sz w:val="15"/>
                <w:szCs w:val="15"/>
                <w:b w:val="1"/>
                <w:bCs w:val="1"/>
                <w:color w:val="auto"/>
                <w:w w:val="88"/>
              </w:rPr>
              <w:t>June 30, 2007</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gridSpan w:val="3"/>
          </w:tcPr>
          <w:p>
            <w:pPr>
              <w:jc w:val="center"/>
              <w:ind w:left="925"/>
              <w:spacing w:after="0"/>
              <w:rPr>
                <w:sz w:val="20"/>
                <w:szCs w:val="20"/>
                <w:color w:val="auto"/>
              </w:rPr>
            </w:pPr>
            <w:r>
              <w:rPr>
                <w:rFonts w:ascii="Arial" w:cs="Arial" w:eastAsia="Arial" w:hAnsi="Arial"/>
                <w:sz w:val="15"/>
                <w:szCs w:val="15"/>
                <w:b w:val="1"/>
                <w:bCs w:val="1"/>
                <w:color w:val="auto"/>
                <w:w w:val="90"/>
              </w:rPr>
              <w:t>June 30, 2007</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40" w:type="dxa"/>
            <w:vAlign w:val="bottom"/>
            <w:gridSpan w:val="3"/>
          </w:tcPr>
          <w:p>
            <w:pPr>
              <w:ind w:left="120"/>
              <w:spacing w:after="0"/>
              <w:rPr>
                <w:sz w:val="20"/>
                <w:szCs w:val="20"/>
                <w:color w:val="auto"/>
              </w:rPr>
            </w:pPr>
            <w:r>
              <w:rPr>
                <w:rFonts w:ascii="Arial" w:cs="Arial" w:eastAsia="Arial" w:hAnsi="Arial"/>
                <w:sz w:val="15"/>
                <w:szCs w:val="15"/>
                <w:b w:val="1"/>
                <w:bCs w:val="1"/>
                <w:color w:val="auto"/>
              </w:rPr>
              <w:t>Diluted Earnings</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4"/>
          </w:tcPr>
          <w:p>
            <w:pPr>
              <w:ind w:left="120"/>
              <w:spacing w:after="0"/>
              <w:rPr>
                <w:sz w:val="20"/>
                <w:szCs w:val="20"/>
                <w:color w:val="auto"/>
              </w:rPr>
            </w:pPr>
            <w:r>
              <w:rPr>
                <w:rFonts w:ascii="Arial" w:cs="Arial" w:eastAsia="Arial" w:hAnsi="Arial"/>
                <w:sz w:val="15"/>
                <w:szCs w:val="15"/>
                <w:b w:val="1"/>
                <w:bCs w:val="1"/>
                <w:color w:val="auto"/>
              </w:rPr>
              <w:t>Diluted Earnings</w:t>
            </w:r>
          </w:p>
        </w:tc>
        <w:tc>
          <w:tcPr>
            <w:tcW w:w="0" w:type="dxa"/>
            <w:vAlign w:val="bottom"/>
          </w:tcPr>
          <w:p>
            <w:pPr>
              <w:spacing w:after="0"/>
              <w:rPr>
                <w:sz w:val="1"/>
                <w:szCs w:val="1"/>
                <w:color w:val="auto"/>
              </w:rPr>
            </w:pPr>
          </w:p>
        </w:tc>
      </w:tr>
      <w:tr>
        <w:trPr>
          <w:trHeight w:val="221"/>
        </w:trPr>
        <w:tc>
          <w:tcPr>
            <w:tcW w:w="4780" w:type="dxa"/>
            <w:vAlign w:val="bottom"/>
          </w:tcPr>
          <w:p>
            <w:pPr>
              <w:spacing w:after="0"/>
              <w:rPr>
                <w:sz w:val="19"/>
                <w:szCs w:val="19"/>
                <w:color w:val="auto"/>
              </w:rPr>
            </w:pPr>
          </w:p>
        </w:tc>
        <w:tc>
          <w:tcPr>
            <w:tcW w:w="1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In Thousands</w:t>
            </w:r>
          </w:p>
        </w:tc>
        <w:tc>
          <w:tcPr>
            <w:tcW w:w="40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5"/>
                <w:szCs w:val="15"/>
                <w:b w:val="1"/>
                <w:bCs w:val="1"/>
                <w:color w:val="auto"/>
              </w:rPr>
              <w:t>Per Share</w:t>
            </w:r>
          </w:p>
        </w:tc>
        <w:tc>
          <w:tcPr>
            <w:tcW w:w="400" w:type="dxa"/>
            <w:vAlign w:val="bottom"/>
          </w:tcPr>
          <w:p>
            <w:pPr>
              <w:spacing w:after="0"/>
              <w:rPr>
                <w:sz w:val="19"/>
                <w:szCs w:val="19"/>
                <w:color w:val="auto"/>
              </w:rPr>
            </w:pPr>
          </w:p>
        </w:tc>
        <w:tc>
          <w:tcPr>
            <w:tcW w:w="14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In Thousands</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5"/>
                <w:szCs w:val="15"/>
                <w:b w:val="1"/>
                <w:bCs w:val="1"/>
                <w:color w:val="auto"/>
                <w:w w:val="88"/>
              </w:rPr>
              <w:t>Per Share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(11,818)</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96"/>
              </w:rPr>
              <w:t>(0.69)</w:t>
            </w:r>
          </w:p>
        </w:tc>
        <w:tc>
          <w:tcPr>
            <w:tcW w:w="18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 (8,063)</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(0.47)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20"/>
                <w:szCs w:val="20"/>
                <w:color w:val="auto"/>
              </w:rPr>
            </w:pPr>
            <w:r>
              <w:rPr>
                <w:rFonts w:ascii="Arial" w:cs="Arial" w:eastAsia="Arial" w:hAnsi="Arial"/>
                <w:sz w:val="15"/>
                <w:szCs w:val="15"/>
                <w:color w:val="auto"/>
              </w:rPr>
              <w:t>After-tax restructuring and other one time charges</w:t>
            </w:r>
          </w:p>
        </w:tc>
        <w:tc>
          <w:tcPr>
            <w:tcW w:w="1720" w:type="dxa"/>
            <w:vAlign w:val="bottom"/>
            <w:gridSpan w:val="2"/>
          </w:tcPr>
          <w:p>
            <w:pPr>
              <w:jc w:val="right"/>
              <w:ind w:right="400"/>
              <w:spacing w:after="0"/>
              <w:rPr>
                <w:sz w:val="20"/>
                <w:szCs w:val="20"/>
                <w:color w:val="auto"/>
              </w:rPr>
            </w:pPr>
            <w:r>
              <w:rPr>
                <w:rFonts w:ascii="Arial" w:cs="Arial" w:eastAsia="Arial" w:hAnsi="Arial"/>
                <w:sz w:val="15"/>
                <w:szCs w:val="15"/>
                <w:color w:val="auto"/>
              </w:rPr>
              <w:t>14,873</w:t>
            </w:r>
          </w:p>
        </w:tc>
        <w:tc>
          <w:tcPr>
            <w:tcW w:w="94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5"/>
                <w:szCs w:val="15"/>
                <w:color w:val="auto"/>
              </w:rPr>
              <w:t>0.87</w:t>
            </w:r>
          </w:p>
        </w:tc>
        <w:tc>
          <w:tcPr>
            <w:tcW w:w="1860" w:type="dxa"/>
            <w:vAlign w:val="bottom"/>
            <w:gridSpan w:val="2"/>
          </w:tcPr>
          <w:p>
            <w:pPr>
              <w:jc w:val="right"/>
              <w:ind w:right="400"/>
              <w:spacing w:after="0"/>
              <w:rPr>
                <w:sz w:val="20"/>
                <w:szCs w:val="20"/>
                <w:color w:val="auto"/>
              </w:rPr>
            </w:pPr>
            <w:r>
              <w:rPr>
                <w:rFonts w:ascii="Arial" w:cs="Arial" w:eastAsia="Arial" w:hAnsi="Arial"/>
                <w:sz w:val="15"/>
                <w:szCs w:val="15"/>
                <w:color w:val="auto"/>
              </w:rPr>
              <w:t>14,873</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0.87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After –tax loss of Whirlaway</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507</w:t>
            </w:r>
          </w:p>
        </w:tc>
        <w:tc>
          <w:tcPr>
            <w:tcW w:w="9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0.03</w:t>
            </w:r>
          </w:p>
        </w:tc>
        <w:tc>
          <w:tcPr>
            <w:tcW w:w="18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460</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line="171" w:lineRule="exact"/>
              <w:rPr>
                <w:sz w:val="20"/>
                <w:szCs w:val="20"/>
                <w:color w:val="auto"/>
              </w:rPr>
            </w:pPr>
            <w:r>
              <w:rPr>
                <w:rFonts w:ascii="Arial" w:cs="Arial" w:eastAsia="Arial" w:hAnsi="Arial"/>
                <w:sz w:val="15"/>
                <w:szCs w:val="15"/>
                <w:color w:val="auto"/>
                <w:w w:val="91"/>
              </w:rPr>
              <w:t>Net income excluding restructuring and other one time charges and Whirlaway</w:t>
            </w: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   3,562</w:t>
            </w:r>
          </w:p>
        </w:tc>
        <w:tc>
          <w:tcPr>
            <w:tcW w:w="4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5"/>
                <w:szCs w:val="15"/>
                <w:color w:val="auto"/>
              </w:rPr>
              <w:t>0.21</w:t>
            </w:r>
          </w:p>
        </w:tc>
        <w:tc>
          <w:tcPr>
            <w:tcW w:w="1860" w:type="dxa"/>
            <w:vAlign w:val="bottom"/>
            <w:gridSpan w:val="2"/>
            <w:vMerge w:val="restart"/>
          </w:tcPr>
          <w:p>
            <w:pPr>
              <w:jc w:val="right"/>
              <w:ind w:right="400"/>
              <w:spacing w:after="0"/>
              <w:rPr>
                <w:sz w:val="20"/>
                <w:szCs w:val="20"/>
                <w:color w:val="auto"/>
              </w:rPr>
            </w:pPr>
            <w:r>
              <w:rPr>
                <w:rFonts w:ascii="Arial" w:cs="Arial" w:eastAsia="Arial" w:hAnsi="Arial"/>
                <w:sz w:val="15"/>
                <w:szCs w:val="15"/>
                <w:color w:val="auto"/>
              </w:rPr>
              <w:t>$  7,270</w:t>
            </w:r>
          </w:p>
        </w:tc>
        <w:tc>
          <w:tcPr>
            <w:tcW w:w="3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0.43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line="127" w:lineRule="exact"/>
              <w:rPr>
                <w:sz w:val="20"/>
                <w:szCs w:val="20"/>
                <w:color w:val="auto"/>
              </w:rPr>
            </w:pPr>
            <w:r>
              <w:rPr>
                <w:rFonts w:ascii="Arial" w:cs="Arial" w:eastAsia="Arial" w:hAnsi="Arial"/>
                <w:sz w:val="14"/>
                <w:szCs w:val="14"/>
                <w:color w:val="auto"/>
              </w:rPr>
              <w:t>net loss</w:t>
            </w: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32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2019-12-14T03:14:54Z</dcterms:created>
  <dcterms:modified xsi:type="dcterms:W3CDTF">2019-12-14T03:14:54Z</dcterms:modified>
</cp:coreProperties>
</file>