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0"/>
          <w:szCs w:val="30"/>
          <w:b w:val="1"/>
          <w:bCs w:val="1"/>
          <w:color w:val="auto"/>
        </w:rPr>
        <w:t>UNITED STATES</w:t>
      </w:r>
    </w:p>
    <w:p>
      <w:pPr>
        <w:spacing w:after="0" w:line="13" w:lineRule="exact"/>
        <w:rPr>
          <w:sz w:val="24"/>
          <w:szCs w:val="24"/>
          <w:color w:val="auto"/>
        </w:rPr>
      </w:pPr>
    </w:p>
    <w:p>
      <w:pPr>
        <w:jc w:val="center"/>
        <w:ind w:right="-619"/>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619"/>
        <w:spacing w:after="0"/>
        <w:rPr>
          <w:sz w:val="20"/>
          <w:szCs w:val="20"/>
          <w:color w:val="auto"/>
        </w:rPr>
      </w:pPr>
      <w:r>
        <w:rPr>
          <w:rFonts w:ascii="Arial" w:cs="Arial" w:eastAsia="Arial" w:hAnsi="Arial"/>
          <w:sz w:val="20"/>
          <w:szCs w:val="20"/>
          <w:b w:val="1"/>
          <w:bCs w:val="1"/>
          <w:color w:val="auto"/>
        </w:rPr>
        <w:t>Washington, D.C. 20549</w:t>
      </w:r>
    </w:p>
    <w:p>
      <w:pPr>
        <w:spacing w:after="0" w:line="167" w:lineRule="exact"/>
        <w:rPr>
          <w:sz w:val="24"/>
          <w:szCs w:val="24"/>
          <w:color w:val="auto"/>
        </w:rPr>
      </w:pPr>
    </w:p>
    <w:p>
      <w:pPr>
        <w:jc w:val="center"/>
        <w:ind w:right="-619"/>
        <w:spacing w:after="0"/>
        <w:rPr>
          <w:sz w:val="20"/>
          <w:szCs w:val="20"/>
          <w:color w:val="auto"/>
        </w:rPr>
      </w:pPr>
      <w:r>
        <w:rPr>
          <w:rFonts w:ascii="Arial" w:cs="Arial" w:eastAsia="Arial" w:hAnsi="Arial"/>
          <w:sz w:val="30"/>
          <w:szCs w:val="30"/>
          <w:b w:val="1"/>
          <w:bCs w:val="1"/>
          <w:color w:val="auto"/>
        </w:rPr>
        <w:t>SCHEDULE 14A INFORMATION</w:t>
      </w:r>
    </w:p>
    <w:p>
      <w:pPr>
        <w:spacing w:after="0" w:line="224" w:lineRule="exact"/>
        <w:rPr>
          <w:sz w:val="24"/>
          <w:szCs w:val="24"/>
          <w:color w:val="auto"/>
        </w:rPr>
      </w:pPr>
    </w:p>
    <w:p>
      <w:pPr>
        <w:jc w:val="center"/>
        <w:ind w:right="-61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4"/>
          <w:szCs w:val="24"/>
          <w:color w:val="auto"/>
        </w:rPr>
      </w:pPr>
    </w:p>
    <w:p>
      <w:pPr>
        <w:spacing w:after="0" w:line="27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1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61" w:lineRule="exact"/>
        <w:rPr>
          <w:sz w:val="24"/>
          <w:szCs w:val="24"/>
          <w:color w:val="auto"/>
        </w:rPr>
      </w:pPr>
    </w:p>
    <w:p>
      <w:pPr>
        <w:ind w:left="860" w:hanging="386"/>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33" w:lineRule="exact"/>
        <w:rPr>
          <w:sz w:val="24"/>
          <w:szCs w:val="24"/>
          <w:color w:val="auto"/>
        </w:rPr>
      </w:pPr>
    </w:p>
    <w:p>
      <w:pPr>
        <w:ind w:left="860" w:hanging="386"/>
        <w:spacing w:after="0"/>
        <w:tabs>
          <w:tab w:leader="none" w:pos="8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1" w:lineRule="exact"/>
        <w:rPr>
          <w:rFonts w:ascii="MS PGothic" w:cs="MS PGothic" w:eastAsia="MS PGothic" w:hAnsi="MS PGothic"/>
          <w:sz w:val="16"/>
          <w:szCs w:val="16"/>
          <w:color w:val="auto"/>
        </w:rPr>
      </w:pPr>
    </w:p>
    <w:p>
      <w:pPr>
        <w:ind w:left="860" w:hanging="386"/>
        <w:spacing w:after="0"/>
        <w:tabs>
          <w:tab w:leader="none" w:pos="8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7" w:lineRule="exact"/>
        <w:rPr>
          <w:rFonts w:ascii="MS PGothic" w:cs="MS PGothic" w:eastAsia="MS PGothic" w:hAnsi="MS PGothic"/>
          <w:sz w:val="16"/>
          <w:szCs w:val="16"/>
          <w:color w:val="auto"/>
        </w:rPr>
      </w:pPr>
    </w:p>
    <w:p>
      <w:pPr>
        <w:ind w:left="860" w:hanging="386"/>
        <w:spacing w:after="0"/>
        <w:tabs>
          <w:tab w:leader="none" w:pos="8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37" w:lineRule="exact"/>
        <w:rPr>
          <w:rFonts w:ascii="MS PGothic" w:cs="MS PGothic" w:eastAsia="MS PGothic" w:hAnsi="MS PGothic"/>
          <w:sz w:val="16"/>
          <w:szCs w:val="16"/>
          <w:color w:val="auto"/>
        </w:rPr>
      </w:pPr>
    </w:p>
    <w:p>
      <w:pPr>
        <w:ind w:left="860" w:hanging="386"/>
        <w:spacing w:after="0"/>
        <w:tabs>
          <w:tab w:leader="none" w:pos="8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381" w:lineRule="exact"/>
        <w:rPr>
          <w:sz w:val="24"/>
          <w:szCs w:val="24"/>
          <w:color w:val="auto"/>
        </w:rPr>
      </w:pPr>
    </w:p>
    <w:p>
      <w:pPr>
        <w:jc w:val="center"/>
        <w:ind w:right="-619"/>
        <w:spacing w:after="0"/>
        <w:rPr>
          <w:sz w:val="20"/>
          <w:szCs w:val="20"/>
          <w:color w:val="auto"/>
        </w:rPr>
      </w:pPr>
      <w:r>
        <w:rPr>
          <w:rFonts w:ascii="Arial" w:cs="Arial" w:eastAsia="Arial" w:hAnsi="Arial"/>
          <w:sz w:val="40"/>
          <w:szCs w:val="40"/>
          <w:b w:val="1"/>
          <w:bCs w:val="1"/>
          <w:color w:val="auto"/>
        </w:rPr>
        <w:t>NN, INC.</w:t>
      </w:r>
    </w:p>
    <w:p>
      <w:pPr>
        <w:spacing w:after="0" w:line="38"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0" w:lineRule="exact"/>
        <w:rPr>
          <w:sz w:val="24"/>
          <w:szCs w:val="24"/>
          <w:color w:val="auto"/>
        </w:rPr>
      </w:pPr>
    </w:p>
    <w:p>
      <w:pPr>
        <w:spacing w:after="0" w:line="219" w:lineRule="exact"/>
        <w:rPr>
          <w:sz w:val="24"/>
          <w:szCs w:val="24"/>
          <w:color w:val="auto"/>
        </w:rPr>
      </w:pPr>
    </w:p>
    <w:p>
      <w:pPr>
        <w:ind w:left="378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393" w:lineRule="exact"/>
        <w:rPr>
          <w:sz w:val="24"/>
          <w:szCs w:val="24"/>
          <w:color w:val="auto"/>
        </w:rPr>
      </w:pPr>
    </w:p>
    <w:p>
      <w:pPr>
        <w:ind w:left="480"/>
        <w:spacing w:after="0"/>
        <w:rPr>
          <w:sz w:val="20"/>
          <w:szCs w:val="20"/>
          <w:color w:val="auto"/>
        </w:rPr>
      </w:pPr>
      <w:r>
        <w:rPr>
          <w:rFonts w:ascii="Arial" w:cs="Arial" w:eastAsia="Arial" w:hAnsi="Arial"/>
          <w:sz w:val="16"/>
          <w:szCs w:val="16"/>
          <w:color w:val="auto"/>
        </w:rPr>
        <w:t>Payment of Filing Fee (Check the appropriate box):</w:t>
      </w:r>
    </w:p>
    <w:p>
      <w:pPr>
        <w:spacing w:after="0" w:line="211" w:lineRule="exact"/>
        <w:rPr>
          <w:sz w:val="24"/>
          <w:szCs w:val="24"/>
          <w:color w:val="auto"/>
        </w:rPr>
      </w:pPr>
    </w:p>
    <w:p>
      <w:pPr>
        <w:ind w:left="860" w:hanging="386"/>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6" w:lineRule="exact"/>
        <w:rPr>
          <w:sz w:val="24"/>
          <w:szCs w:val="24"/>
          <w:color w:val="auto"/>
        </w:rPr>
      </w:pPr>
    </w:p>
    <w:p>
      <w:pPr>
        <w:ind w:left="860" w:hanging="386"/>
        <w:spacing w:after="0"/>
        <w:tabs>
          <w:tab w:leader="none" w:pos="8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5" w:lineRule="exact"/>
        <w:rPr>
          <w:rFonts w:ascii="MS PGothic" w:cs="MS PGothic" w:eastAsia="MS PGothic" w:hAnsi="MS PGothic"/>
          <w:sz w:val="16"/>
          <w:szCs w:val="16"/>
          <w:color w:val="auto"/>
        </w:rPr>
      </w:pPr>
    </w:p>
    <w:p>
      <w:pPr>
        <w:ind w:left="1260" w:hanging="391"/>
        <w:spacing w:after="0"/>
        <w:tabs>
          <w:tab w:leader="none" w:pos="12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97" w:lineRule="exact"/>
        <w:rPr>
          <w:rFonts w:ascii="Arial" w:cs="Arial" w:eastAsia="Arial" w:hAnsi="Arial"/>
          <w:sz w:val="16"/>
          <w:szCs w:val="16"/>
          <w:color w:val="auto"/>
        </w:rPr>
      </w:pPr>
    </w:p>
    <w:p>
      <w:pPr>
        <w:ind w:left="1260" w:hanging="391"/>
        <w:spacing w:after="0"/>
        <w:tabs>
          <w:tab w:leader="none" w:pos="1260" w:val="left"/>
        </w:tabs>
        <w:numPr>
          <w:ilvl w:val="1"/>
          <w:numId w:val="4"/>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97" w:lineRule="exact"/>
        <w:rPr>
          <w:rFonts w:ascii="Arial" w:cs="Arial" w:eastAsia="Arial" w:hAnsi="Arial"/>
          <w:sz w:val="16"/>
          <w:szCs w:val="16"/>
          <w:color w:val="auto"/>
        </w:rPr>
      </w:pPr>
    </w:p>
    <w:p>
      <w:pPr>
        <w:ind w:left="1260" w:hanging="391"/>
        <w:spacing w:after="0" w:line="289" w:lineRule="auto"/>
        <w:tabs>
          <w:tab w:leader="none" w:pos="1260" w:val="left"/>
        </w:tabs>
        <w:numPr>
          <w:ilvl w:val="1"/>
          <w:numId w:val="4"/>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97" w:lineRule="exact"/>
        <w:rPr>
          <w:rFonts w:ascii="Arial" w:cs="Arial" w:eastAsia="Arial" w:hAnsi="Arial"/>
          <w:sz w:val="16"/>
          <w:szCs w:val="16"/>
          <w:color w:val="auto"/>
        </w:rPr>
      </w:pPr>
    </w:p>
    <w:p>
      <w:pPr>
        <w:ind w:left="1260" w:hanging="391"/>
        <w:spacing w:after="0"/>
        <w:tabs>
          <w:tab w:leader="none" w:pos="1260"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798830</wp:posOffset>
            </wp:positionH>
            <wp:positionV relativeFrom="paragraph">
              <wp:posOffset>189230</wp:posOffset>
            </wp:positionV>
            <wp:extent cx="6045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-123825</wp:posOffset>
            </wp:positionV>
            <wp:extent cx="6045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-594360</wp:posOffset>
            </wp:positionV>
            <wp:extent cx="6045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798830</wp:posOffset>
            </wp:positionH>
            <wp:positionV relativeFrom="paragraph">
              <wp:posOffset>-892175</wp:posOffset>
            </wp:positionV>
            <wp:extent cx="6045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534035</wp:posOffset>
            </wp:positionV>
            <wp:extent cx="715962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620"/>
          </w:cols>
          <w:pgMar w:left="320" w:top="570" w:right="959" w:bottom="1440" w:gutter="0" w:footer="0" w:header="0"/>
        </w:sectPr>
      </w:pPr>
    </w:p>
    <w:bookmarkStart w:id="1" w:name="page2"/>
    <w:bookmarkEnd w:id="1"/>
    <w:p>
      <w:pPr>
        <w:ind w:left="786" w:hanging="391"/>
        <w:spacing w:after="0"/>
        <w:tabs>
          <w:tab w:leader="none" w:pos="786"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1" w:lineRule="exact"/>
        <w:rPr>
          <w:rFonts w:ascii="Arial" w:cs="Arial" w:eastAsia="Arial" w:hAnsi="Arial"/>
          <w:sz w:val="16"/>
          <w:szCs w:val="16"/>
          <w:color w:val="auto"/>
        </w:rPr>
      </w:pPr>
    </w:p>
    <w:p>
      <w:pPr>
        <w:ind w:left="386" w:hanging="386"/>
        <w:spacing w:after="0"/>
        <w:tabs>
          <w:tab w:leader="none" w:pos="386"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MS PGothic" w:cs="MS PGothic" w:eastAsia="MS PGothic" w:hAnsi="MS PGothic"/>
          <w:sz w:val="16"/>
          <w:szCs w:val="16"/>
          <w:color w:val="auto"/>
        </w:rPr>
      </w:pPr>
    </w:p>
    <w:p>
      <w:pPr>
        <w:ind w:left="386" w:hanging="386"/>
        <w:spacing w:after="0" w:line="289" w:lineRule="auto"/>
        <w:tabs>
          <w:tab w:leader="none" w:pos="386"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4" w:lineRule="exact"/>
        <w:rPr>
          <w:rFonts w:ascii="MS PGothic" w:cs="MS PGothic" w:eastAsia="MS PGothic" w:hAnsi="MS PGothic"/>
          <w:sz w:val="16"/>
          <w:szCs w:val="16"/>
          <w:color w:val="auto"/>
        </w:rPr>
      </w:pPr>
    </w:p>
    <w:p>
      <w:pPr>
        <w:ind w:left="786" w:hanging="391"/>
        <w:spacing w:after="0"/>
        <w:tabs>
          <w:tab w:leader="none" w:pos="786" w:val="left"/>
        </w:tabs>
        <w:numPr>
          <w:ilvl w:val="1"/>
          <w:numId w:val="6"/>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95" w:lineRule="exact"/>
        <w:rPr>
          <w:rFonts w:ascii="Arial" w:cs="Arial" w:eastAsia="Arial" w:hAnsi="Arial"/>
          <w:sz w:val="16"/>
          <w:szCs w:val="16"/>
          <w:color w:val="auto"/>
        </w:rPr>
      </w:pPr>
    </w:p>
    <w:p>
      <w:pPr>
        <w:ind w:left="786" w:hanging="391"/>
        <w:spacing w:after="0"/>
        <w:tabs>
          <w:tab w:leader="none" w:pos="786"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786" w:hanging="391"/>
        <w:spacing w:after="0"/>
        <w:tabs>
          <w:tab w:leader="none" w:pos="786" w:val="left"/>
        </w:tabs>
        <w:numPr>
          <w:ilvl w:val="1"/>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82" w:lineRule="exact"/>
        <w:rPr>
          <w:rFonts w:ascii="Arial" w:cs="Arial" w:eastAsia="Arial" w:hAnsi="Arial"/>
          <w:sz w:val="16"/>
          <w:szCs w:val="16"/>
          <w:color w:val="auto"/>
        </w:rPr>
      </w:pPr>
    </w:p>
    <w:p>
      <w:pPr>
        <w:ind w:left="786" w:hanging="391"/>
        <w:spacing w:after="0"/>
        <w:tabs>
          <w:tab w:leader="none" w:pos="786" w:val="left"/>
        </w:tabs>
        <w:numPr>
          <w:ilvl w:val="1"/>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189230</wp:posOffset>
            </wp:positionV>
            <wp:extent cx="60458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-233680</wp:posOffset>
            </wp:positionV>
            <wp:extent cx="60458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-641350</wp:posOffset>
            </wp:positionV>
            <wp:extent cx="60458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-1072515</wp:posOffset>
            </wp:positionV>
            <wp:extent cx="61010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01080" cy="7620"/>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-2319655</wp:posOffset>
            </wp:positionV>
            <wp:extent cx="60458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45835" cy="7620"/>
                    </a:xfrm>
                    <a:prstGeom prst="rect">
                      <a:avLst/>
                    </a:prstGeom>
                    <a:noFill/>
                  </pic:spPr>
                </pic:pic>
              </a:graphicData>
            </a:graphic>
          </wp:anchor>
        </w:drawing>
        <w:drawing>
          <wp:anchor simplePos="0" relativeHeight="251657728" behindDoc="1" locked="0" layoutInCell="0" allowOverlap="1">
            <wp:simplePos x="0" y="0"/>
            <wp:positionH relativeFrom="column">
              <wp:posOffset>-300990</wp:posOffset>
            </wp:positionH>
            <wp:positionV relativeFrom="paragraph">
              <wp:posOffset>816610</wp:posOffset>
            </wp:positionV>
            <wp:extent cx="715962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006"/>
          </w:cols>
          <w:pgMar w:left="794" w:top="349" w:right="1099" w:bottom="1440" w:gutter="0" w:footer="0" w:header="0"/>
        </w:sectPr>
      </w:pPr>
    </w:p>
    <w:bookmarkStart w:id="2" w:name="page3"/>
    <w:bookmarkEnd w:id="2"/>
    <w:p>
      <w:pPr>
        <w:jc w:val="right"/>
        <w:spacing w:after="0"/>
        <w:tabs>
          <w:tab w:leader="none" w:pos="1040" w:val="left"/>
        </w:tabs>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202565</wp:posOffset>
            </wp:positionH>
            <wp:positionV relativeFrom="page">
              <wp:posOffset>229870</wp:posOffset>
            </wp:positionV>
            <wp:extent cx="753110" cy="753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53110" cy="753110"/>
                    </a:xfrm>
                    <a:prstGeom prst="rect">
                      <a:avLst/>
                    </a:prstGeom>
                    <a:noFill/>
                  </pic:spPr>
                </pic:pic>
              </a:graphicData>
            </a:graphic>
          </wp:anchor>
        </w:drawing>
        <w:t>NN, Inc.</w:t>
      </w:r>
      <w:r>
        <w:rPr>
          <w:sz w:val="20"/>
          <w:szCs w:val="20"/>
          <w:color w:val="auto"/>
        </w:rPr>
        <w:tab/>
      </w:r>
      <w:r>
        <w:rPr>
          <w:rFonts w:ascii="Arial" w:cs="Arial" w:eastAsia="Arial" w:hAnsi="Arial"/>
          <w:sz w:val="15"/>
          <w:szCs w:val="15"/>
          <w:color w:val="auto"/>
        </w:rPr>
        <w:t>www.nninc.com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1292860</wp:posOffset>
            </wp:positionH>
            <wp:positionV relativeFrom="paragraph">
              <wp:posOffset>41910</wp:posOffset>
            </wp:positionV>
            <wp:extent cx="58502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50255" cy="7620"/>
                    </a:xfrm>
                    <a:prstGeom prst="rect">
                      <a:avLst/>
                    </a:prstGeom>
                    <a:noFill/>
                  </pic:spPr>
                </pic:pic>
              </a:graphicData>
            </a:graphic>
          </wp:anchor>
        </w:drawing>
      </w:r>
    </w:p>
    <w:p>
      <w:pPr>
        <w:spacing w:after="0" w:line="87"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6210 Ardrey Kell Road</w:t>
      </w:r>
    </w:p>
    <w:p>
      <w:pPr>
        <w:spacing w:after="0" w:line="16" w:lineRule="exact"/>
        <w:rPr>
          <w:sz w:val="20"/>
          <w:szCs w:val="20"/>
          <w:color w:val="auto"/>
        </w:rPr>
      </w:pPr>
    </w:p>
    <w:p>
      <w:pPr>
        <w:ind w:left="2040"/>
        <w:spacing w:after="0"/>
        <w:rPr>
          <w:sz w:val="20"/>
          <w:szCs w:val="20"/>
          <w:color w:val="auto"/>
        </w:rPr>
      </w:pPr>
      <w:r>
        <w:rPr>
          <w:rFonts w:ascii="Arial" w:cs="Arial" w:eastAsia="Arial" w:hAnsi="Arial"/>
          <w:sz w:val="15"/>
          <w:szCs w:val="15"/>
          <w:color w:val="auto"/>
        </w:rPr>
        <w:t xml:space="preserve">phone: 980-264-4300 </w:t>
      </w:r>
      <w:r>
        <w:rPr>
          <w:rFonts w:ascii="Arial" w:cs="Arial" w:eastAsia="Arial" w:hAnsi="Arial"/>
          <w:sz w:val="13"/>
          <w:szCs w:val="13"/>
          <w:color w:val="auto"/>
        </w:rPr>
        <w:t>•</w:t>
      </w:r>
      <w:r>
        <w:rPr>
          <w:rFonts w:ascii="Arial" w:cs="Arial" w:eastAsia="Arial" w:hAnsi="Arial"/>
          <w:sz w:val="15"/>
          <w:szCs w:val="15"/>
          <w:color w:val="auto"/>
        </w:rPr>
        <w:t xml:space="preserve"> fax: 980-264-4389</w:t>
      </w:r>
    </w:p>
    <w:p>
      <w:pPr>
        <w:spacing w:after="0" w:line="200" w:lineRule="exact"/>
        <w:rPr>
          <w:sz w:val="20"/>
          <w:szCs w:val="20"/>
          <w:color w:val="auto"/>
        </w:rPr>
      </w:pPr>
    </w:p>
    <w:p>
      <w:pPr>
        <w:spacing w:after="0" w:line="349"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color w:val="auto"/>
        </w:rPr>
        <w:t>April</w:t>
      </w:r>
      <w:r>
        <w:rPr>
          <w:sz w:val="20"/>
          <w:szCs w:val="20"/>
          <w:color w:val="auto"/>
        </w:rPr>
        <w:tab/>
      </w:r>
      <w:r>
        <w:rPr>
          <w:rFonts w:ascii="Arial" w:cs="Arial" w:eastAsia="Arial" w:hAnsi="Arial"/>
          <w:sz w:val="16"/>
          <w:szCs w:val="16"/>
          <w:color w:val="auto"/>
        </w:rPr>
        <w:t>, 2020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112" w:lineRule="exact"/>
        <w:rPr>
          <w:sz w:val="20"/>
          <w:szCs w:val="20"/>
          <w:color w:val="auto"/>
        </w:rPr>
      </w:pPr>
    </w:p>
    <w:p>
      <w:pPr>
        <w:ind w:right="220" w:firstLine="539"/>
        <w:spacing w:after="0" w:line="289" w:lineRule="auto"/>
        <w:rPr>
          <w:sz w:val="20"/>
          <w:szCs w:val="20"/>
          <w:color w:val="auto"/>
        </w:rPr>
      </w:pPr>
      <w:r>
        <w:rPr>
          <w:rFonts w:ascii="Arial" w:cs="Arial" w:eastAsia="Arial" w:hAnsi="Arial"/>
          <w:sz w:val="16"/>
          <w:szCs w:val="16"/>
          <w:color w:val="auto"/>
        </w:rPr>
        <w:t>You are cordially invited to attend the 2020 Annual Meeting of Stockholders of NN, Inc., which will be held on Wednesday, May 20, 2020, at 10:00 a.m., local time, at the Hilton Garden Inn Charlotte Waverly, 7415 Waverly Walk Avenue, Charlotte, North Carolina 28277.</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Stockholders will be asked to vote on the matters described in the enclosed Proxy Statement. You are urged to read the Proxy Statement carefully before voting.</w:t>
      </w:r>
    </w:p>
    <w:p>
      <w:pPr>
        <w:spacing w:after="0" w:line="223" w:lineRule="exact"/>
        <w:rPr>
          <w:sz w:val="20"/>
          <w:szCs w:val="20"/>
          <w:color w:val="auto"/>
        </w:rPr>
      </w:pPr>
    </w:p>
    <w:p>
      <w:pPr>
        <w:ind w:right="60" w:firstLine="539"/>
        <w:spacing w:after="0" w:line="273" w:lineRule="auto"/>
        <w:rPr>
          <w:sz w:val="20"/>
          <w:szCs w:val="20"/>
          <w:color w:val="auto"/>
        </w:rPr>
      </w:pPr>
      <w:r>
        <w:rPr>
          <w:rFonts w:ascii="Arial" w:cs="Arial" w:eastAsia="Arial" w:hAnsi="Arial"/>
          <w:sz w:val="16"/>
          <w:szCs w:val="16"/>
          <w:color w:val="auto"/>
        </w:rPr>
        <w:t xml:space="preserve">You may vote on the matters brought before the Annual Meeting by: (i) completing and mailing the enclosed proxy card; (ii) telephone; (iii) Internet; or (iv) appearing in person and voting at the Annual Meeting. Voting instructions are printed on your proxy card. </w:t>
      </w:r>
      <w:r>
        <w:rPr>
          <w:rFonts w:ascii="Arial" w:cs="Arial" w:eastAsia="Arial" w:hAnsi="Arial"/>
          <w:sz w:val="16"/>
          <w:szCs w:val="16"/>
          <w:b w:val="1"/>
          <w:bCs w:val="1"/>
          <w:color w:val="auto"/>
        </w:rPr>
        <w:t>Your vote is important. We encourage you to vote by proxy,</w:t>
      </w:r>
      <w:r>
        <w:rPr>
          <w:rFonts w:ascii="Arial" w:cs="Arial" w:eastAsia="Arial" w:hAnsi="Arial"/>
          <w:sz w:val="16"/>
          <w:szCs w:val="16"/>
          <w:color w:val="auto"/>
        </w:rPr>
        <w:t xml:space="preserve"> </w:t>
      </w:r>
      <w:r>
        <w:rPr>
          <w:rFonts w:ascii="Arial" w:cs="Arial" w:eastAsia="Arial" w:hAnsi="Arial"/>
          <w:sz w:val="16"/>
          <w:szCs w:val="16"/>
          <w:b w:val="1"/>
          <w:bCs w:val="1"/>
          <w:color w:val="auto"/>
        </w:rPr>
        <w:t>even if you plan to attend the Annual Meeting.</w:t>
      </w:r>
    </w:p>
    <w:p>
      <w:pPr>
        <w:spacing w:after="0" w:line="16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142240</wp:posOffset>
            </wp:positionV>
            <wp:extent cx="115252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25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Warren A. Veltman</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753745</wp:posOffset>
            </wp:positionV>
            <wp:extent cx="715962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3" w:name="page4"/>
    <w:bookmarkEnd w:id="3"/>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6210 Ardrey Kell Road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Charlotte, North Carolina 28277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15" w:lineRule="exact"/>
        <w:rPr>
          <w:sz w:val="20"/>
          <w:szCs w:val="20"/>
          <w:color w:val="auto"/>
        </w:rPr>
      </w:pPr>
    </w:p>
    <w:p>
      <w:pPr>
        <w:ind w:right="180" w:firstLine="594"/>
        <w:spacing w:after="0" w:line="289" w:lineRule="auto"/>
        <w:rPr>
          <w:sz w:val="20"/>
          <w:szCs w:val="20"/>
          <w:color w:val="auto"/>
        </w:rPr>
      </w:pPr>
      <w:r>
        <w:rPr>
          <w:rFonts w:ascii="Arial" w:cs="Arial" w:eastAsia="Arial" w:hAnsi="Arial"/>
          <w:sz w:val="16"/>
          <w:szCs w:val="16"/>
          <w:color w:val="auto"/>
        </w:rPr>
        <w:t>Notice is hereby given that the Annual Meeting of Stockholders of NN, Inc., a Delaware corporation, will be held on Wednesday, May 20, 2020, at 10:00 a.m., local time, at the Hilton Garden Inn Charlotte Waverly, 7415 Waverly Walk Avenue, Charlotte, North Carolina 28277, for the following purposes:</w:t>
      </w:r>
    </w:p>
    <w:p>
      <w:pPr>
        <w:spacing w:after="0" w:line="150" w:lineRule="exact"/>
        <w:rPr>
          <w:sz w:val="20"/>
          <w:szCs w:val="20"/>
          <w:color w:val="auto"/>
        </w:rPr>
      </w:pPr>
    </w:p>
    <w:p>
      <w:pPr>
        <w:ind w:left="1180" w:hanging="588"/>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three Class I directors and the three Class III directors each named herein to serve for a term of one year;</w:t>
      </w:r>
    </w:p>
    <w:p>
      <w:pPr>
        <w:spacing w:after="0" w:line="211" w:lineRule="exact"/>
        <w:rPr>
          <w:rFonts w:ascii="Arial" w:cs="Arial" w:eastAsia="Arial" w:hAnsi="Arial"/>
          <w:sz w:val="16"/>
          <w:szCs w:val="16"/>
          <w:color w:val="auto"/>
        </w:rPr>
      </w:pPr>
    </w:p>
    <w:p>
      <w:pPr>
        <w:ind w:left="1180" w:right="200" w:hanging="588"/>
        <w:spacing w:after="0" w:line="273"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issuance of our common stock in accordance with the Nasdaq Marketplace Rules 5635(b) and 5635(d) upon (i) conversion or redemption of our Series B Convertible Preferred Stock, and (ii) exercise of warrants, in each case, issued pursuant to that certain Securities Purchase Agreement, dated December 5, 2019, by and among us and the investors named therein;</w:t>
      </w:r>
    </w:p>
    <w:p>
      <w:pPr>
        <w:spacing w:after="0" w:line="162" w:lineRule="exact"/>
        <w:rPr>
          <w:rFonts w:ascii="Arial" w:cs="Arial" w:eastAsia="Arial" w:hAnsi="Arial"/>
          <w:sz w:val="16"/>
          <w:szCs w:val="16"/>
          <w:color w:val="auto"/>
        </w:rPr>
      </w:pPr>
    </w:p>
    <w:p>
      <w:pPr>
        <w:ind w:left="1180" w:hanging="588"/>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cast an advisory (non-binding) vote to approve the compensation of our named executive officers;</w:t>
      </w:r>
    </w:p>
    <w:p>
      <w:pPr>
        <w:spacing w:after="0" w:line="211" w:lineRule="exact"/>
        <w:rPr>
          <w:rFonts w:ascii="Arial" w:cs="Arial" w:eastAsia="Arial" w:hAnsi="Arial"/>
          <w:sz w:val="16"/>
          <w:szCs w:val="16"/>
          <w:color w:val="auto"/>
        </w:rPr>
      </w:pPr>
    </w:p>
    <w:p>
      <w:pPr>
        <w:ind w:left="1180" w:right="140" w:hanging="588"/>
        <w:spacing w:after="0" w:line="289"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cast an advisory (non-binding) vote to ratify the selection of PricewaterhouseCoopers LLP as our registered independent public accounting firm for the fiscal year ending December 31, 2020; and</w:t>
      </w:r>
    </w:p>
    <w:p>
      <w:pPr>
        <w:spacing w:after="0" w:line="149" w:lineRule="exact"/>
        <w:rPr>
          <w:rFonts w:ascii="Arial" w:cs="Arial" w:eastAsia="Arial" w:hAnsi="Arial"/>
          <w:sz w:val="16"/>
          <w:szCs w:val="16"/>
          <w:color w:val="auto"/>
        </w:rPr>
      </w:pPr>
    </w:p>
    <w:p>
      <w:pPr>
        <w:ind w:left="1180" w:hanging="588"/>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vote on any other business as properly may come before the Annual Meeting.</w:t>
      </w:r>
    </w:p>
    <w:p>
      <w:pPr>
        <w:spacing w:after="0" w:line="211" w:lineRule="exact"/>
        <w:rPr>
          <w:sz w:val="20"/>
          <w:szCs w:val="20"/>
          <w:color w:val="auto"/>
        </w:rPr>
      </w:pPr>
    </w:p>
    <w:p>
      <w:pPr>
        <w:ind w:right="200" w:firstLine="539"/>
        <w:spacing w:after="0" w:line="273" w:lineRule="auto"/>
        <w:rPr>
          <w:sz w:val="20"/>
          <w:szCs w:val="20"/>
          <w:color w:val="auto"/>
        </w:rPr>
      </w:pPr>
      <w:r>
        <w:rPr>
          <w:rFonts w:ascii="Arial" w:cs="Arial" w:eastAsia="Arial" w:hAnsi="Arial"/>
          <w:sz w:val="16"/>
          <w:szCs w:val="16"/>
          <w:color w:val="auto"/>
        </w:rPr>
        <w:t>Our Board of Directors recommends a vote “FOR ALL” director nominees in Item 1 and “FOR” Items 2, 3 and 4, and for any business that may properly come before the Annual Meeting, subject to the discretion of the appointed proxies. Details regarding each of the first four items are contained in the accompanying Proxy Statement.</w:t>
      </w:r>
    </w:p>
    <w:p>
      <w:pPr>
        <w:spacing w:after="0" w:line="163" w:lineRule="exact"/>
        <w:rPr>
          <w:sz w:val="20"/>
          <w:szCs w:val="20"/>
          <w:color w:val="auto"/>
        </w:rPr>
      </w:pPr>
    </w:p>
    <w:p>
      <w:pPr>
        <w:ind w:firstLine="539"/>
        <w:spacing w:after="0" w:line="289" w:lineRule="auto"/>
        <w:rPr>
          <w:sz w:val="20"/>
          <w:szCs w:val="20"/>
          <w:color w:val="auto"/>
        </w:rPr>
      </w:pPr>
      <w:r>
        <w:rPr>
          <w:rFonts w:ascii="Arial" w:cs="Arial" w:eastAsia="Arial" w:hAnsi="Arial"/>
          <w:sz w:val="16"/>
          <w:szCs w:val="16"/>
          <w:color w:val="auto"/>
        </w:rPr>
        <w:t>The record date for the Annual Meeting is March 24, 2020. If you hold shares of our common stock at the close of business on March 24, 2020, you are entitled to vote at the Annual Meeting.</w:t>
      </w:r>
    </w:p>
    <w:p>
      <w:pPr>
        <w:spacing w:after="0" w:line="150" w:lineRule="exact"/>
        <w:rPr>
          <w:sz w:val="20"/>
          <w:szCs w:val="20"/>
          <w:color w:val="auto"/>
        </w:rPr>
      </w:pPr>
    </w:p>
    <w:p>
      <w:pPr>
        <w:ind w:firstLine="539"/>
        <w:spacing w:after="0" w:line="287" w:lineRule="auto"/>
        <w:rPr>
          <w:sz w:val="20"/>
          <w:szCs w:val="20"/>
          <w:color w:val="auto"/>
        </w:rPr>
      </w:pPr>
      <w:r>
        <w:rPr>
          <w:rFonts w:ascii="Arial" w:cs="Arial" w:eastAsia="Arial" w:hAnsi="Arial"/>
          <w:sz w:val="15"/>
          <w:szCs w:val="15"/>
          <w:color w:val="auto"/>
        </w:rPr>
        <w:t xml:space="preserve">We intend to hold the Annual Meeting in person. However, we are actively monitoring the coronavirus (COVID-19); we are sensitive to the public health and travel concerns our stockholders may have and the protocols that federal, state, and local governments may impose. In the event it is not possible or advisable to hold the Annual Meeting in person, we will announce alternative arrangements for the meeting as promptly as practicable, which may include holding the meeting solely by means of remote communication. Please monitor our website at </w:t>
      </w:r>
      <w:r>
        <w:rPr>
          <w:rFonts w:ascii="Arial" w:cs="Arial" w:eastAsia="Arial" w:hAnsi="Arial"/>
          <w:sz w:val="15"/>
          <w:szCs w:val="15"/>
          <w:i w:val="1"/>
          <w:iCs w:val="1"/>
          <w:color w:val="auto"/>
        </w:rPr>
        <w:t>www.nninc.com</w:t>
      </w:r>
      <w:r>
        <w:rPr>
          <w:rFonts w:ascii="Arial" w:cs="Arial" w:eastAsia="Arial" w:hAnsi="Arial"/>
          <w:sz w:val="15"/>
          <w:szCs w:val="15"/>
          <w:color w:val="auto"/>
        </w:rPr>
        <w:t xml:space="preserve"> for updated information. If you are planning to attend our meeting, please check the website one week prior to the meeting date. As always, we encourage you to vote your shares prior to the Annual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YOUR VOTE IS VERY IMPORTANT.</w:t>
      </w:r>
    </w:p>
    <w:p>
      <w:pPr>
        <w:spacing w:after="0" w:line="211" w:lineRule="exact"/>
        <w:rPr>
          <w:sz w:val="20"/>
          <w:szCs w:val="20"/>
          <w:color w:val="auto"/>
        </w:rPr>
      </w:pPr>
    </w:p>
    <w:p>
      <w:pPr>
        <w:ind w:right="540" w:firstLine="539"/>
        <w:spacing w:after="0" w:line="276" w:lineRule="auto"/>
        <w:rPr>
          <w:sz w:val="20"/>
          <w:szCs w:val="20"/>
          <w:color w:val="auto"/>
        </w:rPr>
      </w:pPr>
      <w:r>
        <w:rPr>
          <w:rFonts w:ascii="Arial" w:cs="Arial" w:eastAsia="Arial" w:hAnsi="Arial"/>
          <w:sz w:val="16"/>
          <w:szCs w:val="16"/>
          <w:b w:val="1"/>
          <w:bCs w:val="1"/>
          <w:color w:val="auto"/>
        </w:rPr>
        <w:t>REGARDLESS OF WHETHER YOU PLAN TO ATTEND THE ANNUAL MEETING, PLEASE PROMPTLY VOTE BY TELEPHONE, BY INTERNET, OR COMPLETE, DATE AND SIGN THE ENCLOSED PROXY CARD AND RETURN IT IN THE ENVELOPE PROVIDED. YOU MAY REVOKE YOUR PROXY AT ANY TIME BEFORE IT IS VOTED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525145</wp:posOffset>
            </wp:positionV>
            <wp:extent cx="715962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67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142240</wp:posOffset>
            </wp:positionV>
            <wp:extent cx="870585" cy="360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70585" cy="36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Matthew S. Heiter</w:t>
      </w:r>
    </w:p>
    <w:p>
      <w:pPr>
        <w:spacing w:after="0" w:line="2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Secretary</w:t>
      </w:r>
    </w:p>
    <w:p>
      <w:pPr>
        <w:spacing w:after="0" w:line="13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Charlotte, North Carolina</w:t>
      </w:r>
    </w:p>
    <w:p>
      <w:pPr>
        <w:spacing w:after="0" w:line="25" w:lineRule="exact"/>
        <w:rPr>
          <w:sz w:val="20"/>
          <w:szCs w:val="20"/>
          <w:color w:val="auto"/>
        </w:rPr>
      </w:pPr>
    </w:p>
    <w:p>
      <w:pPr>
        <w:ind w:left="6760"/>
        <w:spacing w:after="0"/>
        <w:tabs>
          <w:tab w:leader="none" w:pos="7280" w:val="left"/>
        </w:tabs>
        <w:rPr>
          <w:sz w:val="20"/>
          <w:szCs w:val="20"/>
          <w:color w:val="auto"/>
        </w:rPr>
      </w:pPr>
      <w:r>
        <w:rPr>
          <w:rFonts w:ascii="Arial" w:cs="Arial" w:eastAsia="Arial" w:hAnsi="Arial"/>
          <w:sz w:val="16"/>
          <w:szCs w:val="16"/>
          <w:color w:val="auto"/>
        </w:rPr>
        <w:t>April</w:t>
        <w:tab/>
        <w:t>, 2020</w:t>
      </w:r>
    </w:p>
    <w:p>
      <w:pPr>
        <w:spacing w:after="0" w:line="208" w:lineRule="exact"/>
        <w:rPr>
          <w:sz w:val="20"/>
          <w:szCs w:val="20"/>
          <w:color w:val="auto"/>
        </w:rPr>
      </w:pPr>
    </w:p>
    <w:p>
      <w:pPr>
        <w:ind w:firstLine="113"/>
        <w:spacing w:after="0" w:line="472"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TO BE HELD ON MAY 20, 2020 </w:t>
      </w:r>
      <w:r>
        <w:rPr>
          <w:rFonts w:ascii="Arial" w:cs="Arial" w:eastAsia="Arial" w:hAnsi="Arial"/>
          <w:sz w:val="16"/>
          <w:szCs w:val="16"/>
          <w:color w:val="auto"/>
        </w:rPr>
        <w:t xml:space="preserve">Our Proxy Statement for the Annual Meeting is available at </w:t>
      </w:r>
      <w:r>
        <w:rPr>
          <w:rFonts w:ascii="Arial" w:cs="Arial" w:eastAsia="Arial" w:hAnsi="Arial"/>
          <w:sz w:val="16"/>
          <w:szCs w:val="16"/>
          <w:i w:val="1"/>
          <w:i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554990</wp:posOffset>
            </wp:positionV>
            <wp:extent cx="715962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40"/>
          </w:cols>
          <w:pgMar w:left="320" w:top="349" w:right="439" w:bottom="1440" w:gutter="0" w:footer="0" w:header="0"/>
        </w:sectPr>
      </w:pPr>
    </w:p>
    <w:bookmarkStart w:id="5" w:name="page6"/>
    <w:bookmarkEnd w:id="5"/>
    <w:p>
      <w:pPr>
        <w:spacing w:after="0" w:line="3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705" cy="7797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77971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b w:val="1"/>
          <w:bCs w:val="1"/>
          <w:color w:val="auto"/>
        </w:rPr>
        <w:t>PROXY SUMMARY</w:t>
      </w:r>
    </w:p>
    <w:p>
      <w:pPr>
        <w:spacing w:after="0" w:line="215" w:lineRule="exact"/>
        <w:rPr>
          <w:sz w:val="20"/>
          <w:szCs w:val="20"/>
          <w:color w:val="auto"/>
        </w:rPr>
      </w:pPr>
    </w:p>
    <w:p>
      <w:pPr>
        <w:ind w:left="500" w:right="600" w:firstLine="493"/>
        <w:spacing w:after="0" w:line="268" w:lineRule="auto"/>
        <w:rPr>
          <w:sz w:val="20"/>
          <w:szCs w:val="20"/>
          <w:color w:val="auto"/>
        </w:rPr>
      </w:pPr>
      <w:r>
        <w:rPr>
          <w:rFonts w:ascii="Arial" w:cs="Arial" w:eastAsia="Arial" w:hAnsi="Arial"/>
          <w:sz w:val="16"/>
          <w:szCs w:val="16"/>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2019, please review our Annual Report on Form 10-K for the year ended December 31, 2019, which was filed with the Securities and Exchange Commission on March 16, 2020.</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2020 Annual Meeting Information</w:t>
      </w:r>
    </w:p>
    <w:p>
      <w:pPr>
        <w:sectPr>
          <w:pgSz w:w="11900" w:h="16838" w:orient="portrait"/>
          <w:cols w:equalWidth="0" w:num="1">
            <w:col w:w="11280"/>
          </w:cols>
          <w:pgMar w:left="320" w:top="1440" w:right="2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Time and Date:</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10:00 a.m., local time on Wednesday, May 20, 2020</w:t>
      </w:r>
    </w:p>
    <w:p>
      <w:pPr>
        <w:spacing w:after="0" w:line="200" w:lineRule="exact"/>
        <w:rPr>
          <w:sz w:val="20"/>
          <w:szCs w:val="20"/>
          <w:color w:val="auto"/>
        </w:rPr>
      </w:pPr>
    </w:p>
    <w:p>
      <w:pPr>
        <w:sectPr>
          <w:pgSz w:w="11900" w:h="16838" w:orient="portrait"/>
          <w:cols w:equalWidth="0" w:num="2">
            <w:col w:w="1520" w:space="660"/>
            <w:col w:w="9100"/>
          </w:cols>
          <w:pgMar w:left="320" w:top="1440" w:right="299" w:bottom="1440" w:gutter="0" w:footer="0" w:header="0"/>
          <w:type w:val="continuous"/>
        </w:sectPr>
      </w:pPr>
    </w:p>
    <w:p>
      <w:pPr>
        <w:spacing w:after="0" w:line="34" w:lineRule="exact"/>
        <w:rPr>
          <w:sz w:val="20"/>
          <w:szCs w:val="20"/>
          <w:color w:val="auto"/>
        </w:rPr>
      </w:pPr>
    </w:p>
    <w:p>
      <w:pPr>
        <w:ind w:left="500"/>
        <w:spacing w:after="0"/>
        <w:rPr>
          <w:sz w:val="20"/>
          <w:szCs w:val="20"/>
          <w:color w:val="auto"/>
        </w:rPr>
      </w:pPr>
      <w:r>
        <w:rPr>
          <w:rFonts w:ascii="Arial" w:cs="Arial" w:eastAsia="Arial" w:hAnsi="Arial"/>
          <w:sz w:val="15"/>
          <w:szCs w:val="15"/>
          <w:i w:val="1"/>
          <w:iCs w:val="1"/>
          <w:color w:val="auto"/>
        </w:rPr>
        <w:t>Location: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Hilton Garden Inn Charlotte Waverly, 7415 Waverly Walk Avenue, Charlotte, North Carolina 28277</w:t>
      </w:r>
    </w:p>
    <w:p>
      <w:pPr>
        <w:spacing w:after="0" w:line="200" w:lineRule="exact"/>
        <w:rPr>
          <w:sz w:val="20"/>
          <w:szCs w:val="20"/>
          <w:color w:val="auto"/>
        </w:rPr>
      </w:pPr>
    </w:p>
    <w:p>
      <w:pPr>
        <w:sectPr>
          <w:pgSz w:w="11900" w:h="16838" w:orient="portrait"/>
          <w:cols w:equalWidth="0" w:num="2">
            <w:col w:w="1460" w:space="720"/>
            <w:col w:w="9100"/>
          </w:cols>
          <w:pgMar w:left="320" w:top="1440" w:right="299" w:bottom="1440" w:gutter="0" w:footer="0" w:header="0"/>
          <w:type w:val="continuous"/>
        </w:sectPr>
      </w:pPr>
    </w:p>
    <w:p>
      <w:pPr>
        <w:spacing w:after="0" w:line="23"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Record Date: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March 24, 2020</w:t>
      </w:r>
    </w:p>
    <w:p>
      <w:pPr>
        <w:spacing w:after="0" w:line="200" w:lineRule="exact"/>
        <w:rPr>
          <w:sz w:val="20"/>
          <w:szCs w:val="20"/>
          <w:color w:val="auto"/>
        </w:rPr>
      </w:pPr>
    </w:p>
    <w:p>
      <w:pPr>
        <w:sectPr>
          <w:pgSz w:w="11900" w:h="16838" w:orient="portrait"/>
          <w:cols w:equalWidth="0" w:num="2">
            <w:col w:w="1460" w:space="720"/>
            <w:col w:w="9100"/>
          </w:cols>
          <w:pgMar w:left="320" w:top="1440" w:right="299" w:bottom="1440" w:gutter="0" w:footer="0" w:header="0"/>
          <w:type w:val="continuous"/>
        </w:sectPr>
      </w:pPr>
    </w:p>
    <w:p>
      <w:pPr>
        <w:spacing w:after="0" w:line="34" w:lineRule="exact"/>
        <w:rPr>
          <w:sz w:val="20"/>
          <w:szCs w:val="20"/>
          <w:color w:val="auto"/>
        </w:rPr>
      </w:pPr>
    </w:p>
    <w:p>
      <w:pPr>
        <w:ind w:left="500"/>
        <w:spacing w:after="0"/>
        <w:rPr>
          <w:sz w:val="20"/>
          <w:szCs w:val="20"/>
          <w:color w:val="auto"/>
        </w:rPr>
      </w:pPr>
      <w:r>
        <w:rPr>
          <w:rFonts w:ascii="Arial" w:cs="Arial" w:eastAsia="Arial" w:hAnsi="Arial"/>
          <w:sz w:val="15"/>
          <w:szCs w:val="15"/>
          <w:i w:val="1"/>
          <w:iCs w:val="1"/>
          <w:color w:val="auto"/>
        </w:rPr>
        <w:t>Voting: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620"/>
        <w:spacing w:after="0" w:line="273" w:lineRule="auto"/>
        <w:rPr>
          <w:sz w:val="20"/>
          <w:szCs w:val="20"/>
          <w:color w:val="auto"/>
        </w:rPr>
      </w:pPr>
      <w:r>
        <w:rPr>
          <w:rFonts w:ascii="Arial" w:cs="Arial" w:eastAsia="Arial" w:hAnsi="Arial"/>
          <w:sz w:val="16"/>
          <w:szCs w:val="16"/>
          <w:color w:val="auto"/>
        </w:rPr>
        <w:t xml:space="preserve">Stockholders as of the record date are entitled to vote. Each share of common stock is entitled to one vote for each director nominee and one vote for each other proposal to be voted on. On the record date, there were </w:t>
      </w:r>
      <w:r>
        <w:rPr>
          <w:rFonts w:ascii="Arial" w:cs="Arial" w:eastAsia="Arial" w:hAnsi="Arial"/>
          <w:sz w:val="16"/>
          <w:szCs w:val="16"/>
          <w:color w:val="auto"/>
          <w:highlight w:val="white"/>
        </w:rPr>
        <w:t>42,767,168</w:t>
      </w:r>
      <w:r>
        <w:rPr>
          <w:rFonts w:ascii="Arial" w:cs="Arial" w:eastAsia="Arial" w:hAnsi="Arial"/>
          <w:sz w:val="16"/>
          <w:szCs w:val="16"/>
          <w:color w:val="auto"/>
        </w:rPr>
        <w:t xml:space="preserve"> shares of common stock issued and outstanding and entitled to vote at the Annual Meeting.</w:t>
      </w:r>
    </w:p>
    <w:p>
      <w:pPr>
        <w:spacing w:after="0" w:line="200" w:lineRule="exact"/>
        <w:rPr>
          <w:sz w:val="20"/>
          <w:szCs w:val="20"/>
          <w:color w:val="auto"/>
        </w:rPr>
      </w:pPr>
    </w:p>
    <w:p>
      <w:pPr>
        <w:sectPr>
          <w:pgSz w:w="11900" w:h="16838" w:orient="portrait"/>
          <w:cols w:equalWidth="0" w:num="2">
            <w:col w:w="1460" w:space="720"/>
            <w:col w:w="9100"/>
          </w:cols>
          <w:pgMar w:left="320" w:top="1440" w:right="299" w:bottom="1440" w:gutter="0" w:footer="0" w:header="0"/>
          <w:type w:val="continuous"/>
        </w:sectPr>
      </w:pPr>
    </w:p>
    <w:p>
      <w:pPr>
        <w:spacing w:after="0" w:line="5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How to Vote</w:t>
      </w:r>
    </w:p>
    <w:p>
      <w:pPr>
        <w:spacing w:after="0" w:line="116" w:lineRule="exact"/>
        <w:rPr>
          <w:sz w:val="20"/>
          <w:szCs w:val="20"/>
          <w:color w:val="auto"/>
        </w:rPr>
      </w:pPr>
    </w:p>
    <w:p>
      <w:pPr>
        <w:ind w:left="500" w:right="700" w:firstLine="493"/>
        <w:spacing w:after="0" w:line="289" w:lineRule="auto"/>
        <w:rPr>
          <w:sz w:val="20"/>
          <w:szCs w:val="20"/>
          <w:color w:val="auto"/>
        </w:rPr>
      </w:pPr>
      <w:r>
        <w:rPr>
          <w:rFonts w:ascii="Arial" w:cs="Arial" w:eastAsia="Arial" w:hAnsi="Arial"/>
          <w:sz w:val="16"/>
          <w:szCs w:val="16"/>
          <w:color w:val="auto"/>
        </w:rPr>
        <w:t>We encourage you to vote by proxy, even if you plan to attend the Annual Meeting. It is very important that you vote in order to play a part in our future. You can vote using one of the following methods:</w:t>
      </w:r>
    </w:p>
    <w:p>
      <w:pPr>
        <w:spacing w:after="0" w:line="51" w:lineRule="exact"/>
        <w:rPr>
          <w:sz w:val="20"/>
          <w:szCs w:val="20"/>
          <w:color w:val="auto"/>
        </w:rPr>
      </w:pPr>
    </w:p>
    <w:p>
      <w:pPr>
        <w:ind w:left="1580" w:hanging="368"/>
        <w:spacing w:after="0"/>
        <w:tabs>
          <w:tab w:leader="none" w:pos="1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Completing and mailing the enclosed proxy card;</w:t>
      </w:r>
    </w:p>
    <w:p>
      <w:pPr>
        <w:spacing w:after="0" w:line="112" w:lineRule="exact"/>
        <w:rPr>
          <w:rFonts w:ascii="Arial" w:cs="Arial" w:eastAsia="Arial" w:hAnsi="Arial"/>
          <w:sz w:val="16"/>
          <w:szCs w:val="16"/>
          <w:color w:val="auto"/>
        </w:rPr>
      </w:pPr>
    </w:p>
    <w:p>
      <w:pPr>
        <w:ind w:left="1580" w:hanging="368"/>
        <w:spacing w:after="0"/>
        <w:tabs>
          <w:tab w:leader="none" w:pos="1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telephone at (800) 690-6903;</w:t>
      </w:r>
    </w:p>
    <w:p>
      <w:pPr>
        <w:spacing w:after="0" w:line="112" w:lineRule="exact"/>
        <w:rPr>
          <w:rFonts w:ascii="Arial" w:cs="Arial" w:eastAsia="Arial" w:hAnsi="Arial"/>
          <w:sz w:val="16"/>
          <w:szCs w:val="16"/>
          <w:color w:val="auto"/>
        </w:rPr>
      </w:pPr>
    </w:p>
    <w:p>
      <w:pPr>
        <w:ind w:left="1580" w:hanging="368"/>
        <w:spacing w:after="0"/>
        <w:tabs>
          <w:tab w:leader="none" w:pos="1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By Internet at www.proxyvote.com; and</w:t>
      </w:r>
    </w:p>
    <w:p>
      <w:pPr>
        <w:spacing w:after="0" w:line="211" w:lineRule="exact"/>
        <w:rPr>
          <w:rFonts w:ascii="Arial" w:cs="Arial" w:eastAsia="Arial" w:hAnsi="Arial"/>
          <w:sz w:val="16"/>
          <w:szCs w:val="16"/>
          <w:color w:val="auto"/>
        </w:rPr>
      </w:pPr>
    </w:p>
    <w:p>
      <w:pPr>
        <w:ind w:left="1580" w:hanging="368"/>
        <w:spacing w:after="0"/>
        <w:tabs>
          <w:tab w:leader="none" w:pos="1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person at the Annual Meeting.</w:t>
      </w:r>
    </w:p>
    <w:p>
      <w:pPr>
        <w:spacing w:after="0" w:line="200" w:lineRule="exact"/>
        <w:rPr>
          <w:sz w:val="20"/>
          <w:szCs w:val="20"/>
          <w:color w:val="auto"/>
        </w:rPr>
      </w:pPr>
    </w:p>
    <w:p>
      <w:pPr>
        <w:spacing w:after="0" w:line="209" w:lineRule="exact"/>
        <w:rPr>
          <w:sz w:val="20"/>
          <w:szCs w:val="20"/>
          <w:color w:val="auto"/>
        </w:rPr>
      </w:pPr>
    </w:p>
    <w:p>
      <w:pPr>
        <w:ind w:left="500" w:right="940" w:firstLine="493"/>
        <w:spacing w:after="0" w:line="289" w:lineRule="auto"/>
        <w:rPr>
          <w:sz w:val="20"/>
          <w:szCs w:val="20"/>
          <w:color w:val="auto"/>
        </w:rPr>
      </w:pPr>
      <w:r>
        <w:rPr>
          <w:rFonts w:ascii="Arial" w:cs="Arial" w:eastAsia="Arial" w:hAnsi="Arial"/>
          <w:sz w:val="16"/>
          <w:szCs w:val="16"/>
          <w:color w:val="auto"/>
        </w:rPr>
        <w:t>If you own shares through a bank, broker, trustee, nominee, or other institution, they will provide you with our Proxy Statement and any other solicitation materials, as well as instructions on how to vote.</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Items of Business for Annual Meeting</w:t>
      </w:r>
    </w:p>
    <w:tbl>
      <w:tblPr>
        <w:tblLayout w:type="fixed"/>
        <w:tblInd w:w="0" w:type="dxa"/>
        <w:tblCellMar>
          <w:top w:w="0" w:type="dxa"/>
          <w:left w:w="0" w:type="dxa"/>
          <w:bottom w:w="0" w:type="dxa"/>
          <w:right w:w="0" w:type="dxa"/>
        </w:tblCellMar>
      </w:tblPr>
      <w:tr>
        <w:trPr>
          <w:trHeight w:val="146"/>
        </w:trPr>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Voting</w:t>
            </w:r>
          </w:p>
        </w:tc>
        <w:tc>
          <w:tcPr>
            <w:tcW w:w="640" w:type="dxa"/>
            <w:vAlign w:val="bottom"/>
          </w:tcPr>
          <w:p>
            <w:pPr>
              <w:spacing w:after="0"/>
              <w:rPr>
                <w:sz w:val="12"/>
                <w:szCs w:val="12"/>
                <w:color w:val="auto"/>
              </w:rPr>
            </w:pPr>
          </w:p>
        </w:tc>
      </w:tr>
      <w:tr>
        <w:trPr>
          <w:trHeight w:val="168"/>
        </w:trPr>
        <w:tc>
          <w:tcPr>
            <w:tcW w:w="6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b w:val="1"/>
                <w:bCs w:val="1"/>
                <w:color w:val="auto"/>
              </w:rPr>
              <w:t>Proposal</w:t>
            </w:r>
          </w:p>
        </w:tc>
        <w:tc>
          <w:tcPr>
            <w:tcW w:w="160" w:type="dxa"/>
            <w:vAlign w:val="bottom"/>
          </w:tcPr>
          <w:p>
            <w:pPr>
              <w:spacing w:after="0"/>
              <w:rPr>
                <w:sz w:val="14"/>
                <w:szCs w:val="14"/>
                <w:color w:val="auto"/>
              </w:rPr>
            </w:pPr>
          </w:p>
        </w:tc>
        <w:tc>
          <w:tcPr>
            <w:tcW w:w="7400" w:type="dxa"/>
            <w:vAlign w:val="bottom"/>
            <w:gridSpan w:val="2"/>
          </w:tcPr>
          <w:p>
            <w:pPr>
              <w:ind w:left="3060"/>
              <w:spacing w:after="0"/>
              <w:rPr>
                <w:sz w:val="20"/>
                <w:szCs w:val="20"/>
                <w:color w:val="auto"/>
              </w:rPr>
            </w:pPr>
            <w:r>
              <w:rPr>
                <w:rFonts w:ascii="Arial" w:cs="Arial" w:eastAsia="Arial" w:hAnsi="Arial"/>
                <w:sz w:val="13"/>
                <w:szCs w:val="13"/>
                <w:b w:val="1"/>
                <w:bCs w:val="1"/>
                <w:color w:val="auto"/>
              </w:rPr>
              <w:t>Proposal Description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9"/>
              </w:rPr>
              <w:t>Recommendation</w:t>
            </w:r>
          </w:p>
        </w:tc>
        <w:tc>
          <w:tcPr>
            <w:tcW w:w="640" w:type="dxa"/>
            <w:vAlign w:val="bottom"/>
          </w:tcPr>
          <w:p>
            <w:pPr>
              <w:spacing w:after="0"/>
              <w:rPr>
                <w:sz w:val="14"/>
                <w:szCs w:val="14"/>
                <w:color w:val="auto"/>
              </w:rPr>
            </w:pPr>
          </w:p>
        </w:tc>
      </w:tr>
      <w:tr>
        <w:trPr>
          <w:trHeight w:val="177"/>
        </w:trPr>
        <w:tc>
          <w:tcPr>
            <w:tcW w:w="640" w:type="dxa"/>
            <w:vAlign w:val="bottom"/>
          </w:tcPr>
          <w:p>
            <w:pPr>
              <w:spacing w:after="0"/>
              <w:rPr>
                <w:sz w:val="15"/>
                <w:szCs w:val="15"/>
                <w:color w:val="auto"/>
              </w:rPr>
            </w:pPr>
          </w:p>
        </w:tc>
        <w:tc>
          <w:tcPr>
            <w:tcW w:w="112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rPr>
              <w:t>Proposal I</w:t>
            </w:r>
          </w:p>
        </w:tc>
        <w:tc>
          <w:tcPr>
            <w:tcW w:w="160" w:type="dxa"/>
            <w:vAlign w:val="bottom"/>
          </w:tcPr>
          <w:p>
            <w:pPr>
              <w:spacing w:after="0"/>
              <w:rPr>
                <w:sz w:val="15"/>
                <w:szCs w:val="15"/>
                <w:color w:val="auto"/>
              </w:rPr>
            </w:pPr>
          </w:p>
        </w:tc>
        <w:tc>
          <w:tcPr>
            <w:tcW w:w="7300" w:type="dxa"/>
            <w:vAlign w:val="bottom"/>
            <w:tcBorders>
              <w:top w:val="single" w:sz="8" w:color="auto"/>
            </w:tcBorders>
          </w:tcPr>
          <w:p>
            <w:pPr>
              <w:spacing w:after="0" w:line="178" w:lineRule="exact"/>
              <w:rPr>
                <w:sz w:val="20"/>
                <w:szCs w:val="20"/>
                <w:color w:val="auto"/>
              </w:rPr>
            </w:pPr>
            <w:r>
              <w:rPr>
                <w:rFonts w:ascii="Arial" w:cs="Arial" w:eastAsia="Arial" w:hAnsi="Arial"/>
                <w:sz w:val="16"/>
                <w:szCs w:val="16"/>
                <w:color w:val="auto"/>
                <w:w w:val="93"/>
              </w:rPr>
              <w:t>Election of the three Class I directors and the three Class III directors each named herein to serve for a term of</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6"/>
                <w:szCs w:val="16"/>
                <w:color w:val="auto"/>
              </w:rPr>
              <w:t>“FOR ALL”</w:t>
            </w:r>
          </w:p>
        </w:tc>
        <w:tc>
          <w:tcPr>
            <w:tcW w:w="640" w:type="dxa"/>
            <w:vAlign w:val="bottom"/>
          </w:tcPr>
          <w:p>
            <w:pPr>
              <w:spacing w:after="0"/>
              <w:rPr>
                <w:sz w:val="15"/>
                <w:szCs w:val="15"/>
                <w:color w:val="auto"/>
              </w:rPr>
            </w:pPr>
          </w:p>
        </w:tc>
      </w:tr>
      <w:tr>
        <w:trPr>
          <w:trHeight w:val="209"/>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rPr>
              <w:t>one year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84"/>
        </w:trPr>
        <w:tc>
          <w:tcPr>
            <w:tcW w:w="6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Proposal II</w:t>
            </w: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highlight w:val="white"/>
                <w:w w:val="94"/>
              </w:rPr>
              <w:t xml:space="preserve">Approval of </w:t>
            </w:r>
            <w:r>
              <w:rPr>
                <w:rFonts w:ascii="Arial" w:cs="Arial" w:eastAsia="Arial" w:hAnsi="Arial"/>
                <w:sz w:val="16"/>
                <w:szCs w:val="16"/>
                <w:color w:val="auto"/>
                <w:w w:val="94"/>
              </w:rPr>
              <w:t>the issuance of our common stock in accordance with the Nasdaq Marketplace Rules 5635(b) and</w:t>
            </w:r>
          </w:p>
        </w:tc>
        <w:tc>
          <w:tcPr>
            <w:tcW w:w="1320" w:type="dxa"/>
            <w:vAlign w:val="bottom"/>
          </w:tcPr>
          <w:p>
            <w:pPr>
              <w:jc w:val="center"/>
              <w:spacing w:after="0"/>
              <w:rPr>
                <w:sz w:val="20"/>
                <w:szCs w:val="20"/>
                <w:color w:val="auto"/>
              </w:rPr>
            </w:pPr>
            <w:r>
              <w:rPr>
                <w:rFonts w:ascii="Arial" w:cs="Arial" w:eastAsia="Arial" w:hAnsi="Arial"/>
                <w:sz w:val="16"/>
                <w:szCs w:val="16"/>
                <w:color w:val="auto"/>
              </w:rPr>
              <w:t>“FOR”</w:t>
            </w:r>
          </w:p>
        </w:tc>
        <w:tc>
          <w:tcPr>
            <w:tcW w:w="640" w:type="dxa"/>
            <w:vAlign w:val="bottom"/>
          </w:tcPr>
          <w:p>
            <w:pPr>
              <w:spacing w:after="0"/>
              <w:rPr>
                <w:sz w:val="24"/>
                <w:szCs w:val="24"/>
                <w:color w:val="auto"/>
              </w:rPr>
            </w:pPr>
          </w:p>
        </w:tc>
      </w:tr>
      <w:tr>
        <w:trPr>
          <w:trHeight w:val="198"/>
        </w:trPr>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w w:val="98"/>
              </w:rPr>
              <w:t>5635(d) upon (i) conversion or redemption of our Series B Convertible Preferred Stock, and (ii) exercise of</w:t>
            </w: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w w:val="97"/>
              </w:rPr>
              <w:t>warrants, in each case, issued pursuant to that certain Securities Purchase Agreement, dated December 5,</w:t>
            </w: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9"/>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rPr>
              <w:t>2019, by and among us and the investors named therein (the “Purchase Agreement”)</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95"/>
        </w:trPr>
        <w:tc>
          <w:tcPr>
            <w:tcW w:w="6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Proposal III</w:t>
            </w: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rPr>
              <w:t>Advisory (non-binding) vote to approve the compensation of our named executive officers</w:t>
            </w:r>
          </w:p>
        </w:tc>
        <w:tc>
          <w:tcPr>
            <w:tcW w:w="1320" w:type="dxa"/>
            <w:vAlign w:val="bottom"/>
          </w:tcPr>
          <w:p>
            <w:pPr>
              <w:jc w:val="center"/>
              <w:spacing w:after="0"/>
              <w:rPr>
                <w:sz w:val="20"/>
                <w:szCs w:val="20"/>
                <w:color w:val="auto"/>
              </w:rPr>
            </w:pPr>
            <w:r>
              <w:rPr>
                <w:rFonts w:ascii="Arial" w:cs="Arial" w:eastAsia="Arial" w:hAnsi="Arial"/>
                <w:sz w:val="16"/>
                <w:szCs w:val="16"/>
                <w:color w:val="auto"/>
              </w:rPr>
              <w:t>“FOR”</w:t>
            </w:r>
          </w:p>
        </w:tc>
        <w:tc>
          <w:tcPr>
            <w:tcW w:w="640" w:type="dxa"/>
            <w:vAlign w:val="bottom"/>
          </w:tcPr>
          <w:p>
            <w:pPr>
              <w:spacing w:after="0"/>
              <w:rPr>
                <w:sz w:val="24"/>
                <w:szCs w:val="24"/>
                <w:color w:val="auto"/>
              </w:rPr>
            </w:pPr>
          </w:p>
        </w:tc>
      </w:tr>
      <w:tr>
        <w:trPr>
          <w:trHeight w:val="384"/>
        </w:trPr>
        <w:tc>
          <w:tcPr>
            <w:tcW w:w="6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Proposal IV</w:t>
            </w: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rPr>
              <w:t xml:space="preserve">Advisory </w:t>
            </w:r>
            <w:r>
              <w:rPr>
                <w:rFonts w:ascii="Arial" w:cs="Arial" w:eastAsia="Arial" w:hAnsi="Arial"/>
                <w:sz w:val="16"/>
                <w:szCs w:val="16"/>
                <w:color w:val="auto"/>
                <w:highlight w:val="white"/>
              </w:rPr>
              <w:t>(non-binding</w:t>
            </w:r>
            <w:r>
              <w:rPr>
                <w:rFonts w:ascii="Arial" w:cs="Arial" w:eastAsia="Arial" w:hAnsi="Arial"/>
                <w:sz w:val="16"/>
                <w:szCs w:val="16"/>
                <w:color w:val="auto"/>
              </w:rPr>
              <w:t>) vote to ratify the selection of PricewaterhouseCoopers LLP as our registered</w:t>
            </w:r>
          </w:p>
        </w:tc>
        <w:tc>
          <w:tcPr>
            <w:tcW w:w="1320" w:type="dxa"/>
            <w:vAlign w:val="bottom"/>
          </w:tcPr>
          <w:p>
            <w:pPr>
              <w:jc w:val="center"/>
              <w:spacing w:after="0"/>
              <w:rPr>
                <w:sz w:val="20"/>
                <w:szCs w:val="20"/>
                <w:color w:val="auto"/>
              </w:rPr>
            </w:pPr>
            <w:r>
              <w:rPr>
                <w:rFonts w:ascii="Arial" w:cs="Arial" w:eastAsia="Arial" w:hAnsi="Arial"/>
                <w:sz w:val="16"/>
                <w:szCs w:val="16"/>
                <w:color w:val="auto"/>
              </w:rPr>
              <w:t>“FOR”</w:t>
            </w:r>
          </w:p>
        </w:tc>
        <w:tc>
          <w:tcPr>
            <w:tcW w:w="640" w:type="dxa"/>
            <w:vAlign w:val="bottom"/>
          </w:tcPr>
          <w:p>
            <w:pPr>
              <w:spacing w:after="0"/>
              <w:rPr>
                <w:sz w:val="24"/>
                <w:szCs w:val="24"/>
                <w:color w:val="auto"/>
              </w:rPr>
            </w:pPr>
          </w:p>
        </w:tc>
      </w:tr>
      <w:tr>
        <w:trPr>
          <w:trHeight w:val="209"/>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560" w:type="dxa"/>
            <w:vAlign w:val="bottom"/>
            <w:gridSpan w:val="3"/>
          </w:tcPr>
          <w:p>
            <w:pPr>
              <w:ind w:left="160"/>
              <w:spacing w:after="0"/>
              <w:rPr>
                <w:sz w:val="20"/>
                <w:szCs w:val="20"/>
                <w:color w:val="auto"/>
              </w:rPr>
            </w:pPr>
            <w:r>
              <w:rPr>
                <w:rFonts w:ascii="Arial" w:cs="Arial" w:eastAsia="Arial" w:hAnsi="Arial"/>
                <w:sz w:val="16"/>
                <w:szCs w:val="16"/>
                <w:color w:val="auto"/>
              </w:rPr>
              <w:t>independent public accounting firm</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118"/>
        </w:trPr>
        <w:tc>
          <w:tcPr>
            <w:tcW w:w="6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type w:val="continuous"/>
        </w:sectPr>
      </w:pPr>
    </w:p>
    <w:bookmarkStart w:id="6" w:name="page7"/>
    <w:bookmarkEnd w:id="6"/>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164705" cy="6330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6330950"/>
                    </a:xfrm>
                    <a:prstGeom prst="rect">
                      <a:avLst/>
                    </a:prstGeom>
                    <a:noFill/>
                  </pic:spPr>
                </pic:pic>
              </a:graphicData>
            </a:graphic>
          </wp:anchor>
        </w:drawing>
        <w:t>Director Nominees</w:t>
      </w:r>
    </w:p>
    <w:p>
      <w:pPr>
        <w:spacing w:after="0" w:line="116" w:lineRule="exact"/>
        <w:rPr>
          <w:sz w:val="20"/>
          <w:szCs w:val="20"/>
          <w:color w:val="auto"/>
        </w:rPr>
      </w:pPr>
    </w:p>
    <w:p>
      <w:pPr>
        <w:ind w:left="484"/>
        <w:spacing w:after="0"/>
        <w:rPr>
          <w:sz w:val="20"/>
          <w:szCs w:val="20"/>
          <w:color w:val="auto"/>
        </w:rPr>
      </w:pPr>
      <w:r>
        <w:rPr>
          <w:rFonts w:ascii="Arial" w:cs="Arial" w:eastAsia="Arial" w:hAnsi="Arial"/>
          <w:sz w:val="16"/>
          <w:szCs w:val="16"/>
          <w:color w:val="auto"/>
        </w:rPr>
        <w:t>The following table provides summary information about each director nominee to be voted on at the Annual Meeting:</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Director</w:t>
            </w:r>
          </w:p>
        </w:tc>
        <w:tc>
          <w:tcPr>
            <w:tcW w:w="28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Positions with Company</w:t>
            </w:r>
          </w:p>
        </w:tc>
        <w:tc>
          <w:tcPr>
            <w:tcW w:w="1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Committee</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80" w:type="dxa"/>
            <w:vAlign w:val="bottom"/>
            <w:vMerge w:val="continue"/>
          </w:tcPr>
          <w:p>
            <w:pPr>
              <w:spacing w:after="0"/>
              <w:rPr>
                <w:sz w:val="13"/>
                <w:szCs w:val="13"/>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Age</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Since</w:t>
            </w:r>
          </w:p>
        </w:tc>
        <w:tc>
          <w:tcPr>
            <w:tcW w:w="2840" w:type="dxa"/>
            <w:vAlign w:val="bottom"/>
            <w:gridSpan w:val="2"/>
            <w:vMerge w:val="continue"/>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Memberships</w:t>
            </w:r>
            <w:r>
              <w:rPr>
                <w:rFonts w:ascii="Arial" w:cs="Arial" w:eastAsia="Arial" w:hAnsi="Arial"/>
                <w:sz w:val="9"/>
                <w:szCs w:val="9"/>
                <w:b w:val="1"/>
                <w:bCs w:val="1"/>
                <w:color w:val="auto"/>
                <w:w w:val="92"/>
              </w:rPr>
              <w:t>(1)</w:t>
            </w:r>
          </w:p>
        </w:tc>
        <w:tc>
          <w:tcPr>
            <w:tcW w:w="1460" w:type="dxa"/>
            <w:vAlign w:val="bottom"/>
          </w:tcPr>
          <w:p>
            <w:pPr>
              <w:jc w:val="center"/>
              <w:spacing w:after="0"/>
              <w:rPr>
                <w:sz w:val="20"/>
                <w:szCs w:val="20"/>
                <w:color w:val="auto"/>
              </w:rPr>
            </w:pPr>
            <w:r>
              <w:rPr>
                <w:rFonts w:ascii="Arial" w:cs="Arial" w:eastAsia="Arial" w:hAnsi="Arial"/>
                <w:sz w:val="13"/>
                <w:szCs w:val="13"/>
                <w:b w:val="1"/>
                <w:bCs w:val="1"/>
                <w:color w:val="auto"/>
                <w:w w:val="93"/>
              </w:rPr>
              <w:t>Independent</w:t>
            </w:r>
          </w:p>
        </w:tc>
        <w:tc>
          <w:tcPr>
            <w:tcW w:w="0" w:type="dxa"/>
            <w:vAlign w:val="bottom"/>
          </w:tcPr>
          <w:p>
            <w:pPr>
              <w:spacing w:after="0"/>
              <w:rPr>
                <w:sz w:val="1"/>
                <w:szCs w:val="1"/>
                <w:color w:val="auto"/>
              </w:rPr>
            </w:pPr>
          </w:p>
        </w:tc>
      </w:tr>
      <w:tr>
        <w:trPr>
          <w:trHeight w:val="190"/>
        </w:trPr>
        <w:tc>
          <w:tcPr>
            <w:tcW w:w="2780" w:type="dxa"/>
            <w:vAlign w:val="bottom"/>
            <w:tcBorders>
              <w:top w:val="single" w:sz="8" w:color="C6D9F1"/>
            </w:tcBorders>
            <w:shd w:val="clear" w:color="auto" w:fill="C6D9F1"/>
          </w:tcPr>
          <w:p>
            <w:pPr>
              <w:spacing w:after="0"/>
              <w:rPr>
                <w:sz w:val="20"/>
                <w:szCs w:val="20"/>
                <w:color w:val="auto"/>
              </w:rPr>
            </w:pPr>
            <w:r>
              <w:rPr>
                <w:rFonts w:ascii="Arial" w:cs="Arial" w:eastAsia="Arial" w:hAnsi="Arial"/>
                <w:sz w:val="16"/>
                <w:szCs w:val="16"/>
                <w:color w:val="auto"/>
              </w:rPr>
              <w:t>Raynard D. Benvenuti</w:t>
            </w:r>
          </w:p>
        </w:tc>
        <w:tc>
          <w:tcPr>
            <w:tcW w:w="42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rPr>
              <w:t>64</w:t>
            </w:r>
          </w:p>
        </w:tc>
        <w:tc>
          <w:tcPr>
            <w:tcW w:w="180" w:type="dxa"/>
            <w:vAlign w:val="bottom"/>
            <w:tcBorders>
              <w:top w:val="single" w:sz="8" w:color="C6D9F1"/>
            </w:tcBorders>
            <w:shd w:val="clear" w:color="auto" w:fill="C6D9F1"/>
          </w:tcPr>
          <w:p>
            <w:pPr>
              <w:spacing w:after="0"/>
              <w:rPr>
                <w:sz w:val="16"/>
                <w:szCs w:val="16"/>
                <w:color w:val="auto"/>
              </w:rPr>
            </w:pPr>
          </w:p>
        </w:tc>
        <w:tc>
          <w:tcPr>
            <w:tcW w:w="66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w w:val="89"/>
              </w:rPr>
              <w:t>2020</w:t>
            </w:r>
          </w:p>
        </w:tc>
        <w:tc>
          <w:tcPr>
            <w:tcW w:w="100" w:type="dxa"/>
            <w:vAlign w:val="bottom"/>
            <w:tcBorders>
              <w:top w:val="single" w:sz="8" w:color="C6D9F1"/>
            </w:tcBorders>
            <w:shd w:val="clear" w:color="auto" w:fill="C6D9F1"/>
          </w:tcPr>
          <w:p>
            <w:pPr>
              <w:spacing w:after="0"/>
              <w:rPr>
                <w:sz w:val="16"/>
                <w:szCs w:val="16"/>
                <w:color w:val="auto"/>
              </w:rPr>
            </w:pPr>
          </w:p>
        </w:tc>
        <w:tc>
          <w:tcPr>
            <w:tcW w:w="274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w w:val="99"/>
              </w:rPr>
              <w:t>Director</w:t>
            </w:r>
          </w:p>
        </w:tc>
        <w:tc>
          <w:tcPr>
            <w:tcW w:w="100" w:type="dxa"/>
            <w:vAlign w:val="bottom"/>
            <w:tcBorders>
              <w:top w:val="single" w:sz="8" w:color="C6D9F1"/>
            </w:tcBorders>
            <w:shd w:val="clear" w:color="auto" w:fill="C6D9F1"/>
          </w:tcPr>
          <w:p>
            <w:pPr>
              <w:spacing w:after="0"/>
              <w:rPr>
                <w:sz w:val="16"/>
                <w:szCs w:val="16"/>
                <w:color w:val="auto"/>
              </w:rPr>
            </w:pPr>
          </w:p>
        </w:tc>
        <w:tc>
          <w:tcPr>
            <w:tcW w:w="152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w w:val="99"/>
              </w:rPr>
              <w:t>AC, CC</w:t>
            </w:r>
          </w:p>
        </w:tc>
        <w:tc>
          <w:tcPr>
            <w:tcW w:w="100" w:type="dxa"/>
            <w:vAlign w:val="bottom"/>
            <w:tcBorders>
              <w:top w:val="single" w:sz="8" w:color="C6D9F1"/>
            </w:tcBorders>
            <w:shd w:val="clear" w:color="auto" w:fill="C6D9F1"/>
          </w:tcPr>
          <w:p>
            <w:pPr>
              <w:spacing w:after="0"/>
              <w:rPr>
                <w:sz w:val="16"/>
                <w:szCs w:val="16"/>
                <w:color w:val="auto"/>
              </w:rPr>
            </w:pPr>
          </w:p>
        </w:tc>
        <w:tc>
          <w:tcPr>
            <w:tcW w:w="146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198"/>
        </w:trPr>
        <w:tc>
          <w:tcPr>
            <w:tcW w:w="2780" w:type="dxa"/>
            <w:vAlign w:val="bottom"/>
          </w:tcPr>
          <w:p>
            <w:pPr>
              <w:spacing w:after="0"/>
              <w:rPr>
                <w:sz w:val="20"/>
                <w:szCs w:val="20"/>
                <w:color w:val="auto"/>
              </w:rPr>
            </w:pPr>
            <w:r>
              <w:rPr>
                <w:rFonts w:ascii="Arial" w:cs="Arial" w:eastAsia="Arial" w:hAnsi="Arial"/>
                <w:sz w:val="16"/>
                <w:szCs w:val="16"/>
                <w:color w:val="auto"/>
              </w:rPr>
              <w:t>Christina E. Carroll</w:t>
            </w:r>
          </w:p>
        </w:tc>
        <w:tc>
          <w:tcPr>
            <w:tcW w:w="420" w:type="dxa"/>
            <w:vAlign w:val="bottom"/>
          </w:tcPr>
          <w:p>
            <w:pPr>
              <w:jc w:val="center"/>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AC, GC</w:t>
            </w:r>
          </w:p>
        </w:tc>
        <w:tc>
          <w:tcPr>
            <w:tcW w:w="146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198"/>
        </w:trPr>
        <w:tc>
          <w:tcPr>
            <w:tcW w:w="2780" w:type="dxa"/>
            <w:vAlign w:val="bottom"/>
            <w:shd w:val="clear" w:color="auto" w:fill="C6D9F1"/>
          </w:tcPr>
          <w:p>
            <w:pPr>
              <w:spacing w:after="0"/>
              <w:rPr>
                <w:sz w:val="20"/>
                <w:szCs w:val="20"/>
                <w:color w:val="auto"/>
              </w:rPr>
            </w:pPr>
            <w:r>
              <w:rPr>
                <w:rFonts w:ascii="Arial" w:cs="Arial" w:eastAsia="Arial" w:hAnsi="Arial"/>
                <w:sz w:val="16"/>
                <w:szCs w:val="16"/>
                <w:color w:val="auto"/>
              </w:rPr>
              <w:t>David K. Floyd</w:t>
            </w:r>
          </w:p>
        </w:tc>
        <w:tc>
          <w:tcPr>
            <w:tcW w:w="420" w:type="dxa"/>
            <w:vAlign w:val="bottom"/>
            <w:shd w:val="clear" w:color="auto" w:fill="C6D9F1"/>
          </w:tcPr>
          <w:p>
            <w:pPr>
              <w:jc w:val="center"/>
              <w:spacing w:after="0"/>
              <w:rPr>
                <w:sz w:val="20"/>
                <w:szCs w:val="20"/>
                <w:color w:val="auto"/>
              </w:rPr>
            </w:pPr>
            <w:r>
              <w:rPr>
                <w:rFonts w:ascii="Arial" w:cs="Arial" w:eastAsia="Arial" w:hAnsi="Arial"/>
                <w:sz w:val="16"/>
                <w:szCs w:val="16"/>
                <w:color w:val="auto"/>
              </w:rPr>
              <w:t>59</w:t>
            </w:r>
          </w:p>
        </w:tc>
        <w:tc>
          <w:tcPr>
            <w:tcW w:w="180" w:type="dxa"/>
            <w:vAlign w:val="bottom"/>
            <w:shd w:val="clear" w:color="auto" w:fill="C6D9F1"/>
          </w:tcPr>
          <w:p>
            <w:pPr>
              <w:spacing w:after="0"/>
              <w:rPr>
                <w:sz w:val="17"/>
                <w:szCs w:val="17"/>
                <w:color w:val="auto"/>
              </w:rPr>
            </w:pPr>
          </w:p>
        </w:tc>
        <w:tc>
          <w:tcPr>
            <w:tcW w:w="66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2016</w:t>
            </w:r>
          </w:p>
        </w:tc>
        <w:tc>
          <w:tcPr>
            <w:tcW w:w="100" w:type="dxa"/>
            <w:vAlign w:val="bottom"/>
            <w:shd w:val="clear" w:color="auto" w:fill="C6D9F1"/>
          </w:tcPr>
          <w:p>
            <w:pPr>
              <w:spacing w:after="0"/>
              <w:rPr>
                <w:sz w:val="17"/>
                <w:szCs w:val="17"/>
                <w:color w:val="auto"/>
              </w:rPr>
            </w:pPr>
          </w:p>
        </w:tc>
        <w:tc>
          <w:tcPr>
            <w:tcW w:w="2840" w:type="dxa"/>
            <w:vAlign w:val="bottom"/>
            <w:gridSpan w:val="2"/>
            <w:shd w:val="clear" w:color="auto" w:fill="C6D9F1"/>
          </w:tcPr>
          <w:p>
            <w:pPr>
              <w:jc w:val="center"/>
              <w:ind w:right="80"/>
              <w:spacing w:after="0"/>
              <w:rPr>
                <w:sz w:val="20"/>
                <w:szCs w:val="20"/>
                <w:color w:val="auto"/>
              </w:rPr>
            </w:pPr>
            <w:r>
              <w:rPr>
                <w:rFonts w:ascii="Arial" w:cs="Arial" w:eastAsia="Arial" w:hAnsi="Arial"/>
                <w:sz w:val="16"/>
                <w:szCs w:val="16"/>
                <w:color w:val="auto"/>
                <w:w w:val="99"/>
              </w:rPr>
              <w:t>Director</w:t>
            </w:r>
          </w:p>
        </w:tc>
        <w:tc>
          <w:tcPr>
            <w:tcW w:w="1620" w:type="dxa"/>
            <w:vAlign w:val="bottom"/>
            <w:gridSpan w:val="2"/>
            <w:shd w:val="clear" w:color="auto" w:fill="C6D9F1"/>
          </w:tcPr>
          <w:p>
            <w:pPr>
              <w:jc w:val="center"/>
              <w:ind w:right="80"/>
              <w:spacing w:after="0"/>
              <w:rPr>
                <w:sz w:val="20"/>
                <w:szCs w:val="20"/>
                <w:color w:val="auto"/>
              </w:rPr>
            </w:pPr>
            <w:r>
              <w:rPr>
                <w:rFonts w:ascii="Arial" w:cs="Arial" w:eastAsia="Arial" w:hAnsi="Arial"/>
                <w:sz w:val="16"/>
                <w:szCs w:val="16"/>
                <w:color w:val="auto"/>
                <w:w w:val="96"/>
              </w:rPr>
              <w:t>CC, GC</w:t>
            </w:r>
          </w:p>
        </w:tc>
        <w:tc>
          <w:tcPr>
            <w:tcW w:w="146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198"/>
        </w:trPr>
        <w:tc>
          <w:tcPr>
            <w:tcW w:w="2780" w:type="dxa"/>
            <w:vAlign w:val="bottom"/>
          </w:tcPr>
          <w:p>
            <w:pPr>
              <w:spacing w:after="0"/>
              <w:rPr>
                <w:sz w:val="20"/>
                <w:szCs w:val="20"/>
                <w:color w:val="auto"/>
              </w:rPr>
            </w:pPr>
            <w:r>
              <w:rPr>
                <w:rFonts w:ascii="Arial" w:cs="Arial" w:eastAsia="Arial" w:hAnsi="Arial"/>
                <w:sz w:val="16"/>
                <w:szCs w:val="16"/>
                <w:color w:val="auto"/>
              </w:rPr>
              <w:t>Jeri J. Harman</w:t>
            </w:r>
          </w:p>
        </w:tc>
        <w:tc>
          <w:tcPr>
            <w:tcW w:w="420" w:type="dxa"/>
            <w:vAlign w:val="bottom"/>
          </w:tcPr>
          <w:p>
            <w:pPr>
              <w:jc w:val="center"/>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CC, GC</w:t>
            </w:r>
          </w:p>
        </w:tc>
        <w:tc>
          <w:tcPr>
            <w:tcW w:w="146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198"/>
        </w:trPr>
        <w:tc>
          <w:tcPr>
            <w:tcW w:w="2780" w:type="dxa"/>
            <w:vAlign w:val="bottom"/>
            <w:shd w:val="clear" w:color="auto" w:fill="C6D9F1"/>
          </w:tcPr>
          <w:p>
            <w:pPr>
              <w:spacing w:after="0"/>
              <w:rPr>
                <w:sz w:val="20"/>
                <w:szCs w:val="20"/>
                <w:color w:val="auto"/>
              </w:rPr>
            </w:pPr>
            <w:r>
              <w:rPr>
                <w:rFonts w:ascii="Arial" w:cs="Arial" w:eastAsia="Arial" w:hAnsi="Arial"/>
                <w:sz w:val="16"/>
                <w:szCs w:val="16"/>
                <w:color w:val="auto"/>
              </w:rPr>
              <w:t>Steven T. Warshaw</w:t>
            </w:r>
          </w:p>
        </w:tc>
        <w:tc>
          <w:tcPr>
            <w:tcW w:w="420" w:type="dxa"/>
            <w:vAlign w:val="bottom"/>
            <w:shd w:val="clear" w:color="auto" w:fill="C6D9F1"/>
          </w:tcPr>
          <w:p>
            <w:pPr>
              <w:jc w:val="center"/>
              <w:spacing w:after="0"/>
              <w:rPr>
                <w:sz w:val="20"/>
                <w:szCs w:val="20"/>
                <w:color w:val="auto"/>
              </w:rPr>
            </w:pPr>
            <w:r>
              <w:rPr>
                <w:rFonts w:ascii="Arial" w:cs="Arial" w:eastAsia="Arial" w:hAnsi="Arial"/>
                <w:sz w:val="16"/>
                <w:szCs w:val="16"/>
                <w:color w:val="auto"/>
              </w:rPr>
              <w:t>71</w:t>
            </w:r>
          </w:p>
        </w:tc>
        <w:tc>
          <w:tcPr>
            <w:tcW w:w="180" w:type="dxa"/>
            <w:vAlign w:val="bottom"/>
            <w:shd w:val="clear" w:color="auto" w:fill="C6D9F1"/>
          </w:tcPr>
          <w:p>
            <w:pPr>
              <w:spacing w:after="0"/>
              <w:rPr>
                <w:sz w:val="17"/>
                <w:szCs w:val="17"/>
                <w:color w:val="auto"/>
              </w:rPr>
            </w:pPr>
          </w:p>
        </w:tc>
        <w:tc>
          <w:tcPr>
            <w:tcW w:w="66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1997</w:t>
            </w:r>
          </w:p>
        </w:tc>
        <w:tc>
          <w:tcPr>
            <w:tcW w:w="100" w:type="dxa"/>
            <w:vAlign w:val="bottom"/>
            <w:shd w:val="clear" w:color="auto" w:fill="C6D9F1"/>
          </w:tcPr>
          <w:p>
            <w:pPr>
              <w:spacing w:after="0"/>
              <w:rPr>
                <w:sz w:val="17"/>
                <w:szCs w:val="17"/>
                <w:color w:val="auto"/>
              </w:rPr>
            </w:pPr>
          </w:p>
        </w:tc>
        <w:tc>
          <w:tcPr>
            <w:tcW w:w="2840" w:type="dxa"/>
            <w:vAlign w:val="bottom"/>
            <w:gridSpan w:val="2"/>
            <w:shd w:val="clear" w:color="auto" w:fill="C6D9F1"/>
          </w:tcPr>
          <w:p>
            <w:pPr>
              <w:jc w:val="center"/>
              <w:ind w:right="80"/>
              <w:spacing w:after="0"/>
              <w:rPr>
                <w:sz w:val="20"/>
                <w:szCs w:val="20"/>
                <w:color w:val="auto"/>
              </w:rPr>
            </w:pPr>
            <w:r>
              <w:rPr>
                <w:rFonts w:ascii="Arial" w:cs="Arial" w:eastAsia="Arial" w:hAnsi="Arial"/>
                <w:sz w:val="16"/>
                <w:szCs w:val="16"/>
                <w:color w:val="auto"/>
                <w:w w:val="99"/>
              </w:rPr>
              <w:t>Director</w:t>
            </w:r>
          </w:p>
        </w:tc>
        <w:tc>
          <w:tcPr>
            <w:tcW w:w="1620" w:type="dxa"/>
            <w:vAlign w:val="bottom"/>
            <w:gridSpan w:val="2"/>
            <w:shd w:val="clear" w:color="auto" w:fill="C6D9F1"/>
          </w:tcPr>
          <w:p>
            <w:pPr>
              <w:jc w:val="center"/>
              <w:ind w:right="80"/>
              <w:spacing w:after="0"/>
              <w:rPr>
                <w:sz w:val="20"/>
                <w:szCs w:val="20"/>
                <w:color w:val="auto"/>
              </w:rPr>
            </w:pPr>
            <w:r>
              <w:rPr>
                <w:rFonts w:ascii="Arial" w:cs="Arial" w:eastAsia="Arial" w:hAnsi="Arial"/>
                <w:sz w:val="16"/>
                <w:szCs w:val="16"/>
                <w:color w:val="auto"/>
                <w:w w:val="99"/>
              </w:rPr>
              <w:t>AC, CC</w:t>
            </w:r>
          </w:p>
        </w:tc>
        <w:tc>
          <w:tcPr>
            <w:tcW w:w="146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6"/>
                <w:szCs w:val="16"/>
                <w:color w:val="auto"/>
              </w:rPr>
              <w:t>Thomas H. Wilson, Jr.</w:t>
            </w:r>
          </w:p>
        </w:tc>
        <w:tc>
          <w:tcPr>
            <w:tcW w:w="420" w:type="dxa"/>
            <w:vAlign w:val="bottom"/>
          </w:tcPr>
          <w:p>
            <w:pPr>
              <w:jc w:val="center"/>
              <w:spacing w:after="0"/>
              <w:rPr>
                <w:sz w:val="20"/>
                <w:szCs w:val="20"/>
                <w:color w:val="auto"/>
              </w:rPr>
            </w:pPr>
            <w:r>
              <w:rPr>
                <w:rFonts w:ascii="Arial" w:cs="Arial" w:eastAsia="Arial" w:hAnsi="Arial"/>
                <w:sz w:val="16"/>
                <w:szCs w:val="16"/>
                <w:color w:val="auto"/>
              </w:rPr>
              <w:t>58</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2019</w:t>
            </w:r>
          </w:p>
        </w:tc>
        <w:tc>
          <w:tcPr>
            <w:tcW w:w="100" w:type="dxa"/>
            <w:vAlign w:val="bottom"/>
          </w:tcPr>
          <w:p>
            <w:pPr>
              <w:spacing w:after="0"/>
              <w:rPr>
                <w:sz w:val="18"/>
                <w:szCs w:val="18"/>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Director</w:t>
            </w:r>
          </w:p>
        </w:tc>
        <w:tc>
          <w:tcPr>
            <w:tcW w:w="162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AC, GC</w:t>
            </w:r>
          </w:p>
        </w:tc>
        <w:tc>
          <w:tcPr>
            <w:tcW w:w="1460" w:type="dxa"/>
            <w:vAlign w:val="bottom"/>
          </w:tcPr>
          <w:p>
            <w:pPr>
              <w:jc w:val="center"/>
              <w:spacing w:after="0"/>
              <w:rPr>
                <w:sz w:val="20"/>
                <w:szCs w:val="20"/>
                <w:color w:val="auto"/>
              </w:rPr>
            </w:pPr>
            <w:r>
              <w:rPr>
                <w:rFonts w:ascii="Arial" w:cs="Arial" w:eastAsia="Arial" w:hAnsi="Arial"/>
                <w:sz w:val="16"/>
                <w:szCs w:val="16"/>
                <w:color w:val="auto"/>
                <w:w w:val="86"/>
              </w:rPr>
              <w:t>Yes</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04" w:hanging="404"/>
        <w:spacing w:after="0"/>
        <w:tabs>
          <w:tab w:leader="none" w:pos="404"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 </w:t>
      </w:r>
      <w:r>
        <w:rPr>
          <w:rFonts w:ascii="Arial" w:cs="Arial" w:eastAsia="Arial" w:hAnsi="Arial"/>
          <w:sz w:val="16"/>
          <w:szCs w:val="16"/>
          <w:color w:val="auto"/>
        </w:rPr>
        <w:t>– Audit Committee;</w:t>
      </w:r>
      <w:r>
        <w:rPr>
          <w:rFonts w:ascii="Arial" w:cs="Arial" w:eastAsia="Arial" w:hAnsi="Arial"/>
          <w:sz w:val="16"/>
          <w:szCs w:val="16"/>
          <w:b w:val="1"/>
          <w:bCs w:val="1"/>
          <w:i w:val="1"/>
          <w:iCs w:val="1"/>
          <w:color w:val="auto"/>
        </w:rPr>
        <w:t xml:space="preserve"> CC </w:t>
      </w:r>
      <w:r>
        <w:rPr>
          <w:rFonts w:ascii="Arial" w:cs="Arial" w:eastAsia="Arial" w:hAnsi="Arial"/>
          <w:sz w:val="16"/>
          <w:szCs w:val="16"/>
          <w:color w:val="auto"/>
        </w:rPr>
        <w:t>– Compensation Committee;</w:t>
      </w:r>
      <w:r>
        <w:rPr>
          <w:rFonts w:ascii="Arial" w:cs="Arial" w:eastAsia="Arial" w:hAnsi="Arial"/>
          <w:sz w:val="16"/>
          <w:szCs w:val="16"/>
          <w:b w:val="1"/>
          <w:bCs w:val="1"/>
          <w:i w:val="1"/>
          <w:iCs w:val="1"/>
          <w:color w:val="auto"/>
        </w:rPr>
        <w:t xml:space="preserve"> GC </w:t>
      </w:r>
      <w:r>
        <w:rPr>
          <w:rFonts w:ascii="Arial" w:cs="Arial" w:eastAsia="Arial" w:hAnsi="Arial"/>
          <w:sz w:val="16"/>
          <w:szCs w:val="16"/>
          <w:color w:val="auto"/>
        </w:rPr>
        <w:t>– Governance Committee</w:t>
      </w:r>
    </w:p>
    <w:p>
      <w:pPr>
        <w:spacing w:after="0" w:line="30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Corporate Governance Summary</w:t>
      </w:r>
    </w:p>
    <w:p>
      <w:pPr>
        <w:spacing w:after="0" w:line="116" w:lineRule="exact"/>
        <w:rPr>
          <w:sz w:val="20"/>
          <w:szCs w:val="20"/>
          <w:color w:val="auto"/>
        </w:rPr>
      </w:pPr>
    </w:p>
    <w:p>
      <w:pPr>
        <w:ind w:left="484"/>
        <w:spacing w:after="0"/>
        <w:rPr>
          <w:sz w:val="20"/>
          <w:szCs w:val="20"/>
          <w:color w:val="auto"/>
        </w:rPr>
      </w:pPr>
      <w:r>
        <w:rPr>
          <w:rFonts w:ascii="Arial" w:cs="Arial" w:eastAsia="Arial" w:hAnsi="Arial"/>
          <w:sz w:val="15"/>
          <w:szCs w:val="15"/>
          <w:color w:val="auto"/>
        </w:rPr>
        <w:t>We are committed to good corporate governance, which promotes the long-term interests of our stockholders, strengthens accountability for our</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6"/>
          <w:szCs w:val="16"/>
          <w:color w:val="auto"/>
        </w:rPr>
        <w:t>Board of Directors and management, and helps build public trust in us. Highlights of our corporate governance policies and practices include:</w:t>
      </w:r>
    </w:p>
    <w:p>
      <w:pPr>
        <w:spacing w:after="0" w:line="101" w:lineRule="exact"/>
        <w:rPr>
          <w:sz w:val="20"/>
          <w:szCs w:val="20"/>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independent directors, except for our Chief Executive Officer;</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Independent presiding Chairman of the Board of Directors;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Standing committees consist entirely of independent directors;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 oversight by our Board of Directors and our standing committees;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Regular executive sessions of independent directors;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Executive compensation driven by pay-for-performance philosophy;</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Majority voting for uncontested director elections;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Limits on directors’ service on other public company boards and audit committees;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Incentive compensation recoupment (clawback) policy applicable to any equity awards issued under our compensation plans;</w:t>
      </w:r>
    </w:p>
    <w:p>
      <w:pPr>
        <w:spacing w:after="0" w:line="112" w:lineRule="exact"/>
        <w:rPr>
          <w:rFonts w:ascii="Arial" w:cs="Arial" w:eastAsia="Arial" w:hAnsi="Arial"/>
          <w:sz w:val="16"/>
          <w:szCs w:val="16"/>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Director and executive stock ownership guidelines;</w:t>
      </w:r>
    </w:p>
    <w:p>
      <w:pPr>
        <w:spacing w:after="0" w:line="112" w:lineRule="exact"/>
        <w:rPr>
          <w:rFonts w:ascii="Arial" w:cs="Arial" w:eastAsia="Arial" w:hAnsi="Arial"/>
          <w:sz w:val="16"/>
          <w:szCs w:val="16"/>
          <w:color w:val="auto"/>
        </w:rPr>
      </w:pPr>
    </w:p>
    <w:p>
      <w:pPr>
        <w:ind w:left="724" w:right="200" w:hanging="366"/>
        <w:spacing w:after="0" w:line="289" w:lineRule="auto"/>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Engagement of compensation consultant, Willis Towers Watson, to support our efforts of further aligning executive compensation with our stockholders’ interests; and</w:t>
      </w:r>
    </w:p>
    <w:p>
      <w:pPr>
        <w:spacing w:after="0" w:line="50" w:lineRule="exact"/>
        <w:rPr>
          <w:rFonts w:ascii="Arial" w:cs="Arial" w:eastAsia="Arial" w:hAnsi="Arial"/>
          <w:sz w:val="16"/>
          <w:szCs w:val="16"/>
          <w:color w:val="auto"/>
        </w:rPr>
      </w:pPr>
    </w:p>
    <w:p>
      <w:pPr>
        <w:ind w:left="724" w:hanging="366"/>
        <w:spacing w:after="0"/>
        <w:tabs>
          <w:tab w:leader="none" w:pos="7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Beginning at the 2021 annual meeting of stockholders, annual election of all directors of the Company.</w:t>
      </w:r>
    </w:p>
    <w:p>
      <w:pPr>
        <w:spacing w:after="0" w:line="343" w:lineRule="exact"/>
        <w:rPr>
          <w:sz w:val="20"/>
          <w:szCs w:val="20"/>
          <w:color w:val="auto"/>
        </w:rPr>
      </w:pPr>
    </w:p>
    <w:p>
      <w:pPr>
        <w:ind w:left="84" w:right="100"/>
        <w:spacing w:after="0" w:line="295"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EACH OF THE ANNUAL REPORT, NOTICE OF ANNUAL MEETING AND PROXY STATEMENT IS AVAILABLE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993775</wp:posOffset>
            </wp:positionV>
            <wp:extent cx="715962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0064"/>
          </w:cols>
          <w:pgMar w:left="816" w:top="950" w:right="1019" w:bottom="1440" w:gutter="0" w:footer="0" w:header="0"/>
        </w:sectPr>
      </w:pPr>
    </w:p>
    <w:bookmarkStart w:id="7" w:name="page8"/>
    <w:bookmarkEnd w:id="7"/>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PROXY STATEMENT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2020 ANNUAL MEETING OF STOCKHOLDERS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6210 Ardrey Kell Road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Charlotte, North Carolina 28277</w:t>
      </w:r>
    </w:p>
    <w:p>
      <w:pPr>
        <w:spacing w:after="0" w:line="200" w:lineRule="exact"/>
        <w:rPr>
          <w:sz w:val="20"/>
          <w:szCs w:val="20"/>
          <w:color w:val="auto"/>
        </w:rPr>
      </w:pPr>
    </w:p>
    <w:p>
      <w:pPr>
        <w:jc w:val="both"/>
        <w:ind w:right="140" w:firstLine="539"/>
        <w:spacing w:after="0" w:line="273" w:lineRule="auto"/>
        <w:rPr>
          <w:sz w:val="20"/>
          <w:szCs w:val="20"/>
          <w:color w:val="auto"/>
        </w:rPr>
      </w:pPr>
      <w:r>
        <w:rPr>
          <w:rFonts w:ascii="Arial" w:cs="Arial" w:eastAsia="Arial" w:hAnsi="Arial"/>
          <w:sz w:val="16"/>
          <w:szCs w:val="16"/>
          <w:color w:val="auto"/>
        </w:rPr>
        <w:t>Proxies are being solicited by the Board of Directors of NN, Inc., or the Board, in connection with the 2020 Annual Meeting of Stockholders of NN, Inc., or the Annual Meeting. Your vote is very important. For this reason, our Board is requesting that you allow your shares to be represented at the Annual Meeting by the proxies named on the enclosed proxy card.</w:t>
      </w:r>
    </w:p>
    <w:p>
      <w:pPr>
        <w:spacing w:after="0" w:line="163" w:lineRule="exact"/>
        <w:rPr>
          <w:sz w:val="20"/>
          <w:szCs w:val="20"/>
          <w:color w:val="auto"/>
        </w:rPr>
      </w:pPr>
    </w:p>
    <w:p>
      <w:pPr>
        <w:ind w:firstLine="539"/>
        <w:spacing w:after="0" w:line="282" w:lineRule="auto"/>
        <w:rPr>
          <w:sz w:val="20"/>
          <w:szCs w:val="20"/>
          <w:color w:val="auto"/>
        </w:rPr>
      </w:pPr>
      <w:r>
        <w:rPr>
          <w:rFonts w:ascii="Arial" w:cs="Arial" w:eastAsia="Arial" w:hAnsi="Arial"/>
          <w:sz w:val="15"/>
          <w:szCs w:val="15"/>
          <w:color w:val="auto"/>
        </w:rPr>
        <w:t xml:space="preserve">In connection with our solicitation of proxies, as permitted by the rules and regulations adopted by the U.S. Securities and Exchange Commission, or the SEC, we are making this proxy statement for the Annual Meeting, or this Proxy Statement, the enclosed proxy card and our Annual Report on Form 10-K for the year ended December 31, 2019 available to stockholders electronically via the Internet at the following website: </w:t>
      </w:r>
      <w:r>
        <w:rPr>
          <w:rFonts w:ascii="Arial" w:cs="Arial" w:eastAsia="Arial" w:hAnsi="Arial"/>
          <w:sz w:val="15"/>
          <w:szCs w:val="15"/>
          <w:i w:val="1"/>
          <w:iCs w:val="1"/>
          <w:color w:val="auto"/>
        </w:rPr>
        <w:t>www.proxyvote.com</w:t>
      </w:r>
      <w:r>
        <w:rPr>
          <w:rFonts w:ascii="Arial" w:cs="Arial" w:eastAsia="Arial" w:hAnsi="Arial"/>
          <w:sz w:val="15"/>
          <w:szCs w:val="15"/>
          <w:color w:val="auto"/>
        </w:rPr>
        <w:t>. Beginning on or about April , 2020, we are mailing to our stockholders a Notice of Internet Availability of Proxy Materials, or Notice of Internet Availability, that contains instructions on how stockholders may access and review all of the proxy materials and how to vote. Also, beginning on or about April , 2020, we are mailing printed copies of the proxy materials to stockholders that previously requested printed copies or who meet certain ownership thresholds. If you receive a Notice of Internet Availability by mail, you will not receive a printed copy of the proxy materials in the mail unless you request a copy. If you receive a Notice of Internet Availability by mail and would like to receive a printed copy of our proxy materials, you should follow the instructions for requesting such materials included in the Notice of Internet Availability.</w:t>
      </w:r>
    </w:p>
    <w:p>
      <w:pPr>
        <w:spacing w:after="0" w:line="157" w:lineRule="exact"/>
        <w:rPr>
          <w:sz w:val="20"/>
          <w:szCs w:val="20"/>
          <w:color w:val="auto"/>
        </w:rPr>
      </w:pPr>
    </w:p>
    <w:p>
      <w:pPr>
        <w:jc w:val="both"/>
        <w:ind w:right="60" w:firstLine="539"/>
        <w:spacing w:after="0" w:line="273" w:lineRule="auto"/>
        <w:rPr>
          <w:sz w:val="20"/>
          <w:szCs w:val="20"/>
          <w:color w:val="auto"/>
        </w:rPr>
      </w:pPr>
      <w:r>
        <w:rPr>
          <w:rFonts w:ascii="Arial" w:cs="Arial" w:eastAsia="Arial" w:hAnsi="Arial"/>
          <w:sz w:val="16"/>
          <w:szCs w:val="16"/>
          <w:color w:val="auto"/>
        </w:rPr>
        <w:t xml:space="preserve">In this Proxy Statement, terms such as “NN,” the “Company,” “we,” “us” and “our” refer to NN, Inc. The mailing address of our executive office is 6210 Ardrey Kell Road, Charlotte, North Carolina 28277. Our website is </w:t>
      </w:r>
      <w:r>
        <w:rPr>
          <w:rFonts w:ascii="Arial" w:cs="Arial" w:eastAsia="Arial" w:hAnsi="Arial"/>
          <w:sz w:val="16"/>
          <w:szCs w:val="16"/>
          <w:i w:val="1"/>
          <w:iCs w:val="1"/>
          <w:color w:val="auto"/>
        </w:rPr>
        <w:t>www.nninc.com</w:t>
      </w:r>
      <w:r>
        <w:rPr>
          <w:rFonts w:ascii="Arial" w:cs="Arial" w:eastAsia="Arial" w:hAnsi="Arial"/>
          <w:sz w:val="16"/>
          <w:szCs w:val="16"/>
          <w:color w:val="auto"/>
        </w:rPr>
        <w:t>. Information from our website is not incorporated by reference into any portion of this Proxy Statement.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Date, Time and Location</w:t>
      </w:r>
    </w:p>
    <w:p>
      <w:pPr>
        <w:spacing w:after="0" w:line="116" w:lineRule="exact"/>
        <w:rPr>
          <w:sz w:val="20"/>
          <w:szCs w:val="20"/>
          <w:color w:val="auto"/>
        </w:rPr>
      </w:pPr>
    </w:p>
    <w:p>
      <w:pPr>
        <w:ind w:right="500" w:firstLine="539"/>
        <w:spacing w:after="0" w:line="289" w:lineRule="auto"/>
        <w:rPr>
          <w:sz w:val="20"/>
          <w:szCs w:val="20"/>
          <w:color w:val="auto"/>
        </w:rPr>
      </w:pPr>
      <w:r>
        <w:rPr>
          <w:rFonts w:ascii="Arial" w:cs="Arial" w:eastAsia="Arial" w:hAnsi="Arial"/>
          <w:sz w:val="16"/>
          <w:szCs w:val="16"/>
          <w:color w:val="auto"/>
        </w:rPr>
        <w:t>The Annual Meeting will be held on Wednesday, May 20, 2020, at 10:00 a.m., local time, at the Hilton Garden Inn Charlotte Waverly, 7415 Waverly Walk Avenue, Charlotte, North Carolina 28277.</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116" w:lineRule="exact"/>
        <w:rPr>
          <w:sz w:val="20"/>
          <w:szCs w:val="20"/>
          <w:color w:val="auto"/>
        </w:rPr>
      </w:pPr>
    </w:p>
    <w:p>
      <w:pPr>
        <w:ind w:right="60" w:firstLine="539"/>
        <w:spacing w:after="0" w:line="289" w:lineRule="auto"/>
        <w:rPr>
          <w:sz w:val="20"/>
          <w:szCs w:val="20"/>
          <w:color w:val="auto"/>
        </w:rPr>
      </w:pPr>
      <w:r>
        <w:rPr>
          <w:rFonts w:ascii="Arial" w:cs="Arial" w:eastAsia="Arial" w:hAnsi="Arial"/>
          <w:sz w:val="16"/>
          <w:szCs w:val="16"/>
          <w:color w:val="auto"/>
        </w:rPr>
        <w:t>Stockholders of record of our common stock, par value $0.01 per share, or the common stock, as of the close of business on March 24, 2020, or the Record Date, will be entitled to vote at the Annual Meeting. On the Record Date, 42,767,168 shares of common stock were issued and outstanding.</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16" w:lineRule="exact"/>
        <w:rPr>
          <w:sz w:val="20"/>
          <w:szCs w:val="20"/>
          <w:color w:val="auto"/>
        </w:rPr>
      </w:pPr>
    </w:p>
    <w:p>
      <w:pPr>
        <w:ind w:right="60" w:firstLine="539"/>
        <w:spacing w:after="0" w:line="273" w:lineRule="auto"/>
        <w:rPr>
          <w:sz w:val="20"/>
          <w:szCs w:val="20"/>
          <w:color w:val="auto"/>
        </w:rPr>
      </w:pPr>
      <w:r>
        <w:rPr>
          <w:rFonts w:ascii="Arial" w:cs="Arial" w:eastAsia="Arial" w:hAnsi="Arial"/>
          <w:sz w:val="16"/>
          <w:szCs w:val="16"/>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64" w:lineRule="exact"/>
        <w:rPr>
          <w:sz w:val="20"/>
          <w:szCs w:val="20"/>
          <w:color w:val="auto"/>
        </w:rPr>
      </w:pPr>
    </w:p>
    <w:p>
      <w:pPr>
        <w:ind w:left="1320" w:hanging="395"/>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Completing and mailing the enclosed proxy card;</w:t>
      </w:r>
    </w:p>
    <w:p>
      <w:pPr>
        <w:spacing w:after="0" w:line="211" w:lineRule="exact"/>
        <w:rPr>
          <w:rFonts w:ascii="Arial" w:cs="Arial" w:eastAsia="Arial" w:hAnsi="Arial"/>
          <w:sz w:val="16"/>
          <w:szCs w:val="16"/>
          <w:color w:val="auto"/>
        </w:rPr>
      </w:pPr>
    </w:p>
    <w:p>
      <w:pPr>
        <w:ind w:left="1320" w:hanging="395"/>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telephone at (800) 690-6903;</w:t>
      </w:r>
    </w:p>
    <w:p>
      <w:pPr>
        <w:spacing w:after="0" w:line="211" w:lineRule="exact"/>
        <w:rPr>
          <w:rFonts w:ascii="Arial" w:cs="Arial" w:eastAsia="Arial" w:hAnsi="Arial"/>
          <w:sz w:val="16"/>
          <w:szCs w:val="16"/>
          <w:color w:val="auto"/>
        </w:rPr>
      </w:pPr>
    </w:p>
    <w:p>
      <w:pPr>
        <w:ind w:left="1320" w:hanging="395"/>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By Internet at www.proxyvote.com;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5962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ind w:left="1320" w:hanging="395"/>
        <w:spacing w:after="0"/>
        <w:tabs>
          <w:tab w:leader="none" w:pos="1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person at the Annual Meeting.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for Stockholders of Record</w:t>
      </w:r>
    </w:p>
    <w:p>
      <w:pPr>
        <w:spacing w:after="0" w:line="116" w:lineRule="exact"/>
        <w:rPr>
          <w:sz w:val="20"/>
          <w:szCs w:val="20"/>
          <w:color w:val="auto"/>
        </w:rPr>
      </w:pPr>
    </w:p>
    <w:p>
      <w:pPr>
        <w:ind w:right="60" w:firstLine="539"/>
        <w:spacing w:after="0" w:line="273" w:lineRule="auto"/>
        <w:rPr>
          <w:sz w:val="20"/>
          <w:szCs w:val="20"/>
          <w:color w:val="auto"/>
        </w:rPr>
      </w:pPr>
      <w:r>
        <w:rPr>
          <w:rFonts w:ascii="Arial" w:cs="Arial" w:eastAsia="Arial" w:hAnsi="Arial"/>
          <w:sz w:val="16"/>
          <w:szCs w:val="16"/>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enclosed proxy card, or vote by proxy over the telephone or on the Internet as instructed below, to ensure your vote is counted.</w:t>
      </w:r>
    </w:p>
    <w:p>
      <w:pPr>
        <w:spacing w:after="0" w:line="163" w:lineRule="exact"/>
        <w:rPr>
          <w:sz w:val="20"/>
          <w:szCs w:val="20"/>
          <w:color w:val="auto"/>
        </w:rPr>
      </w:pPr>
    </w:p>
    <w:p>
      <w:pPr>
        <w:ind w:right="60" w:firstLine="539"/>
        <w:spacing w:after="0" w:line="263" w:lineRule="auto"/>
        <w:rPr>
          <w:sz w:val="20"/>
          <w:szCs w:val="20"/>
          <w:color w:val="auto"/>
        </w:rPr>
      </w:pPr>
      <w:r>
        <w:rPr>
          <w:rFonts w:ascii="Arial" w:cs="Arial" w:eastAsia="Arial" w:hAnsi="Arial"/>
          <w:sz w:val="16"/>
          <w:szCs w:val="16"/>
          <w:color w:val="auto"/>
        </w:rPr>
        <w:t xml:space="preserve">If you vote by proxy and your proxy card is incomplete, or if you do not provide instructions with respect to any of the proposals, the appointed proxy will vote “FOR ALL” director nominees in Proposal I </w:t>
      </w:r>
      <w:r>
        <w:rPr>
          <w:rFonts w:ascii="Arial" w:cs="Arial" w:eastAsia="Arial" w:hAnsi="Arial"/>
          <w:sz w:val="16"/>
          <w:szCs w:val="16"/>
          <w:i w:val="1"/>
          <w:iCs w:val="1"/>
          <w:color w:val="auto"/>
        </w:rPr>
        <w:t>(Election of Directors)</w:t>
      </w:r>
      <w:r>
        <w:rPr>
          <w:rFonts w:ascii="Arial" w:cs="Arial" w:eastAsia="Arial" w:hAnsi="Arial"/>
          <w:sz w:val="16"/>
          <w:szCs w:val="16"/>
          <w:color w:val="auto"/>
        </w:rPr>
        <w:t xml:space="preserve"> and “FOR” Proposal II </w:t>
      </w:r>
      <w:r>
        <w:rPr>
          <w:rFonts w:ascii="Arial" w:cs="Arial" w:eastAsia="Arial" w:hAnsi="Arial"/>
          <w:sz w:val="16"/>
          <w:szCs w:val="16"/>
          <w:i w:val="1"/>
          <w:iCs w:val="1"/>
          <w:color w:val="auto"/>
        </w:rPr>
        <w:t>(Approval of the Issuance of Our Common Stock in Accordance with the</w:t>
      </w:r>
      <w:r>
        <w:rPr>
          <w:rFonts w:ascii="Arial" w:cs="Arial" w:eastAsia="Arial" w:hAnsi="Arial"/>
          <w:sz w:val="16"/>
          <w:szCs w:val="16"/>
          <w:color w:val="auto"/>
        </w:rPr>
        <w:t xml:space="preserve"> </w:t>
      </w:r>
      <w:r>
        <w:rPr>
          <w:rFonts w:ascii="Arial" w:cs="Arial" w:eastAsia="Arial" w:hAnsi="Arial"/>
          <w:sz w:val="16"/>
          <w:szCs w:val="16"/>
          <w:i w:val="1"/>
          <w:iCs w:val="1"/>
          <w:color w:val="auto"/>
        </w:rPr>
        <w:t>Nasdaq Marketplace Rules 5635(b) and 5635(d) upon (i) Conversion or Redemption of Our Series B Convertible Preferred Stock, and (ii) Exercise of Warrants, in Each Case, Issued Pursuant to the Purchase Agreement)</w:t>
      </w:r>
      <w:r>
        <w:rPr>
          <w:rFonts w:ascii="Arial" w:cs="Arial" w:eastAsia="Arial" w:hAnsi="Arial"/>
          <w:sz w:val="16"/>
          <w:szCs w:val="16"/>
          <w:color w:val="auto"/>
        </w:rPr>
        <w:t>, Proposal III</w:t>
      </w:r>
      <w:r>
        <w:rPr>
          <w:rFonts w:ascii="Arial" w:cs="Arial" w:eastAsia="Arial" w:hAnsi="Arial"/>
          <w:sz w:val="16"/>
          <w:szCs w:val="16"/>
          <w:i w:val="1"/>
          <w:iCs w:val="1"/>
          <w:color w:val="auto"/>
        </w:rPr>
        <w:t xml:space="preserve"> (Advisory (Non-Binding) Vote to Approve the Compensation of our Named Executive Officers)</w:t>
      </w:r>
      <w:r>
        <w:rPr>
          <w:rFonts w:ascii="Arial" w:cs="Arial" w:eastAsia="Arial" w:hAnsi="Arial"/>
          <w:sz w:val="16"/>
          <w:szCs w:val="16"/>
          <w:color w:val="auto"/>
        </w:rPr>
        <w:t>, Proposal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IV </w:t>
      </w:r>
      <w:r>
        <w:rPr>
          <w:rFonts w:ascii="Arial" w:cs="Arial" w:eastAsia="Arial" w:hAnsi="Arial"/>
          <w:sz w:val="16"/>
          <w:szCs w:val="16"/>
          <w:i w:val="1"/>
          <w:iCs w:val="1"/>
          <w:color w:val="auto"/>
        </w:rPr>
        <w:t>(Ratification of Selection of our Registered Independent Public Accounting Firm)</w:t>
      </w:r>
      <w:r>
        <w:rPr>
          <w:rFonts w:ascii="Arial" w:cs="Arial" w:eastAsia="Arial" w:hAnsi="Arial"/>
          <w:sz w:val="16"/>
          <w:szCs w:val="16"/>
          <w:color w:val="auto"/>
        </w:rPr>
        <w:t>, and pursuant to the appointed proxy’s discretion for any other business properly brought before the Annual Meeting. If your proxy card is unclear as to how you intended to vote (</w:t>
      </w:r>
      <w:r>
        <w:rPr>
          <w:rFonts w:ascii="Arial" w:cs="Arial" w:eastAsia="Arial" w:hAnsi="Arial"/>
          <w:sz w:val="16"/>
          <w:szCs w:val="16"/>
          <w:i w:val="1"/>
          <w:iCs w:val="1"/>
          <w:color w:val="auto"/>
        </w:rPr>
        <w:t>e.g.</w:t>
      </w:r>
      <w:r>
        <w:rPr>
          <w:rFonts w:ascii="Arial" w:cs="Arial" w:eastAsia="Arial" w:hAnsi="Arial"/>
          <w:sz w:val="16"/>
          <w:szCs w:val="16"/>
          <w:color w:val="auto"/>
        </w:rPr>
        <w:t>, multiple selections are made for one proposal), your proxy will be voted pursuant to the discretion of the appointed proxy.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for Beneficial Owners</w:t>
      </w:r>
    </w:p>
    <w:p>
      <w:pPr>
        <w:spacing w:after="0" w:line="116" w:lineRule="exact"/>
        <w:rPr>
          <w:sz w:val="20"/>
          <w:szCs w:val="20"/>
          <w:color w:val="auto"/>
        </w:rPr>
      </w:pPr>
    </w:p>
    <w:p>
      <w:pPr>
        <w:ind w:firstLine="539"/>
        <w:spacing w:after="0" w:line="264" w:lineRule="auto"/>
        <w:rPr>
          <w:sz w:val="20"/>
          <w:szCs w:val="20"/>
          <w:color w:val="auto"/>
        </w:rPr>
      </w:pPr>
      <w:r>
        <w:rPr>
          <w:rFonts w:ascii="Arial" w:cs="Arial" w:eastAsia="Arial" w:hAnsi="Arial"/>
          <w:sz w:val="16"/>
          <w:szCs w:val="16"/>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69" w:lineRule="exact"/>
        <w:rPr>
          <w:sz w:val="20"/>
          <w:szCs w:val="20"/>
          <w:color w:val="auto"/>
        </w:rPr>
      </w:pPr>
    </w:p>
    <w:p>
      <w:pPr>
        <w:ind w:right="120" w:firstLine="539"/>
        <w:spacing w:after="0" w:line="279" w:lineRule="auto"/>
        <w:rPr>
          <w:sz w:val="20"/>
          <w:szCs w:val="20"/>
          <w:color w:val="auto"/>
        </w:rPr>
      </w:pPr>
      <w:r>
        <w:rPr>
          <w:rFonts w:ascii="Arial" w:cs="Arial" w:eastAsia="Arial" w:hAnsi="Arial"/>
          <w:sz w:val="15"/>
          <w:szCs w:val="15"/>
          <w:color w:val="auto"/>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IV </w:t>
      </w:r>
      <w:r>
        <w:rPr>
          <w:rFonts w:ascii="Arial" w:cs="Arial" w:eastAsia="Arial" w:hAnsi="Arial"/>
          <w:sz w:val="15"/>
          <w:szCs w:val="15"/>
          <w:i w:val="1"/>
          <w:iCs w:val="1"/>
          <w:color w:val="auto"/>
        </w:rPr>
        <w:t>(Ratification of Selection of our Registered Independent Public Accounting Firm)</w:t>
      </w:r>
      <w:r>
        <w:rPr>
          <w:rFonts w:ascii="Arial" w:cs="Arial" w:eastAsia="Arial" w:hAnsi="Arial"/>
          <w:sz w:val="15"/>
          <w:szCs w:val="15"/>
          <w:color w:val="auto"/>
        </w:rPr>
        <w:t xml:space="preserve">; however, that organization will not be permitted to vote your shares on Proposal I </w:t>
      </w:r>
      <w:r>
        <w:rPr>
          <w:rFonts w:ascii="Arial" w:cs="Arial" w:eastAsia="Arial" w:hAnsi="Arial"/>
          <w:sz w:val="15"/>
          <w:szCs w:val="15"/>
          <w:i w:val="1"/>
          <w:iCs w:val="1"/>
          <w:color w:val="auto"/>
        </w:rPr>
        <w:t>(Election of Directors)</w:t>
      </w:r>
      <w:r>
        <w:rPr>
          <w:rFonts w:ascii="Arial" w:cs="Arial" w:eastAsia="Arial" w:hAnsi="Arial"/>
          <w:sz w:val="15"/>
          <w:szCs w:val="15"/>
          <w:color w:val="auto"/>
        </w:rPr>
        <w:t xml:space="preserve">, Proposal II </w:t>
      </w:r>
      <w:r>
        <w:rPr>
          <w:rFonts w:ascii="Arial" w:cs="Arial" w:eastAsia="Arial" w:hAnsi="Arial"/>
          <w:sz w:val="15"/>
          <w:szCs w:val="15"/>
          <w:i w:val="1"/>
          <w:iCs w:val="1"/>
          <w:color w:val="auto"/>
        </w:rPr>
        <w:t>(Approval of the Issuance of Our Common Stock in Accordance with the Nasdaq Marketplace Rules 5635(b) and 5635(d)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upon (i) Conversion or Redemption of Our Series B Convertible Preferred Stock, and (ii) Exercise of Warrants, in Each Case, Issued Pursuant to the Purchase Agreement) </w:t>
      </w:r>
      <w:r>
        <w:rPr>
          <w:rFonts w:ascii="Arial" w:cs="Arial" w:eastAsia="Arial" w:hAnsi="Arial"/>
          <w:sz w:val="15"/>
          <w:szCs w:val="15"/>
          <w:color w:val="auto"/>
        </w:rPr>
        <w:t>or Proposal III</w:t>
      </w:r>
      <w:r>
        <w:rPr>
          <w:rFonts w:ascii="Arial" w:cs="Arial" w:eastAsia="Arial" w:hAnsi="Arial"/>
          <w:sz w:val="15"/>
          <w:szCs w:val="15"/>
          <w:i w:val="1"/>
          <w:iCs w:val="1"/>
          <w:color w:val="auto"/>
        </w:rPr>
        <w:t xml:space="preserve"> (Advisory (Non-Binding) Vote to Approve the Compensation of our Named Executive Officers)</w:t>
      </w:r>
      <w:r>
        <w:rPr>
          <w:rFonts w:ascii="Arial" w:cs="Arial" w:eastAsia="Arial" w:hAnsi="Arial"/>
          <w:sz w:val="15"/>
          <w:szCs w:val="15"/>
          <w:color w:val="auto"/>
        </w:rPr>
        <w:t>. As a result, if you do not provide voting</w:t>
      </w:r>
      <w:r>
        <w:rPr>
          <w:rFonts w:ascii="Arial" w:cs="Arial" w:eastAsia="Arial" w:hAnsi="Arial"/>
          <w:sz w:val="15"/>
          <w:szCs w:val="15"/>
          <w:i w:val="1"/>
          <w:iCs w:val="1"/>
          <w:color w:val="auto"/>
        </w:rPr>
        <w:t xml:space="preserve"> </w:t>
      </w:r>
      <w:r>
        <w:rPr>
          <w:rFonts w:ascii="Arial" w:cs="Arial" w:eastAsia="Arial" w:hAnsi="Arial"/>
          <w:sz w:val="15"/>
          <w:szCs w:val="15"/>
          <w:color w:val="auto"/>
        </w:rPr>
        <w:t>instructions to the organization maintaining your account, your shares will have no effect on the outcome of the election of directors, the approval of the issuance of our common stock in accordance with the Nasdaq Marketplace Rules 5635(b) and 5635(d) upon (i) conversion or redemption of the Company’s Series B Convertible Preferred Stock, and (ii) exercise of warrants, in each case, issued pursuant to the Purchase Agreement, or the advisory vote to approve the compensation of our named executive officers.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w:t>
      </w:r>
    </w:p>
    <w:p>
      <w:pPr>
        <w:spacing w:after="0" w:line="116" w:lineRule="exact"/>
        <w:rPr>
          <w:sz w:val="20"/>
          <w:szCs w:val="20"/>
          <w:color w:val="auto"/>
        </w:rPr>
      </w:pPr>
    </w:p>
    <w:p>
      <w:pPr>
        <w:ind w:right="60" w:firstLine="539"/>
        <w:spacing w:after="0" w:line="285" w:lineRule="auto"/>
        <w:rPr>
          <w:sz w:val="20"/>
          <w:szCs w:val="20"/>
          <w:color w:val="auto"/>
        </w:rPr>
      </w:pPr>
      <w:r>
        <w:rPr>
          <w:rFonts w:ascii="Arial" w:cs="Arial" w:eastAsia="Arial" w:hAnsi="Arial"/>
          <w:sz w:val="15"/>
          <w:szCs w:val="15"/>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42,767,168 shares of common stock outstanding and entitled to vote. Thus, 21,383,585 shares of common stock must be represented by stockholders present in person or by proxy at the Annual Meeting to have a quorum.</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80"/>
          </w:cols>
          <w:pgMar w:left="320" w:top="448" w:right="39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Election Process and Majority Voting Standard</w:t>
      </w:r>
    </w:p>
    <w:p>
      <w:pPr>
        <w:spacing w:after="0" w:line="116" w:lineRule="exact"/>
        <w:rPr>
          <w:sz w:val="20"/>
          <w:szCs w:val="20"/>
          <w:color w:val="auto"/>
        </w:rPr>
      </w:pPr>
    </w:p>
    <w:p>
      <w:pPr>
        <w:ind w:right="20" w:firstLine="539"/>
        <w:spacing w:after="0" w:line="264" w:lineRule="auto"/>
        <w:rPr>
          <w:sz w:val="20"/>
          <w:szCs w:val="20"/>
          <w:color w:val="auto"/>
        </w:rPr>
      </w:pPr>
      <w:r>
        <w:rPr>
          <w:rFonts w:ascii="Arial" w:cs="Arial" w:eastAsia="Arial" w:hAnsi="Arial"/>
          <w:sz w:val="16"/>
          <w:szCs w:val="16"/>
          <w:color w:val="auto"/>
        </w:rPr>
        <w:t>Our bylaws provide that the number of directors will be determined by the Board, which has currently set the number at nine. However, as previously announced, David L. Pugh will retire from the Board and has tendered his resignation effective as of the date of the Annual Meeting. Upon his retirement, the size of the Board will automatically be reduced from nine to eight directors.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69" w:lineRule="exact"/>
        <w:rPr>
          <w:sz w:val="20"/>
          <w:szCs w:val="20"/>
          <w:color w:val="auto"/>
        </w:rPr>
      </w:pPr>
    </w:p>
    <w:p>
      <w:pPr>
        <w:ind w:right="40" w:firstLine="539"/>
        <w:spacing w:after="0" w:line="262" w:lineRule="auto"/>
        <w:rPr>
          <w:sz w:val="20"/>
          <w:szCs w:val="20"/>
          <w:color w:val="auto"/>
        </w:rPr>
      </w:pPr>
      <w:r>
        <w:rPr>
          <w:rFonts w:ascii="Arial" w:cs="Arial" w:eastAsia="Arial" w:hAnsi="Arial"/>
          <w:sz w:val="16"/>
          <w:szCs w:val="16"/>
          <w:color w:val="auto"/>
        </w:rPr>
        <w:t xml:space="preserve">With respect to director nominees in Proposal I </w:t>
      </w:r>
      <w:r>
        <w:rPr>
          <w:rFonts w:ascii="Arial" w:cs="Arial" w:eastAsia="Arial" w:hAnsi="Arial"/>
          <w:sz w:val="16"/>
          <w:szCs w:val="16"/>
          <w:i w:val="1"/>
          <w:iCs w:val="1"/>
          <w:color w:val="auto"/>
        </w:rPr>
        <w:t>(Election of Directors)</w:t>
      </w:r>
      <w:r>
        <w:rPr>
          <w:rFonts w:ascii="Arial" w:cs="Arial" w:eastAsia="Arial" w:hAnsi="Arial"/>
          <w:sz w:val="16"/>
          <w:szCs w:val="16"/>
          <w:color w:val="auto"/>
        </w:rPr>
        <w:t>, you may vote “FOR ALL” to vote for all nominees, “WITHHOLD ALL” to withhold authority for all nominees, or “FOR ALL EXCEPT” to withhold authority for one or more specified nominees. Our bylaws provide for a majority voting standard in uncontested elections. This means that in an election of directors where the number of nominees does not exceed the number of directors to be elected, each director must receive more votes cast “FOR” the nominee than votes cast to “WITHHOLD AUTHORITY” for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Soliciting Proxies</w:t>
      </w:r>
    </w:p>
    <w:p>
      <w:pPr>
        <w:spacing w:after="0" w:line="116" w:lineRule="exact"/>
        <w:rPr>
          <w:sz w:val="20"/>
          <w:szCs w:val="20"/>
          <w:color w:val="auto"/>
        </w:rPr>
      </w:pPr>
    </w:p>
    <w:p>
      <w:pPr>
        <w:jc w:val="both"/>
        <w:ind w:right="640" w:firstLine="539"/>
        <w:spacing w:after="0" w:line="300" w:lineRule="auto"/>
        <w:rPr>
          <w:sz w:val="20"/>
          <w:szCs w:val="20"/>
          <w:color w:val="auto"/>
        </w:rPr>
      </w:pPr>
      <w:r>
        <w:rPr>
          <w:rFonts w:ascii="Arial" w:cs="Arial" w:eastAsia="Arial" w:hAnsi="Arial"/>
          <w:sz w:val="15"/>
          <w:szCs w:val="15"/>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Proxies</w:t>
      </w:r>
    </w:p>
    <w:p>
      <w:pPr>
        <w:spacing w:after="0" w:line="116" w:lineRule="exact"/>
        <w:rPr>
          <w:sz w:val="20"/>
          <w:szCs w:val="20"/>
          <w:color w:val="auto"/>
        </w:rPr>
      </w:pPr>
    </w:p>
    <w:p>
      <w:pPr>
        <w:ind w:right="240" w:firstLine="539"/>
        <w:spacing w:after="0" w:line="264" w:lineRule="auto"/>
        <w:rPr>
          <w:sz w:val="20"/>
          <w:szCs w:val="20"/>
          <w:color w:val="auto"/>
        </w:rPr>
      </w:pPr>
      <w:r>
        <w:rPr>
          <w:rFonts w:ascii="Arial" w:cs="Arial" w:eastAsia="Arial" w:hAnsi="Arial"/>
          <w:sz w:val="16"/>
          <w:szCs w:val="16"/>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issuance of our common stock in accordance with the Nasdaq Marketplace Rules 5635(b) and 5635(d) upon (i) conversion or redemption of our Series B Convertible Preferred Stock, and (ii) exercise of warrants, in each case, issued pursuant to the Purchase Agreement, “FOR” the advisory (non-binding) resolution to approve the compensation of our named executive officers, and “FOR” ratification of the selection of PricewaterhouseCoopers LLP to serve as our registered independent public accounting firm for 2020.</w:t>
      </w:r>
    </w:p>
    <w:p>
      <w:pPr>
        <w:spacing w:after="0" w:line="169" w:lineRule="exact"/>
        <w:rPr>
          <w:sz w:val="20"/>
          <w:szCs w:val="20"/>
          <w:color w:val="auto"/>
        </w:rPr>
      </w:pPr>
    </w:p>
    <w:p>
      <w:pPr>
        <w:ind w:firstLine="539"/>
        <w:spacing w:after="0" w:line="264" w:lineRule="auto"/>
        <w:rPr>
          <w:sz w:val="20"/>
          <w:szCs w:val="20"/>
          <w:color w:val="auto"/>
        </w:rPr>
      </w:pPr>
      <w:r>
        <w:rPr>
          <w:rFonts w:ascii="Arial" w:cs="Arial" w:eastAsia="Arial" w:hAnsi="Arial"/>
          <w:sz w:val="16"/>
          <w:szCs w:val="16"/>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Revoking a Proxy</w:t>
      </w:r>
    </w:p>
    <w:p>
      <w:pPr>
        <w:spacing w:after="0" w:line="116" w:lineRule="exact"/>
        <w:rPr>
          <w:sz w:val="20"/>
          <w:szCs w:val="20"/>
          <w:color w:val="auto"/>
        </w:rPr>
      </w:pPr>
    </w:p>
    <w:p>
      <w:pPr>
        <w:ind w:right="20" w:firstLine="539"/>
        <w:spacing w:after="0" w:line="289" w:lineRule="auto"/>
        <w:rPr>
          <w:sz w:val="20"/>
          <w:szCs w:val="20"/>
          <w:color w:val="auto"/>
        </w:rPr>
      </w:pPr>
      <w:r>
        <w:rPr>
          <w:rFonts w:ascii="Arial" w:cs="Arial" w:eastAsia="Arial" w:hAnsi="Arial"/>
          <w:sz w:val="16"/>
          <w:szCs w:val="16"/>
          <w:color w:val="auto"/>
        </w:rPr>
        <w:t>You can revoke your proxy at any time before the final vote at the Annual Meeting. If you are the record holder of your shares, you may revoke your proxy in any one of three ways:</w:t>
      </w:r>
    </w:p>
    <w:p>
      <w:pPr>
        <w:spacing w:after="0" w:line="51" w:lineRule="exact"/>
        <w:rPr>
          <w:sz w:val="20"/>
          <w:szCs w:val="20"/>
          <w:color w:val="auto"/>
        </w:rPr>
      </w:pPr>
    </w:p>
    <w:p>
      <w:pPr>
        <w:ind w:left="1320" w:hanging="395"/>
        <w:spacing w:after="0"/>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 may submit another properly completed proxy bearing a later date;</w:t>
      </w:r>
    </w:p>
    <w:p>
      <w:pPr>
        <w:spacing w:after="0" w:line="112" w:lineRule="exact"/>
        <w:rPr>
          <w:rFonts w:ascii="Arial" w:cs="Arial" w:eastAsia="Arial" w:hAnsi="Arial"/>
          <w:sz w:val="16"/>
          <w:szCs w:val="16"/>
          <w:color w:val="auto"/>
        </w:rPr>
      </w:pPr>
    </w:p>
    <w:p>
      <w:pPr>
        <w:ind w:left="1320" w:right="320" w:hanging="395"/>
        <w:spacing w:after="0" w:line="289"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 may send a written notice that you are revoking your proxy to NN, Inc., 6210 Ardrey Kell Road, Charlotte, North Carolina 28277, Attention: Secretary; or</w:t>
      </w:r>
    </w:p>
    <w:p>
      <w:pPr>
        <w:spacing w:after="0" w:line="50" w:lineRule="exact"/>
        <w:rPr>
          <w:rFonts w:ascii="Arial" w:cs="Arial" w:eastAsia="Arial" w:hAnsi="Arial"/>
          <w:sz w:val="16"/>
          <w:szCs w:val="16"/>
          <w:color w:val="auto"/>
        </w:rPr>
      </w:pPr>
    </w:p>
    <w:p>
      <w:pPr>
        <w:ind w:left="1320" w:right="320" w:hanging="395"/>
        <w:spacing w:after="0" w:line="289"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You may attend the Annual Meeting and notify the election officials that you wish to revoke your proxy and vote in person. Attending the Annual Meeting will not, by itself, revoke your proxy.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10" w:name="page11"/>
    <w:bookmarkEnd w:id="10"/>
    <w:p>
      <w:pPr>
        <w:ind w:left="540"/>
        <w:spacing w:after="0"/>
        <w:rPr>
          <w:sz w:val="20"/>
          <w:szCs w:val="20"/>
          <w:color w:val="auto"/>
        </w:rPr>
      </w:pPr>
      <w:r>
        <w:rPr>
          <w:rFonts w:ascii="Arial" w:cs="Arial" w:eastAsia="Arial" w:hAnsi="Arial"/>
          <w:sz w:val="16"/>
          <w:szCs w:val="16"/>
          <w:color w:val="auto"/>
        </w:rPr>
        <w:t>If your shares are held by a brokerage firm, bank, dealer or similar organization, you should follow the instructions provided by that organization.</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116" w:lineRule="exact"/>
        <w:rPr>
          <w:sz w:val="20"/>
          <w:szCs w:val="20"/>
          <w:color w:val="auto"/>
        </w:rPr>
      </w:pPr>
    </w:p>
    <w:p>
      <w:pPr>
        <w:jc w:val="both"/>
        <w:ind w:right="100" w:firstLine="539"/>
        <w:spacing w:after="0" w:line="273" w:lineRule="auto"/>
        <w:rPr>
          <w:sz w:val="20"/>
          <w:szCs w:val="20"/>
          <w:color w:val="auto"/>
        </w:rPr>
      </w:pPr>
      <w:r>
        <w:rPr>
          <w:rFonts w:ascii="Arial" w:cs="Arial" w:eastAsia="Arial" w:hAnsi="Arial"/>
          <w:sz w:val="16"/>
          <w:szCs w:val="16"/>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Votes Required</w:t>
      </w:r>
    </w:p>
    <w:p>
      <w:pPr>
        <w:spacing w:after="0" w:line="215" w:lineRule="exact"/>
        <w:rPr>
          <w:sz w:val="20"/>
          <w:szCs w:val="20"/>
          <w:color w:val="auto"/>
        </w:rPr>
      </w:pPr>
    </w:p>
    <w:p>
      <w:pPr>
        <w:ind w:firstLine="539"/>
        <w:spacing w:after="0" w:line="268" w:lineRule="auto"/>
        <w:rPr>
          <w:sz w:val="20"/>
          <w:szCs w:val="20"/>
          <w:color w:val="auto"/>
        </w:rPr>
      </w:pPr>
      <w:r>
        <w:rPr>
          <w:rFonts w:ascii="Arial" w:cs="Arial" w:eastAsia="Arial" w:hAnsi="Arial"/>
          <w:sz w:val="16"/>
          <w:szCs w:val="16"/>
          <w:b w:val="1"/>
          <w:bCs w:val="1"/>
          <w:i w:val="1"/>
          <w:iCs w:val="1"/>
          <w:color w:val="auto"/>
        </w:rPr>
        <w:t xml:space="preserve">Proposal I: Election of Directors. </w:t>
      </w:r>
      <w:r>
        <w:rPr>
          <w:rFonts w:ascii="Arial" w:cs="Arial" w:eastAsia="Arial" w:hAnsi="Arial"/>
          <w:sz w:val="16"/>
          <w:szCs w:val="16"/>
          <w:color w:val="auto"/>
        </w:rPr>
        <w:t>Directors are elected by a majority of the votes cast in person or by proxy. This means that the number of votes cast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nominee must exceed the votes cast to “WITHHOLD AUTHORITY” for the nominee. Abstentions and broker non-votes will not be taken into account in determining the outcome of the election. If a nominee fails to receive more “FOR” votes than votes cast to “WITHHOLD AUTHORITY,” and is an incumbent director, the nominee is required to tender his or her resignation to the Board for consideration.</w:t>
      </w:r>
    </w:p>
    <w:p>
      <w:pPr>
        <w:spacing w:after="0" w:line="166" w:lineRule="exact"/>
        <w:rPr>
          <w:sz w:val="20"/>
          <w:szCs w:val="20"/>
          <w:color w:val="auto"/>
        </w:rPr>
      </w:pPr>
    </w:p>
    <w:p>
      <w:pPr>
        <w:ind w:right="60" w:firstLine="539"/>
        <w:spacing w:after="0" w:line="268" w:lineRule="auto"/>
        <w:rPr>
          <w:sz w:val="20"/>
          <w:szCs w:val="20"/>
          <w:color w:val="auto"/>
        </w:rPr>
      </w:pPr>
      <w:r>
        <w:rPr>
          <w:rFonts w:ascii="Arial" w:cs="Arial" w:eastAsia="Arial" w:hAnsi="Arial"/>
          <w:sz w:val="16"/>
          <w:szCs w:val="16"/>
          <w:b w:val="1"/>
          <w:bCs w:val="1"/>
          <w:i w:val="1"/>
          <w:iCs w:val="1"/>
          <w:color w:val="auto"/>
        </w:rPr>
        <w:t xml:space="preserve">Proposal II: Approval of the Issuance of Our Common Stock in Accordance with the Nasdaq Marketplace Rules 5635(b) and 5635(d) upon (i) Conversion or Redemption of Our Series B Convertible Preferred Stock, and (ii) Exercise of Warrants, in Each Case, Issued Pursuant to the Purchase Agreement. </w:t>
      </w:r>
      <w:r>
        <w:rPr>
          <w:rFonts w:ascii="Arial" w:cs="Arial" w:eastAsia="Arial" w:hAnsi="Arial"/>
          <w:sz w:val="16"/>
          <w:szCs w:val="16"/>
          <w:color w:val="auto"/>
        </w:rPr>
        <w:t>To be approved,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matter must receive the affirmative vote of a majority of the votes cast on this proposal. Abstentions and broker non-votes will have no impact on the vote for this proposal.</w:t>
      </w:r>
    </w:p>
    <w:p>
      <w:pPr>
        <w:spacing w:after="0" w:line="166" w:lineRule="exact"/>
        <w:rPr>
          <w:sz w:val="20"/>
          <w:szCs w:val="20"/>
          <w:color w:val="auto"/>
        </w:rPr>
      </w:pPr>
    </w:p>
    <w:p>
      <w:pPr>
        <w:ind w:right="100" w:firstLine="539"/>
        <w:spacing w:after="0" w:line="273" w:lineRule="auto"/>
        <w:rPr>
          <w:sz w:val="20"/>
          <w:szCs w:val="20"/>
          <w:color w:val="auto"/>
        </w:rPr>
      </w:pPr>
      <w:r>
        <w:rPr>
          <w:rFonts w:ascii="Arial" w:cs="Arial" w:eastAsia="Arial" w:hAnsi="Arial"/>
          <w:sz w:val="16"/>
          <w:szCs w:val="16"/>
          <w:b w:val="1"/>
          <w:bCs w:val="1"/>
          <w:i w:val="1"/>
          <w:iCs w:val="1"/>
          <w:color w:val="auto"/>
        </w:rPr>
        <w:t xml:space="preserve">Proposal III: Advisory (Non-Binding) Vote to Approve the Compensation of our Named Executive Officers. </w:t>
      </w:r>
      <w:r>
        <w:rPr>
          <w:rFonts w:ascii="Arial" w:cs="Arial" w:eastAsia="Arial" w:hAnsi="Arial"/>
          <w:sz w:val="16"/>
          <w:szCs w:val="16"/>
          <w:color w:val="auto"/>
        </w:rPr>
        <w:t>To be approved, this matter must receive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affirmative vote of the majority of the shares present in person or by proxy and entitled to vote on the matter. Abstentions will have the effect of an “AGAINST” vote on this matter. A broker non-vote will have no impact on the vote for this proposal.</w:t>
      </w:r>
    </w:p>
    <w:p>
      <w:pPr>
        <w:spacing w:after="0" w:line="163" w:lineRule="exact"/>
        <w:rPr>
          <w:sz w:val="20"/>
          <w:szCs w:val="20"/>
          <w:color w:val="auto"/>
        </w:rPr>
      </w:pPr>
    </w:p>
    <w:p>
      <w:pPr>
        <w:ind w:right="60" w:firstLine="539"/>
        <w:spacing w:after="0" w:line="273" w:lineRule="auto"/>
        <w:rPr>
          <w:sz w:val="20"/>
          <w:szCs w:val="20"/>
          <w:color w:val="auto"/>
        </w:rPr>
      </w:pPr>
      <w:r>
        <w:rPr>
          <w:rFonts w:ascii="Arial" w:cs="Arial" w:eastAsia="Arial" w:hAnsi="Arial"/>
          <w:sz w:val="16"/>
          <w:szCs w:val="16"/>
          <w:b w:val="1"/>
          <w:bCs w:val="1"/>
          <w:i w:val="1"/>
          <w:iCs w:val="1"/>
          <w:color w:val="auto"/>
        </w:rPr>
        <w:t xml:space="preserve">Proposal IV: Ratification of Selection of our Registered Independent Public Accounting Firm. </w:t>
      </w:r>
      <w:r>
        <w:rPr>
          <w:rFonts w:ascii="Arial" w:cs="Arial" w:eastAsia="Arial" w:hAnsi="Arial"/>
          <w:sz w:val="16"/>
          <w:szCs w:val="16"/>
          <w:color w:val="auto"/>
        </w:rPr>
        <w:t>To be approved, this matter must receive the affirmative vote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majority of the shares present in person or by proxy and entitled to vote on the matter. Abstentions will have the effect of an “AGAINST” vote on this matter. There will not be a broker non-vote with regard to this proposal.</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Submission of Stockholder Proposals</w:t>
      </w:r>
    </w:p>
    <w:p>
      <w:pPr>
        <w:spacing w:after="0" w:line="116" w:lineRule="exact"/>
        <w:rPr>
          <w:sz w:val="20"/>
          <w:szCs w:val="20"/>
          <w:color w:val="auto"/>
        </w:rPr>
      </w:pPr>
    </w:p>
    <w:p>
      <w:pPr>
        <w:ind w:right="40" w:firstLine="539"/>
        <w:spacing w:after="0" w:line="268" w:lineRule="auto"/>
        <w:rPr>
          <w:sz w:val="20"/>
          <w:szCs w:val="20"/>
          <w:color w:val="auto"/>
        </w:rPr>
      </w:pPr>
      <w:r>
        <w:rPr>
          <w:rFonts w:ascii="Arial" w:cs="Arial" w:eastAsia="Arial" w:hAnsi="Arial"/>
          <w:sz w:val="16"/>
          <w:szCs w:val="16"/>
          <w:color w:val="auto"/>
        </w:rPr>
        <w:t>Any stockholder proposal intended to be presented at next year’s annual meeting of stockholders, including stockholder nominations for directors, must be received by us at our executive offices not later than December , 2020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80" w:lineRule="exact"/>
        <w:rPr>
          <w:sz w:val="20"/>
          <w:szCs w:val="20"/>
          <w:color w:val="auto"/>
        </w:rPr>
      </w:pPr>
    </w:p>
    <w:p>
      <w:pPr>
        <w:ind w:left="880" w:hanging="325"/>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stockholder’s name and address and, if the stockholder holds for the benefit of another, the name and address of the beneficial owner;</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NN shares owned;</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of NN derivative securities owned;</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the stockholder holds any proxy or other right to vote on behalf of another;</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short interest in any NN security;</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rights to dividends on NN shares that are separated or separable from the underlying NN shares;</w:t>
      </w:r>
    </w:p>
    <w:p>
      <w:pPr>
        <w:spacing w:after="0" w:line="124" w:lineRule="exact"/>
        <w:rPr>
          <w:rFonts w:ascii="Arial" w:cs="Arial" w:eastAsia="Arial" w:hAnsi="Arial"/>
          <w:sz w:val="16"/>
          <w:szCs w:val="16"/>
          <w:color w:val="auto"/>
        </w:rPr>
      </w:pPr>
    </w:p>
    <w:p>
      <w:pPr>
        <w:ind w:left="880" w:right="120" w:hanging="325"/>
        <w:spacing w:after="0" w:line="289"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proportionate interest in any NN securities held by a general or limited partnership or limited liability company, or similar entity where the stockholder owns some or all of such entity;</w:t>
      </w:r>
    </w:p>
    <w:p>
      <w:pPr>
        <w:spacing w:after="0" w:line="63" w:lineRule="exact"/>
        <w:rPr>
          <w:rFonts w:ascii="Arial" w:cs="Arial" w:eastAsia="Arial" w:hAnsi="Arial"/>
          <w:sz w:val="16"/>
          <w:szCs w:val="16"/>
          <w:color w:val="auto"/>
        </w:rPr>
      </w:pPr>
    </w:p>
    <w:p>
      <w:pPr>
        <w:ind w:left="880" w:hanging="325"/>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performance-related fees to which the stockholder is entitled, based on the increase or decrease of the value of NN’s securities;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11" w:name="page12"/>
    <w:bookmarkEnd w:id="11"/>
    <w:p>
      <w:pPr>
        <w:ind w:left="881" w:hanging="325"/>
        <w:spacing w:after="0"/>
        <w:tabs>
          <w:tab w:leader="none" w:pos="8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arrangements, rights or interests in any of the foregoing held by members of the stockholder’s immediate family sharing the same household;</w:t>
      </w:r>
    </w:p>
    <w:p>
      <w:pPr>
        <w:spacing w:after="0" w:line="124" w:lineRule="exact"/>
        <w:rPr>
          <w:rFonts w:ascii="Arial" w:cs="Arial" w:eastAsia="Arial" w:hAnsi="Arial"/>
          <w:sz w:val="16"/>
          <w:szCs w:val="16"/>
          <w:color w:val="auto"/>
        </w:rPr>
      </w:pPr>
    </w:p>
    <w:p>
      <w:pPr>
        <w:ind w:left="881" w:right="180" w:hanging="325"/>
        <w:spacing w:after="0" w:line="289" w:lineRule="auto"/>
        <w:tabs>
          <w:tab w:leader="none" w:pos="8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information relating to the stockholder that would be required to be disclosed in the proxy statement or other filings required to be made in connection with solicitations of proxies for the proposal; and</w:t>
      </w:r>
    </w:p>
    <w:p>
      <w:pPr>
        <w:spacing w:after="0" w:line="63" w:lineRule="exact"/>
        <w:rPr>
          <w:rFonts w:ascii="Arial" w:cs="Arial" w:eastAsia="Arial" w:hAnsi="Arial"/>
          <w:sz w:val="16"/>
          <w:szCs w:val="16"/>
          <w:color w:val="auto"/>
        </w:rPr>
      </w:pPr>
    </w:p>
    <w:p>
      <w:pPr>
        <w:ind w:left="881" w:hanging="325"/>
        <w:spacing w:after="0"/>
        <w:tabs>
          <w:tab w:leader="none" w:pos="88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other information reasonably requested by NN.</w:t>
      </w:r>
    </w:p>
    <w:p>
      <w:pPr>
        <w:spacing w:after="0" w:line="211" w:lineRule="exact"/>
        <w:rPr>
          <w:sz w:val="20"/>
          <w:szCs w:val="20"/>
          <w:color w:val="auto"/>
        </w:rPr>
      </w:pPr>
    </w:p>
    <w:p>
      <w:pPr>
        <w:ind w:left="1" w:firstLine="539"/>
        <w:spacing w:after="0" w:line="265" w:lineRule="auto"/>
        <w:rPr>
          <w:sz w:val="20"/>
          <w:szCs w:val="20"/>
          <w:color w:val="auto"/>
        </w:rPr>
      </w:pPr>
      <w:r>
        <w:rPr>
          <w:rFonts w:ascii="Arial" w:cs="Arial" w:eastAsia="Arial" w:hAnsi="Arial"/>
          <w:sz w:val="16"/>
          <w:szCs w:val="16"/>
          <w:color w:val="auto"/>
        </w:rPr>
        <w:t>Pursuant to our bylaws, proposals of stockholders not intended for inclusion in the proxy statement for the 2021 Annual Meeting of Stockholders must be received by us in writing not less than 90 days and not more than 120 days prior to May 20, 2021 to be considered timely. We also advise you to review our bylaws, which contain additional requirements about advance notice of stockholder proposals and director nominations, including the different notice submission date requirements in the event we do not hold our 2021 Annual Meeting of Stockholders on or between April 20, 2021 and July 19, 2021. All stockholder proposals should be sent to NN, Inc., Attention: Secretary, 6210 Ardrey Kell Road, Charlotte, North Carolina 28277.</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Householding</w:t>
      </w:r>
    </w:p>
    <w:p>
      <w:pPr>
        <w:spacing w:after="0" w:line="116" w:lineRule="exact"/>
        <w:rPr>
          <w:sz w:val="20"/>
          <w:szCs w:val="20"/>
          <w:color w:val="auto"/>
        </w:rPr>
      </w:pPr>
    </w:p>
    <w:p>
      <w:pPr>
        <w:ind w:left="1" w:right="20" w:firstLine="539"/>
        <w:spacing w:after="0" w:line="287" w:lineRule="auto"/>
        <w:rPr>
          <w:sz w:val="20"/>
          <w:szCs w:val="20"/>
          <w:color w:val="auto"/>
        </w:rPr>
      </w:pPr>
      <w:r>
        <w:rPr>
          <w:rFonts w:ascii="Arial" w:cs="Arial" w:eastAsia="Arial" w:hAnsi="Arial"/>
          <w:sz w:val="15"/>
          <w:szCs w:val="15"/>
          <w:color w:val="auto"/>
        </w:rPr>
        <w:t>The SEC’s rules regarding the delivery of proxy materials to stockholders permit us to deliver a single copy of the proxy materials or Notice of Internet Availability, as applicable, to an address shared by two or more of our stockholders. This method of delivery is called “householding,” and can significantly reduce our printing and mailing costs. It also reduces the volume of mail you receive. This year, we are delivering only one set of proxy materials or Notice of Internet Availability, as applicable,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54" w:lineRule="exact"/>
        <w:rPr>
          <w:sz w:val="20"/>
          <w:szCs w:val="20"/>
          <w:color w:val="auto"/>
        </w:rPr>
      </w:pPr>
    </w:p>
    <w:p>
      <w:pPr>
        <w:ind w:left="1" w:right="20" w:firstLine="539"/>
        <w:spacing w:after="0" w:line="268" w:lineRule="auto"/>
        <w:rPr>
          <w:sz w:val="20"/>
          <w:szCs w:val="20"/>
          <w:color w:val="auto"/>
        </w:rPr>
      </w:pPr>
      <w:r>
        <w:rPr>
          <w:rFonts w:ascii="Arial" w:cs="Arial" w:eastAsia="Arial" w:hAnsi="Arial"/>
          <w:sz w:val="16"/>
          <w:szCs w:val="16"/>
          <w:color w:val="auto"/>
        </w:rPr>
        <w:t>If you would like to receive more than one set of proxy materials or Notice of Internet Availability, as applicable, we will promptly send you additional copies upon written or oral request directed to our Secretary at 6210 Ardrey Kell Road, Charlotte, North Carolina 28277 or (980) 264-4300. The same address and phone number may be used to notify us that you wish to receive a separate set of proxy materials or notice in the future, or to request delivery of a single copy of our proxy materials or notice if you are receiving multiple copies.</w:t>
      </w:r>
    </w:p>
    <w:p>
      <w:pPr>
        <w:spacing w:after="0" w:line="26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Results of the 2020 Annual Meeting</w:t>
      </w:r>
    </w:p>
    <w:p>
      <w:pPr>
        <w:spacing w:after="0" w:line="116" w:lineRule="exact"/>
        <w:rPr>
          <w:sz w:val="20"/>
          <w:szCs w:val="20"/>
          <w:color w:val="auto"/>
        </w:rPr>
      </w:pPr>
    </w:p>
    <w:p>
      <w:pPr>
        <w:ind w:left="1" w:right="140" w:firstLine="539"/>
        <w:spacing w:after="0" w:line="289" w:lineRule="auto"/>
        <w:rPr>
          <w:sz w:val="20"/>
          <w:szCs w:val="20"/>
          <w:color w:val="auto"/>
        </w:rPr>
      </w:pPr>
      <w:r>
        <w:rPr>
          <w:rFonts w:ascii="Arial" w:cs="Arial" w:eastAsia="Arial" w:hAnsi="Arial"/>
          <w:sz w:val="16"/>
          <w:szCs w:val="16"/>
          <w:color w:val="auto"/>
        </w:rPr>
        <w:t xml:space="preserve">Preliminary voting results will be announced at the Annual Meeting. Final results will be disclosed in a Current Report on Form 8-K, which can be found on the “Investor Relations” page of our website, </w:t>
      </w:r>
      <w:r>
        <w:rPr>
          <w:rFonts w:ascii="Arial" w:cs="Arial" w:eastAsia="Arial" w:hAnsi="Arial"/>
          <w:sz w:val="16"/>
          <w:szCs w:val="16"/>
          <w:i w:val="1"/>
          <w:iCs w:val="1"/>
          <w:color w:val="auto"/>
        </w:rPr>
        <w:t>www.nninc.com</w:t>
      </w:r>
      <w:r>
        <w:rPr>
          <w:rFonts w:ascii="Arial" w:cs="Arial" w:eastAsia="Arial" w:hAnsi="Arial"/>
          <w:sz w:val="16"/>
          <w:szCs w:val="16"/>
          <w:color w:val="auto"/>
        </w:rPr>
        <w:t>, following the report’s filing the SEC within four business days of the Annual Meeting.</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I: ELECTION OF DIRECTORS</w:t>
      </w:r>
    </w:p>
    <w:p>
      <w:pPr>
        <w:spacing w:after="0" w:line="215" w:lineRule="exact"/>
        <w:rPr>
          <w:sz w:val="20"/>
          <w:szCs w:val="20"/>
          <w:color w:val="auto"/>
        </w:rPr>
      </w:pPr>
    </w:p>
    <w:p>
      <w:pPr>
        <w:ind w:left="1" w:right="120" w:firstLine="539"/>
        <w:spacing w:after="0" w:line="302" w:lineRule="auto"/>
        <w:rPr>
          <w:sz w:val="20"/>
          <w:szCs w:val="20"/>
          <w:color w:val="auto"/>
        </w:rPr>
      </w:pPr>
      <w:r>
        <w:rPr>
          <w:rFonts w:ascii="Arial" w:cs="Arial" w:eastAsia="Arial" w:hAnsi="Arial"/>
          <w:sz w:val="14"/>
          <w:szCs w:val="14"/>
          <w:color w:val="auto"/>
        </w:rPr>
        <w:t>Our Restated Certificate of Incorporation previously provided for a classified Board divided into three classes: Class I, Class II and Class III. At the 2019 annual meeting of stockholders, our stockholders approved an amendment to declassify the Board and to make our directors subject to annual election, beginning with the Class</w:t>
      </w:r>
    </w:p>
    <w:p>
      <w:pPr>
        <w:spacing w:after="0" w:line="1" w:lineRule="exact"/>
        <w:rPr>
          <w:sz w:val="20"/>
          <w:szCs w:val="20"/>
          <w:color w:val="auto"/>
        </w:rPr>
      </w:pPr>
    </w:p>
    <w:p>
      <w:pPr>
        <w:ind w:left="1" w:right="60" w:hanging="1"/>
        <w:spacing w:after="0" w:line="275" w:lineRule="auto"/>
        <w:tabs>
          <w:tab w:leader="none" w:pos="2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directors elected at the 2019 annual meeting of stockholders and continuing thereafter, as the existing three-year terms of Class I directors and Class II directors expire in 2020 and 2021, respectively.</w:t>
      </w:r>
    </w:p>
    <w:p>
      <w:pPr>
        <w:spacing w:after="0" w:line="160" w:lineRule="exact"/>
        <w:rPr>
          <w:sz w:val="20"/>
          <w:szCs w:val="20"/>
          <w:color w:val="auto"/>
        </w:rPr>
      </w:pPr>
    </w:p>
    <w:p>
      <w:pPr>
        <w:ind w:left="1" w:right="60" w:firstLine="539"/>
        <w:spacing w:after="0" w:line="283" w:lineRule="auto"/>
        <w:rPr>
          <w:sz w:val="20"/>
          <w:szCs w:val="20"/>
          <w:color w:val="auto"/>
        </w:rPr>
      </w:pPr>
      <w:r>
        <w:rPr>
          <w:rFonts w:ascii="Arial" w:cs="Arial" w:eastAsia="Arial" w:hAnsi="Arial"/>
          <w:sz w:val="15"/>
          <w:szCs w:val="15"/>
          <w:color w:val="auto"/>
        </w:rPr>
        <w:t>As a result, three Class I directors and three Class III directors will be elected to the Board at the Annual Meeting to each serve for a term of one year or until his or her successor is elected and qualified, subject to such director’s earlier death, resignation or removal. The Board has nominated for election: (i) Jeri J. Harman, Steven T. Warshaw and Thomas H. Wilson, Jr., each a current Class I director of the Company; and (ii) Raynard D. Benvenuti, Christina E. Carroll and David K. Floyd, each a Class III director of the Company. Additional information about each of these nominees and our other directors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THE BOARD RECOMMENDS A VOTE “FOR” THE ELECTION OF ALL NOMINATED DIRECTORS.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49" w:right="339" w:bottom="1440" w:gutter="0" w:footer="0" w:header="0"/>
        </w:sectPr>
      </w:pPr>
    </w:p>
    <w:bookmarkStart w:id="12" w:name="page13"/>
    <w:bookmarkEnd w:id="12"/>
    <w:p>
      <w:pPr>
        <w:ind w:left="1"/>
        <w:spacing w:after="0"/>
        <w:rPr>
          <w:sz w:val="20"/>
          <w:szCs w:val="20"/>
          <w:color w:val="auto"/>
        </w:rPr>
      </w:pPr>
      <w:r>
        <w:rPr>
          <w:rFonts w:ascii="Arial" w:cs="Arial" w:eastAsia="Arial" w:hAnsi="Arial"/>
          <w:sz w:val="16"/>
          <w:szCs w:val="16"/>
          <w:b w:val="1"/>
          <w:bCs w:val="1"/>
          <w:color w:val="auto"/>
        </w:rPr>
        <w:t>Information about the Directors and the Director Nominees</w:t>
      </w:r>
    </w:p>
    <w:p>
      <w:pPr>
        <w:spacing w:after="0" w:line="116" w:lineRule="exact"/>
        <w:rPr>
          <w:sz w:val="20"/>
          <w:szCs w:val="20"/>
          <w:color w:val="auto"/>
        </w:rPr>
      </w:pPr>
    </w:p>
    <w:p>
      <w:pPr>
        <w:jc w:val="both"/>
        <w:ind w:left="1" w:right="260" w:firstLine="539"/>
        <w:spacing w:after="0" w:line="273" w:lineRule="auto"/>
        <w:rPr>
          <w:sz w:val="20"/>
          <w:szCs w:val="20"/>
          <w:color w:val="auto"/>
        </w:rPr>
      </w:pPr>
      <w:r>
        <w:rPr>
          <w:rFonts w:ascii="Arial" w:cs="Arial" w:eastAsia="Arial" w:hAnsi="Arial"/>
          <w:sz w:val="16"/>
          <w:szCs w:val="16"/>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240"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Director</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4"/>
              </w:rPr>
              <w:t>Term</w:t>
            </w:r>
          </w:p>
        </w:tc>
        <w:tc>
          <w:tcPr>
            <w:tcW w:w="200" w:type="dxa"/>
            <w:vAlign w:val="bottom"/>
          </w:tcPr>
          <w:p>
            <w:pPr>
              <w:spacing w:after="0"/>
              <w:rPr>
                <w:sz w:val="13"/>
                <w:szCs w:val="13"/>
                <w:color w:val="auto"/>
              </w:rPr>
            </w:pPr>
          </w:p>
        </w:tc>
        <w:tc>
          <w:tcPr>
            <w:tcW w:w="5280" w:type="dxa"/>
            <w:vAlign w:val="bottom"/>
          </w:tcPr>
          <w:p>
            <w:pPr>
              <w:spacing w:after="0"/>
              <w:rPr>
                <w:sz w:val="13"/>
                <w:szCs w:val="13"/>
                <w:color w:val="auto"/>
              </w:rPr>
            </w:pPr>
          </w:p>
        </w:tc>
      </w:tr>
      <w:tr>
        <w:trPr>
          <w:trHeight w:val="176"/>
        </w:trPr>
        <w:tc>
          <w:tcPr>
            <w:tcW w:w="3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Age</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Since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Expires</w:t>
            </w:r>
          </w:p>
        </w:tc>
        <w:tc>
          <w:tcPr>
            <w:tcW w:w="200" w:type="dxa"/>
            <w:vAlign w:val="bottom"/>
          </w:tcPr>
          <w:p>
            <w:pPr>
              <w:spacing w:after="0"/>
              <w:rPr>
                <w:sz w:val="15"/>
                <w:szCs w:val="15"/>
                <w:color w:val="auto"/>
              </w:rPr>
            </w:pPr>
          </w:p>
        </w:tc>
        <w:tc>
          <w:tcPr>
            <w:tcW w:w="5280" w:type="dxa"/>
            <w:vAlign w:val="bottom"/>
          </w:tcPr>
          <w:p>
            <w:pPr>
              <w:ind w:left="2380"/>
              <w:spacing w:after="0"/>
              <w:rPr>
                <w:sz w:val="20"/>
                <w:szCs w:val="20"/>
                <w:color w:val="auto"/>
              </w:rPr>
            </w:pPr>
            <w:r>
              <w:rPr>
                <w:rFonts w:ascii="Arial" w:cs="Arial" w:eastAsia="Arial" w:hAnsi="Arial"/>
                <w:sz w:val="13"/>
                <w:szCs w:val="13"/>
                <w:b w:val="1"/>
                <w:bCs w:val="1"/>
                <w:color w:val="auto"/>
              </w:rPr>
              <w:t>Positions</w:t>
            </w:r>
          </w:p>
        </w:tc>
      </w:tr>
      <w:tr>
        <w:trPr>
          <w:trHeight w:val="182"/>
        </w:trPr>
        <w:tc>
          <w:tcPr>
            <w:tcW w:w="3040" w:type="dxa"/>
            <w:vAlign w:val="bottom"/>
            <w:tcBorders>
              <w:top w:val="single" w:sz="8" w:color="C6D9F1"/>
            </w:tcBorders>
            <w:shd w:val="clear" w:color="auto" w:fill="C6D9F1"/>
          </w:tcPr>
          <w:p>
            <w:pPr>
              <w:spacing w:after="0" w:line="182" w:lineRule="exact"/>
              <w:rPr>
                <w:sz w:val="20"/>
                <w:szCs w:val="20"/>
                <w:color w:val="auto"/>
              </w:rPr>
            </w:pPr>
            <w:r>
              <w:rPr>
                <w:rFonts w:ascii="Arial" w:cs="Arial" w:eastAsia="Arial" w:hAnsi="Arial"/>
                <w:sz w:val="16"/>
                <w:szCs w:val="16"/>
                <w:color w:val="auto"/>
              </w:rPr>
              <w:t>Raynard D. Benvenuti</w:t>
            </w:r>
            <w:r>
              <w:rPr>
                <w:rFonts w:ascii="Arial" w:cs="Arial" w:eastAsia="Arial" w:hAnsi="Arial"/>
                <w:sz w:val="13"/>
                <w:szCs w:val="13"/>
                <w:color w:val="auto"/>
              </w:rPr>
              <w:t>(1)</w:t>
            </w:r>
          </w:p>
        </w:tc>
        <w:tc>
          <w:tcPr>
            <w:tcW w:w="120" w:type="dxa"/>
            <w:vAlign w:val="bottom"/>
            <w:tcBorders>
              <w:top w:val="single" w:sz="8" w:color="C6D9F1"/>
            </w:tcBorders>
            <w:shd w:val="clear" w:color="auto" w:fill="C6D9F1"/>
          </w:tcPr>
          <w:p>
            <w:pPr>
              <w:spacing w:after="0"/>
              <w:rPr>
                <w:sz w:val="15"/>
                <w:szCs w:val="15"/>
                <w:color w:val="auto"/>
              </w:rPr>
            </w:pPr>
          </w:p>
        </w:tc>
        <w:tc>
          <w:tcPr>
            <w:tcW w:w="800" w:type="dxa"/>
            <w:vAlign w:val="bottom"/>
            <w:tcBorders>
              <w:top w:val="single" w:sz="8" w:color="auto"/>
            </w:tcBorders>
            <w:shd w:val="clear" w:color="auto" w:fill="C6D9F1"/>
          </w:tcPr>
          <w:p>
            <w:pPr>
              <w:jc w:val="center"/>
              <w:spacing w:after="0" w:line="182" w:lineRule="exact"/>
              <w:rPr>
                <w:sz w:val="20"/>
                <w:szCs w:val="20"/>
                <w:color w:val="auto"/>
              </w:rPr>
            </w:pPr>
            <w:r>
              <w:rPr>
                <w:rFonts w:ascii="Arial" w:cs="Arial" w:eastAsia="Arial" w:hAnsi="Arial"/>
                <w:sz w:val="16"/>
                <w:szCs w:val="16"/>
                <w:color w:val="auto"/>
                <w:w w:val="89"/>
              </w:rPr>
              <w:t>64</w:t>
            </w:r>
          </w:p>
        </w:tc>
        <w:tc>
          <w:tcPr>
            <w:tcW w:w="120" w:type="dxa"/>
            <w:vAlign w:val="bottom"/>
            <w:tcBorders>
              <w:top w:val="single" w:sz="8" w:color="C6D9F1"/>
            </w:tcBorders>
            <w:shd w:val="clear" w:color="auto" w:fill="C6D9F1"/>
          </w:tcPr>
          <w:p>
            <w:pPr>
              <w:spacing w:after="0"/>
              <w:rPr>
                <w:sz w:val="15"/>
                <w:szCs w:val="15"/>
                <w:color w:val="auto"/>
              </w:rPr>
            </w:pPr>
          </w:p>
        </w:tc>
        <w:tc>
          <w:tcPr>
            <w:tcW w:w="780" w:type="dxa"/>
            <w:vAlign w:val="bottom"/>
            <w:tcBorders>
              <w:top w:val="single" w:sz="8" w:color="auto"/>
            </w:tcBorders>
            <w:shd w:val="clear" w:color="auto" w:fill="C6D9F1"/>
          </w:tcPr>
          <w:p>
            <w:pPr>
              <w:jc w:val="center"/>
              <w:spacing w:after="0" w:line="182" w:lineRule="exact"/>
              <w:rPr>
                <w:sz w:val="20"/>
                <w:szCs w:val="20"/>
                <w:color w:val="auto"/>
              </w:rPr>
            </w:pPr>
            <w:r>
              <w:rPr>
                <w:rFonts w:ascii="Arial" w:cs="Arial" w:eastAsia="Arial" w:hAnsi="Arial"/>
                <w:sz w:val="16"/>
                <w:szCs w:val="16"/>
                <w:color w:val="auto"/>
                <w:w w:val="95"/>
              </w:rPr>
              <w:t>2020</w:t>
            </w:r>
          </w:p>
        </w:tc>
        <w:tc>
          <w:tcPr>
            <w:tcW w:w="120" w:type="dxa"/>
            <w:vAlign w:val="bottom"/>
            <w:tcBorders>
              <w:top w:val="single" w:sz="8" w:color="C6D9F1"/>
            </w:tcBorders>
            <w:shd w:val="clear" w:color="auto" w:fill="C6D9F1"/>
          </w:tcPr>
          <w:p>
            <w:pPr>
              <w:spacing w:after="0"/>
              <w:rPr>
                <w:sz w:val="15"/>
                <w:szCs w:val="15"/>
                <w:color w:val="auto"/>
              </w:rPr>
            </w:pPr>
          </w:p>
        </w:tc>
        <w:tc>
          <w:tcPr>
            <w:tcW w:w="780" w:type="dxa"/>
            <w:vAlign w:val="bottom"/>
            <w:tcBorders>
              <w:top w:val="single" w:sz="8" w:color="auto"/>
            </w:tcBorders>
            <w:shd w:val="clear" w:color="auto" w:fill="C6D9F1"/>
          </w:tcPr>
          <w:p>
            <w:pPr>
              <w:jc w:val="center"/>
              <w:spacing w:after="0" w:line="182" w:lineRule="exact"/>
              <w:rPr>
                <w:sz w:val="20"/>
                <w:szCs w:val="20"/>
                <w:color w:val="auto"/>
              </w:rPr>
            </w:pPr>
            <w:r>
              <w:rPr>
                <w:rFonts w:ascii="Arial" w:cs="Arial" w:eastAsia="Arial" w:hAnsi="Arial"/>
                <w:sz w:val="16"/>
                <w:szCs w:val="16"/>
                <w:color w:val="auto"/>
                <w:w w:val="89"/>
              </w:rPr>
              <w:t>2020</w:t>
            </w:r>
          </w:p>
        </w:tc>
        <w:tc>
          <w:tcPr>
            <w:tcW w:w="200" w:type="dxa"/>
            <w:vAlign w:val="bottom"/>
            <w:tcBorders>
              <w:top w:val="single" w:sz="8" w:color="C6D9F1"/>
            </w:tcBorders>
            <w:shd w:val="clear" w:color="auto" w:fill="C6D9F1"/>
          </w:tcPr>
          <w:p>
            <w:pPr>
              <w:spacing w:after="0"/>
              <w:rPr>
                <w:sz w:val="15"/>
                <w:szCs w:val="15"/>
                <w:color w:val="auto"/>
              </w:rPr>
            </w:pPr>
          </w:p>
        </w:tc>
        <w:tc>
          <w:tcPr>
            <w:tcW w:w="5280" w:type="dxa"/>
            <w:vAlign w:val="bottom"/>
            <w:tcBorders>
              <w:top w:val="single" w:sz="8" w:color="auto"/>
            </w:tcBorders>
            <w:shd w:val="clear" w:color="auto" w:fill="C6D9F1"/>
          </w:tcPr>
          <w:p>
            <w:pPr>
              <w:spacing w:after="0" w:line="182" w:lineRule="exact"/>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Christina E. Carroll</w:t>
            </w:r>
            <w:r>
              <w:rPr>
                <w:rFonts w:ascii="Arial" w:cs="Arial" w:eastAsia="Arial" w:hAnsi="Arial"/>
                <w:sz w:val="13"/>
                <w:szCs w:val="13"/>
                <w:color w:val="auto"/>
              </w:rPr>
              <w:t>(2)</w:t>
            </w:r>
          </w:p>
        </w:tc>
        <w:tc>
          <w:tcPr>
            <w:tcW w:w="920" w:type="dxa"/>
            <w:vAlign w:val="bottom"/>
            <w:gridSpan w:val="2"/>
          </w:tcPr>
          <w:p>
            <w:pPr>
              <w:jc w:val="center"/>
              <w:ind w:left="38"/>
              <w:spacing w:after="0"/>
              <w:rPr>
                <w:sz w:val="20"/>
                <w:szCs w:val="20"/>
                <w:color w:val="auto"/>
              </w:rPr>
            </w:pPr>
            <w:r>
              <w:rPr>
                <w:rFonts w:ascii="Arial" w:cs="Arial" w:eastAsia="Arial" w:hAnsi="Arial"/>
                <w:sz w:val="16"/>
                <w:szCs w:val="16"/>
                <w:color w:val="auto"/>
                <w:w w:val="89"/>
              </w:rPr>
              <w:t>54</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2019</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5480" w:type="dxa"/>
            <w:vAlign w:val="bottom"/>
            <w:gridSpan w:val="2"/>
          </w:tcPr>
          <w:p>
            <w:pPr>
              <w:ind w:left="200"/>
              <w:spacing w:after="0"/>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shd w:val="clear" w:color="auto" w:fill="C6D9F1"/>
          </w:tcPr>
          <w:p>
            <w:pPr>
              <w:spacing w:after="0"/>
              <w:rPr>
                <w:sz w:val="20"/>
                <w:szCs w:val="20"/>
                <w:color w:val="auto"/>
              </w:rPr>
            </w:pPr>
            <w:r>
              <w:rPr>
                <w:rFonts w:ascii="Arial" w:cs="Arial" w:eastAsia="Arial" w:hAnsi="Arial"/>
                <w:sz w:val="16"/>
                <w:szCs w:val="16"/>
                <w:color w:val="auto"/>
              </w:rPr>
              <w:t>David K. Floyd</w:t>
            </w:r>
          </w:p>
        </w:tc>
        <w:tc>
          <w:tcPr>
            <w:tcW w:w="920" w:type="dxa"/>
            <w:vAlign w:val="bottom"/>
            <w:gridSpan w:val="2"/>
            <w:shd w:val="clear" w:color="auto" w:fill="C6D9F1"/>
          </w:tcPr>
          <w:p>
            <w:pPr>
              <w:jc w:val="center"/>
              <w:ind w:left="38"/>
              <w:spacing w:after="0"/>
              <w:rPr>
                <w:sz w:val="20"/>
                <w:szCs w:val="20"/>
                <w:color w:val="auto"/>
              </w:rPr>
            </w:pPr>
            <w:r>
              <w:rPr>
                <w:rFonts w:ascii="Arial" w:cs="Arial" w:eastAsia="Arial" w:hAnsi="Arial"/>
                <w:sz w:val="16"/>
                <w:szCs w:val="16"/>
                <w:color w:val="auto"/>
                <w:w w:val="89"/>
              </w:rPr>
              <w:t>59</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95"/>
              </w:rPr>
              <w:t>2016</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2020</w:t>
            </w:r>
          </w:p>
        </w:tc>
        <w:tc>
          <w:tcPr>
            <w:tcW w:w="5480" w:type="dxa"/>
            <w:vAlign w:val="bottom"/>
            <w:gridSpan w:val="2"/>
            <w:shd w:val="clear" w:color="auto" w:fill="C6D9F1"/>
          </w:tcPr>
          <w:p>
            <w:pPr>
              <w:ind w:left="200"/>
              <w:spacing w:after="0"/>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Jeri J. Harman</w:t>
            </w:r>
            <w:r>
              <w:rPr>
                <w:rFonts w:ascii="Arial" w:cs="Arial" w:eastAsia="Arial" w:hAnsi="Arial"/>
                <w:sz w:val="13"/>
                <w:szCs w:val="13"/>
                <w:color w:val="auto"/>
              </w:rPr>
              <w:t>(3)</w:t>
            </w:r>
          </w:p>
        </w:tc>
        <w:tc>
          <w:tcPr>
            <w:tcW w:w="920" w:type="dxa"/>
            <w:vAlign w:val="bottom"/>
            <w:gridSpan w:val="2"/>
          </w:tcPr>
          <w:p>
            <w:pPr>
              <w:jc w:val="center"/>
              <w:ind w:left="38"/>
              <w:spacing w:after="0"/>
              <w:rPr>
                <w:sz w:val="20"/>
                <w:szCs w:val="20"/>
                <w:color w:val="auto"/>
              </w:rPr>
            </w:pPr>
            <w:r>
              <w:rPr>
                <w:rFonts w:ascii="Arial" w:cs="Arial" w:eastAsia="Arial" w:hAnsi="Arial"/>
                <w:sz w:val="16"/>
                <w:szCs w:val="16"/>
                <w:color w:val="auto"/>
                <w:w w:val="89"/>
              </w:rPr>
              <w:t>62</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2019</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5480" w:type="dxa"/>
            <w:vAlign w:val="bottom"/>
            <w:gridSpan w:val="2"/>
          </w:tcPr>
          <w:p>
            <w:pPr>
              <w:ind w:left="200"/>
              <w:spacing w:after="0"/>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shd w:val="clear" w:color="auto" w:fill="C6D9F1"/>
          </w:tcPr>
          <w:p>
            <w:pPr>
              <w:spacing w:after="0"/>
              <w:rPr>
                <w:sz w:val="20"/>
                <w:szCs w:val="20"/>
                <w:color w:val="auto"/>
              </w:rPr>
            </w:pPr>
            <w:r>
              <w:rPr>
                <w:rFonts w:ascii="Arial" w:cs="Arial" w:eastAsia="Arial" w:hAnsi="Arial"/>
                <w:sz w:val="16"/>
                <w:szCs w:val="16"/>
                <w:color w:val="auto"/>
              </w:rPr>
              <w:t>Steven T. Warshaw</w:t>
            </w:r>
          </w:p>
        </w:tc>
        <w:tc>
          <w:tcPr>
            <w:tcW w:w="920" w:type="dxa"/>
            <w:vAlign w:val="bottom"/>
            <w:gridSpan w:val="2"/>
            <w:shd w:val="clear" w:color="auto" w:fill="C6D9F1"/>
          </w:tcPr>
          <w:p>
            <w:pPr>
              <w:jc w:val="center"/>
              <w:ind w:left="38"/>
              <w:spacing w:after="0"/>
              <w:rPr>
                <w:sz w:val="20"/>
                <w:szCs w:val="20"/>
                <w:color w:val="auto"/>
              </w:rPr>
            </w:pPr>
            <w:r>
              <w:rPr>
                <w:rFonts w:ascii="Arial" w:cs="Arial" w:eastAsia="Arial" w:hAnsi="Arial"/>
                <w:sz w:val="16"/>
                <w:szCs w:val="16"/>
                <w:color w:val="auto"/>
                <w:w w:val="89"/>
              </w:rPr>
              <w:t>71</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95"/>
              </w:rPr>
              <w:t>1997</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2020</w:t>
            </w:r>
          </w:p>
        </w:tc>
        <w:tc>
          <w:tcPr>
            <w:tcW w:w="5480" w:type="dxa"/>
            <w:vAlign w:val="bottom"/>
            <w:gridSpan w:val="2"/>
            <w:shd w:val="clear" w:color="auto" w:fill="C6D9F1"/>
          </w:tcPr>
          <w:p>
            <w:pPr>
              <w:ind w:left="200"/>
              <w:spacing w:after="0"/>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 xml:space="preserve">Thomas H. Wilson, Jr. </w:t>
            </w:r>
            <w:r>
              <w:rPr>
                <w:rFonts w:ascii="Arial" w:cs="Arial" w:eastAsia="Arial" w:hAnsi="Arial"/>
                <w:sz w:val="13"/>
                <w:szCs w:val="13"/>
                <w:color w:val="auto"/>
              </w:rPr>
              <w:t>(4)</w:t>
            </w:r>
          </w:p>
        </w:tc>
        <w:tc>
          <w:tcPr>
            <w:tcW w:w="920" w:type="dxa"/>
            <w:vAlign w:val="bottom"/>
            <w:gridSpan w:val="2"/>
          </w:tcPr>
          <w:p>
            <w:pPr>
              <w:jc w:val="center"/>
              <w:ind w:left="38"/>
              <w:spacing w:after="0"/>
              <w:rPr>
                <w:sz w:val="20"/>
                <w:szCs w:val="20"/>
                <w:color w:val="auto"/>
              </w:rPr>
            </w:pPr>
            <w:r>
              <w:rPr>
                <w:rFonts w:ascii="Arial" w:cs="Arial" w:eastAsia="Arial" w:hAnsi="Arial"/>
                <w:sz w:val="16"/>
                <w:szCs w:val="16"/>
                <w:color w:val="auto"/>
                <w:w w:val="89"/>
              </w:rPr>
              <w:t>58</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2019</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5480" w:type="dxa"/>
            <w:vAlign w:val="bottom"/>
            <w:gridSpan w:val="2"/>
          </w:tcPr>
          <w:p>
            <w:pPr>
              <w:ind w:left="200"/>
              <w:spacing w:after="0"/>
              <w:rPr>
                <w:sz w:val="20"/>
                <w:szCs w:val="20"/>
                <w:color w:val="auto"/>
              </w:rPr>
            </w:pPr>
            <w:r>
              <w:rPr>
                <w:rFonts w:ascii="Arial" w:cs="Arial" w:eastAsia="Arial" w:hAnsi="Arial"/>
                <w:sz w:val="16"/>
                <w:szCs w:val="16"/>
                <w:color w:val="auto"/>
              </w:rPr>
              <w:t>Director Nominee</w:t>
            </w:r>
          </w:p>
        </w:tc>
      </w:tr>
      <w:tr>
        <w:trPr>
          <w:trHeight w:val="198"/>
        </w:trPr>
        <w:tc>
          <w:tcPr>
            <w:tcW w:w="3040" w:type="dxa"/>
            <w:vAlign w:val="bottom"/>
            <w:shd w:val="clear" w:color="auto" w:fill="C6D9F1"/>
          </w:tcPr>
          <w:p>
            <w:pPr>
              <w:spacing w:after="0"/>
              <w:rPr>
                <w:sz w:val="20"/>
                <w:szCs w:val="20"/>
                <w:color w:val="auto"/>
              </w:rPr>
            </w:pPr>
            <w:r>
              <w:rPr>
                <w:rFonts w:ascii="Arial" w:cs="Arial" w:eastAsia="Arial" w:hAnsi="Arial"/>
                <w:sz w:val="16"/>
                <w:szCs w:val="16"/>
                <w:color w:val="auto"/>
              </w:rPr>
              <w:t>Robert E. Brunner</w:t>
            </w:r>
          </w:p>
        </w:tc>
        <w:tc>
          <w:tcPr>
            <w:tcW w:w="920" w:type="dxa"/>
            <w:vAlign w:val="bottom"/>
            <w:gridSpan w:val="2"/>
            <w:shd w:val="clear" w:color="auto" w:fill="C6D9F1"/>
          </w:tcPr>
          <w:p>
            <w:pPr>
              <w:jc w:val="center"/>
              <w:ind w:left="38"/>
              <w:spacing w:after="0"/>
              <w:rPr>
                <w:sz w:val="20"/>
                <w:szCs w:val="20"/>
                <w:color w:val="auto"/>
              </w:rPr>
            </w:pPr>
            <w:r>
              <w:rPr>
                <w:rFonts w:ascii="Arial" w:cs="Arial" w:eastAsia="Arial" w:hAnsi="Arial"/>
                <w:sz w:val="16"/>
                <w:szCs w:val="16"/>
                <w:color w:val="auto"/>
                <w:w w:val="89"/>
              </w:rPr>
              <w:t>62</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95"/>
              </w:rPr>
              <w:t>2012</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2021</w:t>
            </w:r>
          </w:p>
        </w:tc>
        <w:tc>
          <w:tcPr>
            <w:tcW w:w="5480" w:type="dxa"/>
            <w:vAlign w:val="bottom"/>
            <w:gridSpan w:val="2"/>
            <w:shd w:val="clear" w:color="auto" w:fill="C6D9F1"/>
          </w:tcPr>
          <w:p>
            <w:pPr>
              <w:ind w:left="200"/>
              <w:spacing w:after="0"/>
              <w:rPr>
                <w:sz w:val="20"/>
                <w:szCs w:val="20"/>
                <w:color w:val="auto"/>
              </w:rPr>
            </w:pPr>
            <w:r>
              <w:rPr>
                <w:rFonts w:ascii="Arial" w:cs="Arial" w:eastAsia="Arial" w:hAnsi="Arial"/>
                <w:sz w:val="16"/>
                <w:szCs w:val="16"/>
                <w:color w:val="auto"/>
              </w:rPr>
              <w:t>Non-Executive Chairman and Director</w:t>
            </w:r>
          </w:p>
        </w:tc>
      </w:tr>
      <w:tr>
        <w:trPr>
          <w:trHeight w:val="198"/>
        </w:trPr>
        <w:tc>
          <w:tcPr>
            <w:tcW w:w="3040" w:type="dxa"/>
            <w:vAlign w:val="bottom"/>
          </w:tcPr>
          <w:p>
            <w:pPr>
              <w:spacing w:after="0"/>
              <w:rPr>
                <w:sz w:val="20"/>
                <w:szCs w:val="20"/>
                <w:color w:val="auto"/>
              </w:rPr>
            </w:pPr>
            <w:r>
              <w:rPr>
                <w:rFonts w:ascii="Arial" w:cs="Arial" w:eastAsia="Arial" w:hAnsi="Arial"/>
                <w:sz w:val="16"/>
                <w:szCs w:val="16"/>
                <w:color w:val="auto"/>
              </w:rPr>
              <w:t>David L. Pugh</w:t>
            </w:r>
            <w:r>
              <w:rPr>
                <w:rFonts w:ascii="Arial" w:cs="Arial" w:eastAsia="Arial" w:hAnsi="Arial"/>
                <w:sz w:val="13"/>
                <w:szCs w:val="13"/>
                <w:color w:val="auto"/>
              </w:rPr>
              <w:t>(5)</w:t>
            </w:r>
          </w:p>
        </w:tc>
        <w:tc>
          <w:tcPr>
            <w:tcW w:w="920" w:type="dxa"/>
            <w:vAlign w:val="bottom"/>
            <w:gridSpan w:val="2"/>
          </w:tcPr>
          <w:p>
            <w:pPr>
              <w:jc w:val="center"/>
              <w:ind w:left="38"/>
              <w:spacing w:after="0"/>
              <w:rPr>
                <w:sz w:val="20"/>
                <w:szCs w:val="20"/>
                <w:color w:val="auto"/>
              </w:rPr>
            </w:pPr>
            <w:r>
              <w:rPr>
                <w:rFonts w:ascii="Arial" w:cs="Arial" w:eastAsia="Arial" w:hAnsi="Arial"/>
                <w:sz w:val="16"/>
                <w:szCs w:val="16"/>
                <w:color w:val="auto"/>
                <w:w w:val="89"/>
              </w:rPr>
              <w:t>71</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5480" w:type="dxa"/>
            <w:vAlign w:val="bottom"/>
            <w:gridSpan w:val="2"/>
          </w:tcPr>
          <w:p>
            <w:pPr>
              <w:ind w:left="200"/>
              <w:spacing w:after="0"/>
              <w:rPr>
                <w:sz w:val="20"/>
                <w:szCs w:val="20"/>
                <w:color w:val="auto"/>
              </w:rPr>
            </w:pPr>
            <w:r>
              <w:rPr>
                <w:rFonts w:ascii="Arial" w:cs="Arial" w:eastAsia="Arial" w:hAnsi="Arial"/>
                <w:sz w:val="16"/>
                <w:szCs w:val="16"/>
                <w:color w:val="auto"/>
              </w:rPr>
              <w:t>Director</w:t>
            </w:r>
          </w:p>
        </w:tc>
      </w:tr>
      <w:tr>
        <w:trPr>
          <w:trHeight w:val="198"/>
        </w:trPr>
        <w:tc>
          <w:tcPr>
            <w:tcW w:w="3040" w:type="dxa"/>
            <w:vAlign w:val="bottom"/>
            <w:shd w:val="clear" w:color="auto" w:fill="C6D9F1"/>
          </w:tcPr>
          <w:p>
            <w:pPr>
              <w:spacing w:after="0"/>
              <w:rPr>
                <w:sz w:val="20"/>
                <w:szCs w:val="20"/>
                <w:color w:val="auto"/>
              </w:rPr>
            </w:pPr>
            <w:r>
              <w:rPr>
                <w:rFonts w:ascii="Arial" w:cs="Arial" w:eastAsia="Arial" w:hAnsi="Arial"/>
                <w:sz w:val="16"/>
                <w:szCs w:val="16"/>
                <w:color w:val="auto"/>
              </w:rPr>
              <w:t>Warren A. Veltman</w:t>
            </w:r>
            <w:r>
              <w:rPr>
                <w:rFonts w:ascii="Arial" w:cs="Arial" w:eastAsia="Arial" w:hAnsi="Arial"/>
                <w:sz w:val="13"/>
                <w:szCs w:val="13"/>
                <w:color w:val="auto"/>
              </w:rPr>
              <w:t>(6)</w:t>
            </w:r>
          </w:p>
        </w:tc>
        <w:tc>
          <w:tcPr>
            <w:tcW w:w="920" w:type="dxa"/>
            <w:vAlign w:val="bottom"/>
            <w:gridSpan w:val="2"/>
            <w:shd w:val="clear" w:color="auto" w:fill="C6D9F1"/>
          </w:tcPr>
          <w:p>
            <w:pPr>
              <w:jc w:val="center"/>
              <w:ind w:left="38"/>
              <w:spacing w:after="0"/>
              <w:rPr>
                <w:sz w:val="20"/>
                <w:szCs w:val="20"/>
                <w:color w:val="auto"/>
              </w:rPr>
            </w:pPr>
            <w:r>
              <w:rPr>
                <w:rFonts w:ascii="Arial" w:cs="Arial" w:eastAsia="Arial" w:hAnsi="Arial"/>
                <w:sz w:val="16"/>
                <w:szCs w:val="16"/>
                <w:color w:val="auto"/>
                <w:w w:val="89"/>
              </w:rPr>
              <w:t>58</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95"/>
              </w:rPr>
              <w:t>2019</w:t>
            </w:r>
          </w:p>
        </w:tc>
        <w:tc>
          <w:tcPr>
            <w:tcW w:w="120" w:type="dxa"/>
            <w:vAlign w:val="bottom"/>
            <w:shd w:val="clear" w:color="auto" w:fill="C6D9F1"/>
          </w:tcPr>
          <w:p>
            <w:pPr>
              <w:spacing w:after="0"/>
              <w:rPr>
                <w:sz w:val="17"/>
                <w:szCs w:val="17"/>
                <w:color w:val="auto"/>
              </w:rPr>
            </w:pPr>
          </w:p>
        </w:tc>
        <w:tc>
          <w:tcPr>
            <w:tcW w:w="780" w:type="dxa"/>
            <w:vAlign w:val="bottom"/>
            <w:shd w:val="clear" w:color="auto" w:fill="C6D9F1"/>
          </w:tcPr>
          <w:p>
            <w:pPr>
              <w:jc w:val="center"/>
              <w:spacing w:after="0"/>
              <w:rPr>
                <w:sz w:val="20"/>
                <w:szCs w:val="20"/>
                <w:color w:val="auto"/>
              </w:rPr>
            </w:pPr>
            <w:r>
              <w:rPr>
                <w:rFonts w:ascii="Arial" w:cs="Arial" w:eastAsia="Arial" w:hAnsi="Arial"/>
                <w:sz w:val="16"/>
                <w:szCs w:val="16"/>
                <w:color w:val="auto"/>
                <w:w w:val="89"/>
              </w:rPr>
              <w:t>2021</w:t>
            </w:r>
          </w:p>
        </w:tc>
        <w:tc>
          <w:tcPr>
            <w:tcW w:w="5480" w:type="dxa"/>
            <w:vAlign w:val="bottom"/>
            <w:gridSpan w:val="2"/>
            <w:shd w:val="clear" w:color="auto" w:fill="C6D9F1"/>
          </w:tcPr>
          <w:p>
            <w:pPr>
              <w:ind w:left="200"/>
              <w:spacing w:after="0"/>
              <w:rPr>
                <w:sz w:val="20"/>
                <w:szCs w:val="20"/>
                <w:color w:val="auto"/>
              </w:rPr>
            </w:pPr>
            <w:r>
              <w:rPr>
                <w:rFonts w:ascii="Arial" w:cs="Arial" w:eastAsia="Arial" w:hAnsi="Arial"/>
                <w:sz w:val="16"/>
                <w:szCs w:val="16"/>
                <w:color w:val="auto"/>
              </w:rPr>
              <w:t>Director, President and Chief Executive Officer</w:t>
            </w:r>
          </w:p>
        </w:tc>
      </w:tr>
      <w:tr>
        <w:trPr>
          <w:trHeight w:val="198"/>
        </w:trPr>
        <w:tc>
          <w:tcPr>
            <w:tcW w:w="3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left="401" w:right="300" w:hanging="401"/>
        <w:spacing w:after="0" w:line="264" w:lineRule="auto"/>
        <w:tabs>
          <w:tab w:leader="none" w:pos="4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Benvenuti was appointed by the Board to serve as a Class III director until the 2020 annual meeting of stockholders upon expansion of the size of the Board from eight to nine members, effective as of January 31, 2020.</w:t>
      </w:r>
    </w:p>
    <w:p>
      <w:pPr>
        <w:spacing w:after="0" w:line="1" w:lineRule="exact"/>
        <w:rPr>
          <w:rFonts w:ascii="Arial" w:cs="Arial" w:eastAsia="Arial" w:hAnsi="Arial"/>
          <w:sz w:val="16"/>
          <w:szCs w:val="16"/>
          <w:color w:val="auto"/>
        </w:rPr>
      </w:pPr>
    </w:p>
    <w:p>
      <w:pPr>
        <w:ind w:left="401" w:right="160" w:hanging="401"/>
        <w:spacing w:after="0" w:line="257" w:lineRule="auto"/>
        <w:tabs>
          <w:tab w:leader="none" w:pos="4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Ms. Carroll was appointed by the Board, effective as of December 27, 2019, to fill the vacancy created by Janice Stipp’s resignation, effective as of November 14, 2019.</w:t>
      </w:r>
    </w:p>
    <w:p>
      <w:pPr>
        <w:spacing w:after="0" w:line="1" w:lineRule="exact"/>
        <w:rPr>
          <w:rFonts w:ascii="Arial" w:cs="Arial" w:eastAsia="Arial" w:hAnsi="Arial"/>
          <w:sz w:val="16"/>
          <w:szCs w:val="16"/>
          <w:color w:val="auto"/>
        </w:rPr>
      </w:pPr>
    </w:p>
    <w:p>
      <w:pPr>
        <w:ind w:left="401" w:right="480" w:hanging="401"/>
        <w:spacing w:after="0" w:line="257" w:lineRule="auto"/>
        <w:tabs>
          <w:tab w:leader="none" w:pos="4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Ms. Harman was appointed by the Board to serve as a Class I director until the 2020 annual meeting of stockholders upon expansion of the size of the Board, effective as of February 25, 2019.</w:t>
      </w:r>
    </w:p>
    <w:p>
      <w:pPr>
        <w:spacing w:after="0" w:line="1" w:lineRule="exact"/>
        <w:rPr>
          <w:rFonts w:ascii="Arial" w:cs="Arial" w:eastAsia="Arial" w:hAnsi="Arial"/>
          <w:sz w:val="16"/>
          <w:szCs w:val="16"/>
          <w:color w:val="auto"/>
        </w:rPr>
      </w:pPr>
    </w:p>
    <w:p>
      <w:pPr>
        <w:ind w:left="401" w:right="140" w:hanging="401"/>
        <w:spacing w:after="0" w:line="257" w:lineRule="auto"/>
        <w:tabs>
          <w:tab w:leader="none" w:pos="4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Wilson was appointed by the Board, effective as of December 27, 2019, to fill the vacancy created by Carey Smith’s resignation, effective as of November 14, 2019.</w:t>
      </w:r>
    </w:p>
    <w:p>
      <w:pPr>
        <w:spacing w:after="0" w:line="1" w:lineRule="exact"/>
        <w:rPr>
          <w:rFonts w:ascii="Arial" w:cs="Arial" w:eastAsia="Arial" w:hAnsi="Arial"/>
          <w:sz w:val="16"/>
          <w:szCs w:val="16"/>
          <w:color w:val="auto"/>
        </w:rPr>
      </w:pPr>
    </w:p>
    <w:p>
      <w:pPr>
        <w:ind w:left="401" w:hanging="401"/>
        <w:spacing w:after="0"/>
        <w:tabs>
          <w:tab w:leader="none" w:pos="4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Pugh will retire from the Board and has tendered his resignation effective as of the date of the Annual Meeting.</w:t>
      </w:r>
    </w:p>
    <w:p>
      <w:pPr>
        <w:spacing w:after="0" w:line="13" w:lineRule="exact"/>
        <w:rPr>
          <w:rFonts w:ascii="Arial" w:cs="Arial" w:eastAsia="Arial" w:hAnsi="Arial"/>
          <w:sz w:val="16"/>
          <w:szCs w:val="16"/>
          <w:color w:val="auto"/>
        </w:rPr>
      </w:pPr>
    </w:p>
    <w:p>
      <w:pPr>
        <w:ind w:left="401" w:right="500" w:hanging="401"/>
        <w:spacing w:after="0" w:line="275" w:lineRule="auto"/>
        <w:tabs>
          <w:tab w:leader="none" w:pos="4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Veltman was appointed by the Board, effective as of September 16, 2019, to fill the vacancy created by the resignation of our former President and Chief Executive Officer, Richard D. Holder, effective as of September 13, 2019.</w:t>
      </w:r>
    </w:p>
    <w:p>
      <w:pPr>
        <w:spacing w:after="0" w:line="156" w:lineRule="exact"/>
        <w:rPr>
          <w:sz w:val="20"/>
          <w:szCs w:val="20"/>
          <w:color w:val="auto"/>
        </w:rPr>
      </w:pPr>
    </w:p>
    <w:p>
      <w:pPr>
        <w:ind w:left="1" w:right="20" w:firstLine="539"/>
        <w:spacing w:after="0" w:line="305" w:lineRule="auto"/>
        <w:rPr>
          <w:sz w:val="20"/>
          <w:szCs w:val="20"/>
          <w:color w:val="auto"/>
        </w:rPr>
      </w:pPr>
      <w:r>
        <w:rPr>
          <w:rFonts w:ascii="Arial" w:cs="Arial" w:eastAsia="Arial" w:hAnsi="Arial"/>
          <w:sz w:val="14"/>
          <w:szCs w:val="14"/>
          <w:b w:val="1"/>
          <w:bCs w:val="1"/>
          <w:color w:val="auto"/>
        </w:rPr>
        <w:t xml:space="preserve">Raynard D. Benvenuti </w:t>
      </w:r>
      <w:r>
        <w:rPr>
          <w:rFonts w:ascii="Arial" w:cs="Arial" w:eastAsia="Arial" w:hAnsi="Arial"/>
          <w:sz w:val="14"/>
          <w:szCs w:val="14"/>
          <w:color w:val="auto"/>
        </w:rPr>
        <w:t>has been a member of the Board since January 2020. Mr. Benvenuti founded Concord Investment Partners, a boutique investment and</w:t>
      </w:r>
      <w:r>
        <w:rPr>
          <w:rFonts w:ascii="Arial" w:cs="Arial" w:eastAsia="Arial" w:hAnsi="Arial"/>
          <w:sz w:val="14"/>
          <w:szCs w:val="14"/>
          <w:b w:val="1"/>
          <w:bCs w:val="1"/>
          <w:color w:val="auto"/>
        </w:rPr>
        <w:t xml:space="preserve"> </w:t>
      </w:r>
      <w:r>
        <w:rPr>
          <w:rFonts w:ascii="Arial" w:cs="Arial" w:eastAsia="Arial" w:hAnsi="Arial"/>
          <w:sz w:val="14"/>
          <w:szCs w:val="14"/>
          <w:color w:val="auto"/>
        </w:rPr>
        <w:t>advisory firm that invests in engineering-centric industries including aerospace, automotive and industrial manufacturing/distribution companies in 1996, and continues to serve as its Managing Director.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he worked at Forstmann Little &amp; Co., a private equity firm, and McKinsey &amp; Company, a global management consulting firm, where he advised high technology and industrial sector clients in the areas of strategic planning and operational improvement.</w:t>
      </w:r>
    </w:p>
    <w:p>
      <w:pPr>
        <w:spacing w:after="0" w:line="146" w:lineRule="exact"/>
        <w:rPr>
          <w:sz w:val="20"/>
          <w:szCs w:val="20"/>
          <w:color w:val="auto"/>
        </w:rPr>
      </w:pPr>
    </w:p>
    <w:p>
      <w:pPr>
        <w:ind w:left="1" w:right="760" w:firstLine="539"/>
        <w:spacing w:after="0" w:line="365" w:lineRule="auto"/>
        <w:rPr>
          <w:sz w:val="20"/>
          <w:szCs w:val="20"/>
          <w:color w:val="auto"/>
        </w:rPr>
      </w:pPr>
      <w:r>
        <w:rPr>
          <w:rFonts w:ascii="Arial" w:cs="Arial" w:eastAsia="Arial" w:hAnsi="Arial"/>
          <w:sz w:val="14"/>
          <w:szCs w:val="14"/>
          <w:color w:val="auto"/>
        </w:rPr>
        <w:t>Mr. Benvenuti brings to the board extensive experience as a senior executive, director and advisor to various aerospace, automotive and manufacturing companies, including in turnaround and highly leveraged situations, as well as valuable strategic, financial, operational and corporate governance expertise.</w:t>
      </w:r>
    </w:p>
    <w:p>
      <w:pPr>
        <w:spacing w:after="0" w:line="99" w:lineRule="exact"/>
        <w:rPr>
          <w:sz w:val="20"/>
          <w:szCs w:val="20"/>
          <w:color w:val="auto"/>
        </w:rPr>
      </w:pPr>
    </w:p>
    <w:p>
      <w:pPr>
        <w:ind w:left="1" w:right="100" w:firstLine="539"/>
        <w:spacing w:after="0" w:line="293" w:lineRule="auto"/>
        <w:rPr>
          <w:sz w:val="20"/>
          <w:szCs w:val="20"/>
          <w:color w:val="auto"/>
        </w:rPr>
      </w:pPr>
      <w:r>
        <w:rPr>
          <w:rFonts w:ascii="Arial" w:cs="Arial" w:eastAsia="Arial" w:hAnsi="Arial"/>
          <w:sz w:val="15"/>
          <w:szCs w:val="15"/>
          <w:b w:val="1"/>
          <w:bCs w:val="1"/>
          <w:color w:val="auto"/>
        </w:rPr>
        <w:t xml:space="preserve">Christina E. Carroll </w:t>
      </w:r>
      <w:r>
        <w:rPr>
          <w:rFonts w:ascii="Arial" w:cs="Arial" w:eastAsia="Arial" w:hAnsi="Arial"/>
          <w:sz w:val="15"/>
          <w:szCs w:val="15"/>
          <w:color w:val="auto"/>
        </w:rPr>
        <w:t>has been a member of the Board since December 2019. Since 2012, Ms. Carroll has been a managing director at Stout Risius Ross, LLC</w:t>
      </w:r>
      <w:r>
        <w:rPr>
          <w:rFonts w:ascii="Arial" w:cs="Arial" w:eastAsia="Arial" w:hAnsi="Arial"/>
          <w:sz w:val="15"/>
          <w:szCs w:val="15"/>
          <w:b w:val="1"/>
          <w:bCs w:val="1"/>
          <w:color w:val="auto"/>
        </w:rPr>
        <w:t xml:space="preserve"> </w:t>
      </w:r>
      <w:r>
        <w:rPr>
          <w:rFonts w:ascii="Arial" w:cs="Arial" w:eastAsia="Arial" w:hAnsi="Arial"/>
          <w:sz w:val="15"/>
          <w:szCs w:val="15"/>
          <w:color w:val="auto"/>
        </w:rPr>
        <w:t>(“Stout”) where she has been responsible for originating and executing valuations, fairness opinions and other transaction related financial advisory services across multiple industries. Prior to joining Stout, Ms. Carroll was a director of financial advisory services at Houlihan Lokey, Inc. She also previously held managerial positions at Ernst &amp; Young LLP (“Ernst &amp; Young”), including a partner in valuation and transaction advisory services, and is a Chartered Financial Analyst.</w:t>
      </w:r>
    </w:p>
    <w:p>
      <w:pPr>
        <w:spacing w:after="0" w:line="150" w:lineRule="exact"/>
        <w:rPr>
          <w:sz w:val="20"/>
          <w:szCs w:val="20"/>
          <w:color w:val="auto"/>
        </w:rPr>
      </w:pPr>
    </w:p>
    <w:p>
      <w:pPr>
        <w:ind w:left="1" w:right="220" w:firstLine="539"/>
        <w:spacing w:after="0" w:line="325" w:lineRule="auto"/>
        <w:rPr>
          <w:sz w:val="20"/>
          <w:szCs w:val="20"/>
          <w:color w:val="auto"/>
        </w:rPr>
      </w:pPr>
      <w:r>
        <w:rPr>
          <w:rFonts w:ascii="Arial" w:cs="Arial" w:eastAsia="Arial" w:hAnsi="Arial"/>
          <w:sz w:val="15"/>
          <w:szCs w:val="15"/>
          <w:color w:val="auto"/>
        </w:rPr>
        <w:t>Ms. Carroll brings to the board over of 30 years of experience in finance, valuation, strategy, capital markets, restructuring, and mergers and acquisitions. This experience, and her prior service as a director of The Chefs’ Warehouse, a publicly traded company, enables her to provide important perspectives to the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642" w:right="339" w:bottom="1440" w:gutter="0" w:footer="0" w:header="0"/>
        </w:sectPr>
      </w:pPr>
    </w:p>
    <w:bookmarkStart w:id="13" w:name="page14"/>
    <w:bookmarkEnd w:id="13"/>
    <w:p>
      <w:pPr>
        <w:ind w:firstLine="539"/>
        <w:spacing w:after="0" w:line="265" w:lineRule="auto"/>
        <w:rPr>
          <w:sz w:val="20"/>
          <w:szCs w:val="20"/>
          <w:color w:val="auto"/>
        </w:rPr>
      </w:pPr>
      <w:r>
        <w:rPr>
          <w:rFonts w:ascii="Arial" w:cs="Arial" w:eastAsia="Arial" w:hAnsi="Arial"/>
          <w:sz w:val="16"/>
          <w:szCs w:val="16"/>
          <w:b w:val="1"/>
          <w:bCs w:val="1"/>
          <w:color w:val="auto"/>
        </w:rPr>
        <w:t xml:space="preserve">David K. Floyd </w:t>
      </w:r>
      <w:r>
        <w:rPr>
          <w:rFonts w:ascii="Arial" w:cs="Arial" w:eastAsia="Arial" w:hAnsi="Arial"/>
          <w:sz w:val="16"/>
          <w:szCs w:val="16"/>
          <w:color w:val="auto"/>
        </w:rPr>
        <w:t>has been a member of the Board since 2016. David K. Floyd has been a member of the Board since 2016. From 2012 to June 2019, Mr. Floyd</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a Group President of Stryker Corporation, a leading global medical technology company. From 2007 to 2011, Mr. Floyd served as the U.S. President, and then Worldwide President, of Johnson &amp; Johnson’s DePuy Orthopaedics. Prior thereto, Mr. Floyd has served in senior leadership positions with leading medical technology companies, including the Spine Division of Abbott Laboratories, OrthoLogic Corporation and Zimmer, Inc., and with several emerging medical device technology companies. Mr. Floyd was also a director of OrthoWorx, a business league founded to support the orthopedic industry, and served as its first Chief Executive Officer from 2011 to 2012.</w:t>
      </w:r>
    </w:p>
    <w:p>
      <w:pPr>
        <w:spacing w:after="0" w:line="168" w:lineRule="exact"/>
        <w:rPr>
          <w:sz w:val="20"/>
          <w:szCs w:val="20"/>
          <w:color w:val="auto"/>
        </w:rPr>
      </w:pPr>
    </w:p>
    <w:p>
      <w:pPr>
        <w:ind w:right="260" w:firstLine="539"/>
        <w:spacing w:after="0" w:line="268" w:lineRule="auto"/>
        <w:rPr>
          <w:sz w:val="20"/>
          <w:szCs w:val="20"/>
          <w:color w:val="auto"/>
        </w:rPr>
      </w:pPr>
      <w:r>
        <w:rPr>
          <w:rFonts w:ascii="Arial" w:cs="Arial" w:eastAsia="Arial" w:hAnsi="Arial"/>
          <w:sz w:val="16"/>
          <w:szCs w:val="16"/>
          <w:color w:val="auto"/>
        </w:rPr>
        <w:t>Mr. Floyd’s 32- year career as a leader in the life sciences industry, including serving as president and CEO of several leading medical technology companies, provides us deep and valuable insight into our life sciences business. His nearly 20 years of general management experience provides expertise on a broad range of company matters, including mergers and acquisitions, global business and operations and product commercialization. Mr. Floyd is also a National Association of Corporate Directors (NACD) Governance Fellow and serves as our Governance Committee Chairman.</w:t>
      </w:r>
    </w:p>
    <w:p>
      <w:pPr>
        <w:spacing w:after="0" w:line="162" w:lineRule="exact"/>
        <w:rPr>
          <w:sz w:val="20"/>
          <w:szCs w:val="20"/>
          <w:color w:val="auto"/>
        </w:rPr>
      </w:pPr>
    </w:p>
    <w:p>
      <w:pPr>
        <w:ind w:right="20" w:firstLine="539"/>
        <w:spacing w:after="0" w:line="265" w:lineRule="auto"/>
        <w:rPr>
          <w:sz w:val="20"/>
          <w:szCs w:val="20"/>
          <w:color w:val="auto"/>
        </w:rPr>
      </w:pPr>
      <w:r>
        <w:rPr>
          <w:rFonts w:ascii="Arial" w:cs="Arial" w:eastAsia="Arial" w:hAnsi="Arial"/>
          <w:sz w:val="16"/>
          <w:szCs w:val="16"/>
          <w:b w:val="1"/>
          <w:bCs w:val="1"/>
          <w:color w:val="auto"/>
        </w:rPr>
        <w:t xml:space="preserve">Jeri J. Harman </w:t>
      </w:r>
      <w:r>
        <w:rPr>
          <w:rFonts w:ascii="Arial" w:cs="Arial" w:eastAsia="Arial" w:hAnsi="Arial"/>
          <w:sz w:val="16"/>
          <w:szCs w:val="16"/>
          <w:color w:val="auto"/>
        </w:rPr>
        <w:t>has been a member of the Board since February 2019. Jeri Harman is a Founder &amp; Chairman of Avante Capital Partners. With over $465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of capital under management, Avante makes unitranche and subordinated debt and minority equity investments to finance buyouts, minority recaps, acquisitions and growth. In 2018, Avante Capital Partners was named Small Business Investment Company (SBIC) of the Year by the U. S. Small Business Administration (SBA). The firm was also named Women-Owned Firm of the Year 2018 by Private Equity Women Investor Network (PEWIN). Prior to founding Avante, Ms. Harman started-up and led the Los Angeles offices for two multi-billion publicly traded private equity and mezzanine investment funds – American Capital and more recently Allied Capital, where she was also a member of Allied’s Investment Committee.</w:t>
      </w:r>
    </w:p>
    <w:p>
      <w:pPr>
        <w:spacing w:after="0" w:line="168" w:lineRule="exact"/>
        <w:rPr>
          <w:sz w:val="20"/>
          <w:szCs w:val="20"/>
          <w:color w:val="auto"/>
        </w:rPr>
      </w:pPr>
    </w:p>
    <w:p>
      <w:pPr>
        <w:ind w:right="260" w:firstLine="539"/>
        <w:spacing w:after="0" w:line="330" w:lineRule="auto"/>
        <w:rPr>
          <w:sz w:val="20"/>
          <w:szCs w:val="20"/>
          <w:color w:val="auto"/>
        </w:rPr>
      </w:pPr>
      <w:r>
        <w:rPr>
          <w:rFonts w:ascii="Arial" w:cs="Arial" w:eastAsia="Arial" w:hAnsi="Arial"/>
          <w:sz w:val="14"/>
          <w:szCs w:val="14"/>
          <w:color w:val="auto"/>
        </w:rPr>
        <w:t>Ms. Harman has over 30 years of financing experience, involving well over $1 billion in aggregate investments. She has extensive experience in capital allocation, mergers and acquisitions and financial strategy matters. These skills, along with her broad background in management and organizational development, strategic planning and balance sheet management, and her service on the boards of a number of private companies, enables her to bring valuable insights to our board.</w:t>
      </w:r>
    </w:p>
    <w:p>
      <w:pPr>
        <w:spacing w:after="0" w:line="122" w:lineRule="exact"/>
        <w:rPr>
          <w:sz w:val="20"/>
          <w:szCs w:val="20"/>
          <w:color w:val="auto"/>
        </w:rPr>
      </w:pPr>
    </w:p>
    <w:p>
      <w:pPr>
        <w:ind w:firstLine="539"/>
        <w:spacing w:after="0" w:line="282" w:lineRule="auto"/>
        <w:rPr>
          <w:sz w:val="20"/>
          <w:szCs w:val="20"/>
          <w:color w:val="auto"/>
        </w:rPr>
      </w:pPr>
      <w:r>
        <w:rPr>
          <w:rFonts w:ascii="Arial" w:cs="Arial" w:eastAsia="Arial" w:hAnsi="Arial"/>
          <w:sz w:val="15"/>
          <w:szCs w:val="15"/>
          <w:b w:val="1"/>
          <w:bCs w:val="1"/>
          <w:color w:val="auto"/>
        </w:rPr>
        <w:t xml:space="preserve">Steven T. Warshaw </w:t>
      </w:r>
      <w:r>
        <w:rPr>
          <w:rFonts w:ascii="Arial" w:cs="Arial" w:eastAsia="Arial" w:hAnsi="Arial"/>
          <w:sz w:val="15"/>
          <w:szCs w:val="15"/>
          <w:color w:val="auto"/>
        </w:rPr>
        <w:t>has been a member of the Board since 1997. Mr. Warshaw retired in 2005 from M Cubed Technologies, a developer and manufacturer of</w:t>
      </w:r>
      <w:r>
        <w:rPr>
          <w:rFonts w:ascii="Arial" w:cs="Arial" w:eastAsia="Arial" w:hAnsi="Arial"/>
          <w:sz w:val="15"/>
          <w:szCs w:val="15"/>
          <w:b w:val="1"/>
          <w:bCs w:val="1"/>
          <w:color w:val="auto"/>
        </w:rPr>
        <w:t xml:space="preserve"> </w:t>
      </w:r>
      <w:r>
        <w:rPr>
          <w:rFonts w:ascii="Arial" w:cs="Arial" w:eastAsia="Arial" w:hAnsi="Arial"/>
          <w:sz w:val="15"/>
          <w:szCs w:val="15"/>
          <w:color w:val="auto"/>
        </w:rPr>
        <w:t>advanced composite materials and ultra-precise electronic components and modules where he served as President and Chief Executive Officer since 2002. Prior to this position, he served as President of Hexcel Schwebel, a global producer of advanced structural materials, from 2000 to 2001. Mr. Warshaw served as Senior Vice President of Photronics, Inc., a global supplier to the semiconductor industry from 1999 to 2000. From 1996 to 1999, he served as President of Olin Microelectronic Materials, a company supplying technologically advanced chemicals, products, and services to semiconductor manufacturers. Mr. Warshaw serves on the board of directors of Park Electrochemical Corp., a publicly held advanced materials manufacturing company. Mr. Warshaw brings to the Board considerable executive experience as well as providing the benefit of service on the board of directors of a publicly traded company. Mr. Warshaw has extensive knowledge and brings insights and perspectives from positions he has held in important areas, including global operations, product development, marketing and executive compensation.</w:t>
      </w:r>
    </w:p>
    <w:p>
      <w:pPr>
        <w:spacing w:after="0" w:line="157" w:lineRule="exact"/>
        <w:rPr>
          <w:sz w:val="20"/>
          <w:szCs w:val="20"/>
          <w:color w:val="auto"/>
        </w:rPr>
      </w:pPr>
    </w:p>
    <w:p>
      <w:pPr>
        <w:ind w:right="60" w:firstLine="539"/>
        <w:spacing w:after="0" w:line="265" w:lineRule="auto"/>
        <w:rPr>
          <w:sz w:val="20"/>
          <w:szCs w:val="20"/>
          <w:color w:val="auto"/>
        </w:rPr>
      </w:pPr>
      <w:r>
        <w:rPr>
          <w:rFonts w:ascii="Arial" w:cs="Arial" w:eastAsia="Arial" w:hAnsi="Arial"/>
          <w:sz w:val="16"/>
          <w:szCs w:val="16"/>
          <w:b w:val="1"/>
          <w:bCs w:val="1"/>
          <w:color w:val="auto"/>
        </w:rPr>
        <w:t xml:space="preserve">Thomas H. Wilson, Jr. </w:t>
      </w:r>
      <w:r>
        <w:rPr>
          <w:rFonts w:ascii="Arial" w:cs="Arial" w:eastAsia="Arial" w:hAnsi="Arial"/>
          <w:sz w:val="16"/>
          <w:szCs w:val="16"/>
          <w:color w:val="auto"/>
        </w:rPr>
        <w:t>has been a member of the Board since December 2019. Mr. Wilson is a Managing Partner at DecisionPoint Advisors, LLC in Charlotte,</w:t>
      </w:r>
      <w:r>
        <w:rPr>
          <w:rFonts w:ascii="Arial" w:cs="Arial" w:eastAsia="Arial" w:hAnsi="Arial"/>
          <w:sz w:val="16"/>
          <w:szCs w:val="16"/>
          <w:b w:val="1"/>
          <w:bCs w:val="1"/>
          <w:color w:val="auto"/>
        </w:rPr>
        <w:t xml:space="preserve"> </w:t>
      </w:r>
      <w:r>
        <w:rPr>
          <w:rFonts w:ascii="Arial" w:cs="Arial" w:eastAsia="Arial" w:hAnsi="Arial"/>
          <w:sz w:val="16"/>
          <w:szCs w:val="16"/>
          <w:color w:val="auto"/>
        </w:rPr>
        <w:t>N.C., a specialized merger and acquisition advisory firm for mid-market technology companies.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 Mr. Wilson is a member of the board of directors of Jack Henry &amp; Associates, LLC, a financial services technology company, and serves as the Chair of its Audit Committee and a member of the Compensation Committee.</w:t>
      </w:r>
    </w:p>
    <w:p>
      <w:pPr>
        <w:spacing w:after="0" w:line="168" w:lineRule="exact"/>
        <w:rPr>
          <w:sz w:val="20"/>
          <w:szCs w:val="20"/>
          <w:color w:val="auto"/>
        </w:rPr>
      </w:pPr>
    </w:p>
    <w:p>
      <w:pPr>
        <w:ind w:right="180" w:firstLine="539"/>
        <w:spacing w:after="0" w:line="268" w:lineRule="auto"/>
        <w:rPr>
          <w:sz w:val="20"/>
          <w:szCs w:val="20"/>
          <w:color w:val="auto"/>
        </w:rPr>
      </w:pPr>
      <w:r>
        <w:rPr>
          <w:rFonts w:ascii="Arial" w:cs="Arial" w:eastAsia="Arial" w:hAnsi="Arial"/>
          <w:sz w:val="16"/>
          <w:szCs w:val="16"/>
          <w:color w:val="auto"/>
        </w:rPr>
        <w:t>Mr. Wilson has over 35 years of business experience and has significant buy-side and sell-side transaction experience. He has a strong background in financial controls, auditing, financial management and accounting, and mergers and acquisitions. Ms. Wilson’s years of senior-level executive management and financial experience, and current service as the chair of the audit committee of a publicly traded company, brings valuable knowledge and experience to the Company’s Audit Committee.</w:t>
      </w:r>
    </w:p>
    <w:p>
      <w:pPr>
        <w:spacing w:after="0" w:line="162" w:lineRule="exact"/>
        <w:rPr>
          <w:sz w:val="20"/>
          <w:szCs w:val="20"/>
          <w:color w:val="auto"/>
        </w:rPr>
      </w:pPr>
    </w:p>
    <w:p>
      <w:pPr>
        <w:ind w:right="20" w:firstLine="539"/>
        <w:spacing w:after="0" w:line="302" w:lineRule="auto"/>
        <w:rPr>
          <w:sz w:val="20"/>
          <w:szCs w:val="20"/>
          <w:color w:val="auto"/>
        </w:rPr>
      </w:pPr>
      <w:r>
        <w:rPr>
          <w:rFonts w:ascii="Arial" w:cs="Arial" w:eastAsia="Arial" w:hAnsi="Arial"/>
          <w:sz w:val="15"/>
          <w:szCs w:val="15"/>
          <w:b w:val="1"/>
          <w:bCs w:val="1"/>
          <w:color w:val="auto"/>
        </w:rPr>
        <w:t xml:space="preserve">Robert E. Brunner </w:t>
      </w:r>
      <w:r>
        <w:rPr>
          <w:rFonts w:ascii="Arial" w:cs="Arial" w:eastAsia="Arial" w:hAnsi="Arial"/>
          <w:sz w:val="15"/>
          <w:szCs w:val="15"/>
          <w:color w:val="auto"/>
        </w:rPr>
        <w:t>has been a member of the Board since 2012. He was appointed Non-Executive Chairman of the Board in May 2017. Mr. Brunner was the</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Vice President of Illinois Tool Works (ITW), a Fortune 250 global, multi-industrial manufacturer of advanced industrial technology, from 2006 until his retirement in 2012. He previously served ITW as President—Global Auto beginning in 2005 and President—North American Auto from 2003. Mr. Brunner serves on the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00"/>
          </w:cols>
          <w:pgMar w:left="320" w:top="543" w:right="379" w:bottom="1440" w:gutter="0" w:footer="0" w:header="0"/>
        </w:sectPr>
      </w:pPr>
    </w:p>
    <w:bookmarkStart w:id="14" w:name="page15"/>
    <w:bookmarkEnd w:id="14"/>
    <w:p>
      <w:pPr>
        <w:ind w:right="140"/>
        <w:spacing w:after="0" w:line="289" w:lineRule="auto"/>
        <w:rPr>
          <w:sz w:val="20"/>
          <w:szCs w:val="20"/>
          <w:color w:val="auto"/>
        </w:rPr>
      </w:pPr>
      <w:r>
        <w:rPr>
          <w:rFonts w:ascii="Arial" w:cs="Arial" w:eastAsia="Arial" w:hAnsi="Arial"/>
          <w:sz w:val="16"/>
          <w:szCs w:val="16"/>
          <w:color w:val="auto"/>
        </w:rPr>
        <w:t>board of directors of Leggett &amp; Platt, Incorporated, a publicly held diversified manufacturer of engineered components and products and Lindsay Corporation, a publicly held global a global manufacturer of irrigation equipment and road safety products.</w:t>
      </w:r>
    </w:p>
    <w:p>
      <w:pPr>
        <w:spacing w:after="0" w:line="150" w:lineRule="exact"/>
        <w:rPr>
          <w:sz w:val="20"/>
          <w:szCs w:val="20"/>
          <w:color w:val="auto"/>
        </w:rPr>
      </w:pPr>
    </w:p>
    <w:p>
      <w:pPr>
        <w:ind w:right="80" w:firstLine="539"/>
        <w:spacing w:after="0" w:line="268" w:lineRule="auto"/>
        <w:rPr>
          <w:sz w:val="20"/>
          <w:szCs w:val="20"/>
          <w:color w:val="auto"/>
        </w:rPr>
      </w:pPr>
      <w:r>
        <w:rPr>
          <w:rFonts w:ascii="Arial" w:cs="Arial" w:eastAsia="Arial" w:hAnsi="Arial"/>
          <w:sz w:val="16"/>
          <w:szCs w:val="16"/>
          <w:color w:val="auto"/>
        </w:rPr>
        <w:t>Mr. Brunner brings to the Board broad industry knowledge, executive leadership experience and extensive experience with mergers and acquisitions. Mr. Brunner’s experience and leadership with ITW, a diversified manufacturer with a global footprint, provides valuable insight to our Board on automotive strategy, business development, mergers and acquisitions, operations, and international issues. Additionally, his extensive public company board experience and leadership provides the Board with valuable insight regarding corporate governance matters.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 xml:space="preserve">Warren A. Veltman </w:t>
      </w:r>
      <w:r>
        <w:rPr>
          <w:rFonts w:ascii="Arial" w:cs="Arial" w:eastAsia="Arial" w:hAnsi="Arial"/>
          <w:sz w:val="16"/>
          <w:szCs w:val="16"/>
          <w:color w:val="auto"/>
        </w:rPr>
        <w:t>has been a member of the Board since September 2019 and was named President and Chief Executive Officer in September</w:t>
      </w:r>
    </w:p>
    <w:p>
      <w:pPr>
        <w:spacing w:after="0" w:line="2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2019. Previously, Mr. Veltman served as our Senior Vice President of our Mobile Solutions Group since September 2014. Prior to joining us, Mr. Veltman served as Chief Financial Officer of Autocam Corporation from 1990 and Secretary and Treasurer since 1991. Prior to Mr. Veltman’s service at Autocam, Mr. Veltman was an Audit Manager with Deloitte &amp; Touche LLP.</w:t>
      </w:r>
    </w:p>
    <w:p>
      <w:pPr>
        <w:spacing w:after="0" w:line="168" w:lineRule="exact"/>
        <w:rPr>
          <w:sz w:val="20"/>
          <w:szCs w:val="20"/>
          <w:color w:val="auto"/>
        </w:rPr>
      </w:pPr>
    </w:p>
    <w:p>
      <w:pPr>
        <w:ind w:right="200" w:firstLine="539"/>
        <w:spacing w:after="0" w:line="300" w:lineRule="auto"/>
        <w:rPr>
          <w:sz w:val="20"/>
          <w:szCs w:val="20"/>
          <w:color w:val="auto"/>
        </w:rPr>
      </w:pPr>
      <w:r>
        <w:rPr>
          <w:rFonts w:ascii="Arial" w:cs="Arial" w:eastAsia="Arial" w:hAnsi="Arial"/>
          <w:sz w:val="15"/>
          <w:szCs w:val="15"/>
          <w:color w:val="auto"/>
        </w:rPr>
        <w:t>Mr. Veltman’s global business and leadership experience across multiple industries, including life sciences, enables him to provide valuable insight to the Board regarding the Company's operations and the strategic planning initiatives necessary to meet the demands of the changing environment. As the sole member of management on our Board, he provides management's business perspectives and the necessary link to the Company's day-to-day operations.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116" w:lineRule="exact"/>
        <w:rPr>
          <w:sz w:val="20"/>
          <w:szCs w:val="20"/>
          <w:color w:val="auto"/>
        </w:rPr>
      </w:pPr>
    </w:p>
    <w:p>
      <w:pPr>
        <w:ind w:right="200" w:firstLine="539"/>
        <w:spacing w:after="0" w:line="277" w:lineRule="auto"/>
        <w:rPr>
          <w:sz w:val="20"/>
          <w:szCs w:val="20"/>
          <w:color w:val="auto"/>
        </w:rPr>
      </w:pPr>
      <w:r>
        <w:rPr>
          <w:rFonts w:ascii="Arial" w:cs="Arial" w:eastAsia="Arial" w:hAnsi="Arial"/>
          <w:sz w:val="15"/>
          <w:szCs w:val="15"/>
          <w:color w:val="auto"/>
        </w:rPr>
        <w:t>In 2019, directors who are not employees of the Company were paid an annual retainer of $170,000, consisting of $70,000 of cash and $100,000 of shares of restricted stock, which vests one year from the date of grant. Our Non-Executive Chairman received an additional retainer of $150,000, each Chairman of the Audit Committee and the Compensation Committee received an additional retainer of $10,000 and the Chairman of the Governance Committee received an additional retainer of $6,000. Mr. Veltman, our President and Chief Executive Officer, is our only director who is also an employee of the Company. Mr. Veltman does not receive any compensation for his service as a director. Prior to Mr. Veltman’s appointment to the Board in September 2019, Mr. Holder, our former President and Chief Executive Officer, was the only director who was also an employee of the Company. Mr. Holder did not receive any compensation for his service as a director during</w:t>
      </w:r>
    </w:p>
    <w:p>
      <w:pPr>
        <w:spacing w:after="0" w:line="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2019. Directors may elect to defer some or all of the compensation they receive. We reimburse all directors for out-of-pocket expenses incurred in attending Board and committee meetings. Director compensation is reviewed and approved by the Compensation Committee.</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table below provides information about the compensation our non-employee directors received during 2019.</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Director Compensation Table For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Change in</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9"/>
              </w:rPr>
              <w:t>Pension Value</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0"/>
              </w:rPr>
              <w:t>Fees</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0"/>
              </w:rPr>
              <w:t>and Nonqualified</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5"/>
              </w:rPr>
              <w:t>Earned</w:t>
            </w: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3"/>
              </w:rPr>
              <w:t>Deferred</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0"/>
              </w:rPr>
              <w:t>or Paid</w:t>
            </w:r>
          </w:p>
        </w:tc>
        <w:tc>
          <w:tcPr>
            <w:tcW w:w="114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4"/>
              </w:rPr>
              <w:t>Stock</w:t>
            </w:r>
          </w:p>
        </w:tc>
        <w:tc>
          <w:tcPr>
            <w:tcW w:w="1020" w:type="dxa"/>
            <w:vAlign w:val="bottom"/>
            <w:gridSpan w:val="2"/>
          </w:tcPr>
          <w:p>
            <w:pPr>
              <w:jc w:val="center"/>
              <w:ind w:right="380"/>
              <w:spacing w:after="0" w:line="136" w:lineRule="exact"/>
              <w:rPr>
                <w:sz w:val="20"/>
                <w:szCs w:val="20"/>
                <w:color w:val="auto"/>
              </w:rPr>
            </w:pPr>
            <w:r>
              <w:rPr>
                <w:rFonts w:ascii="Arial" w:cs="Arial" w:eastAsia="Arial" w:hAnsi="Arial"/>
                <w:sz w:val="13"/>
                <w:szCs w:val="13"/>
                <w:b w:val="1"/>
                <w:bCs w:val="1"/>
                <w:color w:val="auto"/>
                <w:w w:val="95"/>
              </w:rPr>
              <w:t>Option</w:t>
            </w:r>
          </w:p>
        </w:tc>
        <w:tc>
          <w:tcPr>
            <w:tcW w:w="18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8"/>
              </w:rPr>
              <w:t>Compensation</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3"/>
              </w:rPr>
              <w:t>in Cash</w:t>
            </w:r>
          </w:p>
        </w:tc>
        <w:tc>
          <w:tcPr>
            <w:tcW w:w="114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9"/>
                <w:szCs w:val="9"/>
                <w:b w:val="1"/>
                <w:bCs w:val="1"/>
                <w:color w:val="auto"/>
                <w:w w:val="93"/>
              </w:rPr>
              <w:t>(1)</w:t>
            </w:r>
          </w:p>
        </w:tc>
        <w:tc>
          <w:tcPr>
            <w:tcW w:w="1020" w:type="dxa"/>
            <w:vAlign w:val="bottom"/>
            <w:gridSpan w:val="2"/>
          </w:tcPr>
          <w:p>
            <w:pPr>
              <w:jc w:val="center"/>
              <w:ind w:right="380"/>
              <w:spacing w:after="0" w:line="136" w:lineRule="exact"/>
              <w:rPr>
                <w:sz w:val="20"/>
                <w:szCs w:val="20"/>
                <w:color w:val="auto"/>
              </w:rPr>
            </w:pPr>
            <w:r>
              <w:rPr>
                <w:rFonts w:ascii="Arial" w:cs="Arial" w:eastAsia="Arial" w:hAnsi="Arial"/>
                <w:sz w:val="13"/>
                <w:szCs w:val="13"/>
                <w:b w:val="1"/>
                <w:bCs w:val="1"/>
                <w:color w:val="auto"/>
                <w:w w:val="93"/>
              </w:rPr>
              <w:t>Awards</w:t>
            </w:r>
          </w:p>
        </w:tc>
        <w:tc>
          <w:tcPr>
            <w:tcW w:w="180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3"/>
              </w:rPr>
              <w:t>Earnings</w:t>
            </w:r>
          </w:p>
        </w:tc>
        <w:tc>
          <w:tcPr>
            <w:tcW w:w="1100" w:type="dxa"/>
            <w:vAlign w:val="bottom"/>
            <w:gridSpan w:val="2"/>
          </w:tcPr>
          <w:p>
            <w:pPr>
              <w:ind w:left="340"/>
              <w:spacing w:after="0" w:line="136" w:lineRule="exact"/>
              <w:rPr>
                <w:sz w:val="20"/>
                <w:szCs w:val="20"/>
                <w:color w:val="auto"/>
              </w:rPr>
            </w:pPr>
            <w:r>
              <w:rPr>
                <w:rFonts w:ascii="Arial" w:cs="Arial" w:eastAsia="Arial" w:hAnsi="Arial"/>
                <w:sz w:val="13"/>
                <w:szCs w:val="13"/>
                <w:b w:val="1"/>
                <w:bCs w:val="1"/>
                <w:color w:val="auto"/>
              </w:rPr>
              <w:t>Total</w:t>
            </w:r>
          </w:p>
        </w:tc>
      </w:tr>
      <w:tr>
        <w:trPr>
          <w:trHeight w:val="153"/>
        </w:trPr>
        <w:tc>
          <w:tcPr>
            <w:tcW w:w="5020" w:type="dxa"/>
            <w:vAlign w:val="bottom"/>
            <w:gridSpan w:val="3"/>
          </w:tcPr>
          <w:p>
            <w:pPr>
              <w:ind w:left="20"/>
              <w:spacing w:after="0" w:line="148" w:lineRule="exact"/>
              <w:rPr>
                <w:sz w:val="20"/>
                <w:szCs w:val="20"/>
                <w:color w:val="auto"/>
              </w:rPr>
            </w:pPr>
            <w:r>
              <w:rPr>
                <w:rFonts w:ascii="Arial" w:cs="Arial" w:eastAsia="Arial" w:hAnsi="Arial"/>
                <w:sz w:val="13"/>
                <w:szCs w:val="13"/>
                <w:b w:val="1"/>
                <w:bCs w:val="1"/>
                <w:color w:val="auto"/>
              </w:rPr>
              <w:t>Name</w:t>
            </w:r>
          </w:p>
        </w:tc>
        <w:tc>
          <w:tcPr>
            <w:tcW w:w="8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7"/>
              </w:rPr>
              <w:t>($)</w:t>
            </w:r>
          </w:p>
        </w:tc>
        <w:tc>
          <w:tcPr>
            <w:tcW w:w="320" w:type="dxa"/>
            <w:vAlign w:val="bottom"/>
          </w:tcPr>
          <w:p>
            <w:pPr>
              <w:spacing w:after="0"/>
              <w:rPr>
                <w:sz w:val="13"/>
                <w:szCs w:val="13"/>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3"/>
                <w:szCs w:val="13"/>
                <w:color w:val="auto"/>
              </w:rPr>
            </w:pPr>
          </w:p>
        </w:tc>
        <w:tc>
          <w:tcPr>
            <w:tcW w:w="14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960" w:type="dxa"/>
            <w:vAlign w:val="bottom"/>
          </w:tcPr>
          <w:p>
            <w:pPr>
              <w:jc w:val="right"/>
              <w:ind w:right="320"/>
              <w:spacing w:after="0" w:line="148"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474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Mr. Brunner</w:t>
            </w:r>
          </w:p>
        </w:tc>
        <w:tc>
          <w:tcPr>
            <w:tcW w:w="260" w:type="dxa"/>
            <w:vAlign w:val="bottom"/>
            <w:tcBorders>
              <w:top w:val="single" w:sz="8" w:color="C6D9F1"/>
            </w:tcBorders>
            <w:shd w:val="clear" w:color="auto" w:fill="C6D9F1"/>
          </w:tcPr>
          <w:p>
            <w:pPr>
              <w:spacing w:after="0"/>
              <w:rPr>
                <w:sz w:val="17"/>
                <w:szCs w:val="17"/>
                <w:color w:val="auto"/>
              </w:rPr>
            </w:pPr>
          </w:p>
        </w:tc>
        <w:tc>
          <w:tcPr>
            <w:tcW w:w="8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149,825</w:t>
            </w:r>
          </w:p>
        </w:tc>
        <w:tc>
          <w:tcPr>
            <w:tcW w:w="320" w:type="dxa"/>
            <w:vAlign w:val="bottom"/>
            <w:tcBorders>
              <w:top w:val="single" w:sz="8" w:color="C6D9F1"/>
            </w:tcBorders>
            <w:shd w:val="clear" w:color="auto" w:fill="C6D9F1"/>
          </w:tcPr>
          <w:p>
            <w:pPr>
              <w:spacing w:after="0"/>
              <w:rPr>
                <w:sz w:val="17"/>
                <w:szCs w:val="17"/>
                <w:color w:val="auto"/>
              </w:rPr>
            </w:pPr>
          </w:p>
        </w:tc>
        <w:tc>
          <w:tcPr>
            <w:tcW w:w="82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99,997</w:t>
            </w:r>
          </w:p>
        </w:tc>
        <w:tc>
          <w:tcPr>
            <w:tcW w:w="320" w:type="dxa"/>
            <w:vAlign w:val="bottom"/>
            <w:tcBorders>
              <w:top w:val="single" w:sz="8" w:color="C6D9F1"/>
            </w:tcBorders>
            <w:shd w:val="clear" w:color="auto" w:fill="C6D9F1"/>
          </w:tcPr>
          <w:p>
            <w:pPr>
              <w:spacing w:after="0"/>
              <w:rPr>
                <w:sz w:val="17"/>
                <w:szCs w:val="17"/>
                <w:color w:val="auto"/>
              </w:rPr>
            </w:pPr>
          </w:p>
        </w:tc>
        <w:tc>
          <w:tcPr>
            <w:tcW w:w="640" w:type="dxa"/>
            <w:vAlign w:val="bottom"/>
            <w:tcBorders>
              <w:top w:val="single" w:sz="8" w:color="auto"/>
            </w:tcBorders>
            <w:shd w:val="clear" w:color="auto" w:fill="C6D9F1"/>
          </w:tcPr>
          <w:p>
            <w:pPr>
              <w:ind w:left="40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C6D9F1"/>
            </w:tcBorders>
            <w:shd w:val="clear" w:color="auto" w:fill="C6D9F1"/>
          </w:tcPr>
          <w:p>
            <w:pPr>
              <w:spacing w:after="0"/>
              <w:rPr>
                <w:sz w:val="17"/>
                <w:szCs w:val="17"/>
                <w:color w:val="auto"/>
              </w:rPr>
            </w:pPr>
          </w:p>
        </w:tc>
        <w:tc>
          <w:tcPr>
            <w:tcW w:w="1480" w:type="dxa"/>
            <w:vAlign w:val="bottom"/>
            <w:tcBorders>
              <w:top w:val="single" w:sz="8" w:color="auto"/>
            </w:tcBorders>
            <w:shd w:val="clear" w:color="auto" w:fill="C6D9F1"/>
          </w:tcPr>
          <w:p>
            <w:pPr>
              <w:ind w:left="8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C6D9F1"/>
            </w:tcBorders>
            <w:shd w:val="clear" w:color="auto" w:fill="C6D9F1"/>
          </w:tcPr>
          <w:p>
            <w:pPr>
              <w:spacing w:after="0"/>
              <w:rPr>
                <w:sz w:val="17"/>
                <w:szCs w:val="17"/>
                <w:color w:val="auto"/>
              </w:rPr>
            </w:pPr>
          </w:p>
        </w:tc>
        <w:tc>
          <w:tcPr>
            <w:tcW w:w="9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249,822</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Ms. Carroll</w:t>
            </w:r>
            <w:r>
              <w:rPr>
                <w:rFonts w:ascii="Arial" w:cs="Arial" w:eastAsia="Arial" w:hAnsi="Arial"/>
                <w:sz w:val="13"/>
                <w:szCs w:val="13"/>
                <w:color w:val="auto"/>
              </w:rPr>
              <w:t>(2)</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Mr. Dries</w:t>
            </w:r>
            <w:r>
              <w:rPr>
                <w:rFonts w:ascii="Arial" w:cs="Arial" w:eastAsia="Arial" w:hAnsi="Arial"/>
                <w:sz w:val="13"/>
                <w:szCs w:val="13"/>
                <w:color w:val="auto"/>
              </w:rPr>
              <w:t>(3)</w:t>
            </w:r>
          </w:p>
        </w:tc>
        <w:tc>
          <w:tcPr>
            <w:tcW w:w="120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29,592</w:t>
            </w:r>
          </w:p>
        </w:tc>
        <w:tc>
          <w:tcPr>
            <w:tcW w:w="114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6D9F1"/>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6D9F1"/>
          </w:tcPr>
          <w:p>
            <w:pPr>
              <w:ind w:left="8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29,592</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Mr. Floyd</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75,490</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99,997</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175,487</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Ms. Harman</w:t>
            </w:r>
            <w:r>
              <w:rPr>
                <w:rFonts w:ascii="Arial" w:cs="Arial" w:eastAsia="Arial" w:hAnsi="Arial"/>
                <w:sz w:val="13"/>
                <w:szCs w:val="13"/>
                <w:color w:val="auto"/>
              </w:rPr>
              <w:t>(4)</w:t>
            </w:r>
          </w:p>
        </w:tc>
        <w:tc>
          <w:tcPr>
            <w:tcW w:w="120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59,262</w:t>
            </w:r>
          </w:p>
        </w:tc>
        <w:tc>
          <w:tcPr>
            <w:tcW w:w="114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84,930</w:t>
            </w:r>
          </w:p>
        </w:tc>
        <w:tc>
          <w:tcPr>
            <w:tcW w:w="1020" w:type="dxa"/>
            <w:vAlign w:val="bottom"/>
            <w:gridSpan w:val="2"/>
            <w:shd w:val="clear" w:color="auto" w:fill="C6D9F1"/>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6D9F1"/>
          </w:tcPr>
          <w:p>
            <w:pPr>
              <w:ind w:left="8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144,192</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Mr. Pugh</w:t>
            </w:r>
            <w:r>
              <w:rPr>
                <w:rFonts w:ascii="Arial" w:cs="Arial" w:eastAsia="Arial" w:hAnsi="Arial"/>
                <w:sz w:val="13"/>
                <w:szCs w:val="13"/>
                <w:color w:val="auto"/>
              </w:rPr>
              <w:t>(5)</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70,000</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99,997</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169,997</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Ms. Smith</w:t>
            </w:r>
            <w:r>
              <w:rPr>
                <w:rFonts w:ascii="Arial" w:cs="Arial" w:eastAsia="Arial" w:hAnsi="Arial"/>
                <w:sz w:val="13"/>
                <w:szCs w:val="13"/>
                <w:color w:val="auto"/>
              </w:rPr>
              <w:t>(6)</w:t>
            </w:r>
          </w:p>
        </w:tc>
        <w:tc>
          <w:tcPr>
            <w:tcW w:w="120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60,986</w:t>
            </w:r>
          </w:p>
        </w:tc>
        <w:tc>
          <w:tcPr>
            <w:tcW w:w="114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99,997</w:t>
            </w:r>
          </w:p>
        </w:tc>
        <w:tc>
          <w:tcPr>
            <w:tcW w:w="1020" w:type="dxa"/>
            <w:vAlign w:val="bottom"/>
            <w:gridSpan w:val="2"/>
            <w:shd w:val="clear" w:color="auto" w:fill="C6D9F1"/>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6D9F1"/>
          </w:tcPr>
          <w:p>
            <w:pPr>
              <w:ind w:left="8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160,983</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Arial" w:cs="Arial" w:eastAsia="Arial" w:hAnsi="Arial"/>
                <w:sz w:val="16"/>
                <w:szCs w:val="16"/>
                <w:color w:val="auto"/>
              </w:rPr>
              <w:t>Ms. Stipp</w:t>
            </w:r>
            <w:r>
              <w:rPr>
                <w:rFonts w:ascii="Arial" w:cs="Arial" w:eastAsia="Arial" w:hAnsi="Arial"/>
                <w:sz w:val="13"/>
                <w:szCs w:val="13"/>
                <w:color w:val="auto"/>
              </w:rPr>
              <w:t>(7)</w:t>
            </w: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55,451</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84,930</w:t>
            </w:r>
          </w:p>
        </w:tc>
        <w:tc>
          <w:tcPr>
            <w:tcW w:w="102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140,381</w:t>
            </w:r>
          </w:p>
        </w:tc>
        <w:tc>
          <w:tcPr>
            <w:tcW w:w="1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00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Mr. Warshaw</w:t>
            </w:r>
          </w:p>
        </w:tc>
        <w:tc>
          <w:tcPr>
            <w:tcW w:w="120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80,000</w:t>
            </w:r>
          </w:p>
        </w:tc>
        <w:tc>
          <w:tcPr>
            <w:tcW w:w="1140" w:type="dxa"/>
            <w:vAlign w:val="bottom"/>
            <w:gridSpan w:val="2"/>
            <w:shd w:val="clear" w:color="auto" w:fill="C6D9F1"/>
          </w:tcPr>
          <w:p>
            <w:pPr>
              <w:jc w:val="right"/>
              <w:ind w:right="320"/>
              <w:spacing w:after="0"/>
              <w:rPr>
                <w:sz w:val="20"/>
                <w:szCs w:val="20"/>
                <w:color w:val="auto"/>
              </w:rPr>
            </w:pPr>
            <w:r>
              <w:rPr>
                <w:rFonts w:ascii="Arial" w:cs="Arial" w:eastAsia="Arial" w:hAnsi="Arial"/>
                <w:sz w:val="16"/>
                <w:szCs w:val="16"/>
                <w:color w:val="auto"/>
              </w:rPr>
              <w:t>99,997</w:t>
            </w:r>
          </w:p>
        </w:tc>
        <w:tc>
          <w:tcPr>
            <w:tcW w:w="1020" w:type="dxa"/>
            <w:vAlign w:val="bottom"/>
            <w:gridSpan w:val="2"/>
            <w:shd w:val="clear" w:color="auto" w:fill="C6D9F1"/>
          </w:tcPr>
          <w:p>
            <w:pPr>
              <w:ind w:left="400"/>
              <w:spacing w:after="0"/>
              <w:rPr>
                <w:sz w:val="20"/>
                <w:szCs w:val="20"/>
                <w:color w:val="auto"/>
              </w:rPr>
            </w:pPr>
            <w:r>
              <w:rPr>
                <w:rFonts w:ascii="Arial" w:cs="Arial" w:eastAsia="Arial" w:hAnsi="Arial"/>
                <w:sz w:val="16"/>
                <w:szCs w:val="16"/>
                <w:color w:val="auto"/>
              </w:rPr>
              <w:t>—</w:t>
            </w:r>
          </w:p>
        </w:tc>
        <w:tc>
          <w:tcPr>
            <w:tcW w:w="1800" w:type="dxa"/>
            <w:vAlign w:val="bottom"/>
            <w:gridSpan w:val="2"/>
            <w:shd w:val="clear" w:color="auto" w:fill="C6D9F1"/>
          </w:tcPr>
          <w:p>
            <w:pPr>
              <w:ind w:left="8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179,997</w:t>
            </w:r>
          </w:p>
        </w:tc>
        <w:tc>
          <w:tcPr>
            <w:tcW w:w="14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5000" w:type="dxa"/>
            <w:vAlign w:val="bottom"/>
            <w:gridSpan w:val="2"/>
          </w:tcPr>
          <w:p>
            <w:pPr>
              <w:spacing w:after="0" w:line="178" w:lineRule="exact"/>
              <w:rPr>
                <w:sz w:val="20"/>
                <w:szCs w:val="20"/>
                <w:color w:val="auto"/>
              </w:rPr>
            </w:pPr>
            <w:r>
              <w:rPr>
                <w:rFonts w:ascii="Arial" w:cs="Arial" w:eastAsia="Arial" w:hAnsi="Arial"/>
                <w:sz w:val="16"/>
                <w:szCs w:val="16"/>
                <w:color w:val="auto"/>
              </w:rPr>
              <w:t>Mr. Wilson</w:t>
            </w:r>
            <w:r>
              <w:rPr>
                <w:rFonts w:ascii="Arial" w:cs="Arial" w:eastAsia="Arial" w:hAnsi="Arial"/>
                <w:sz w:val="13"/>
                <w:szCs w:val="13"/>
                <w:color w:val="auto"/>
              </w:rPr>
              <w:t>(8)</w:t>
            </w:r>
          </w:p>
        </w:tc>
        <w:tc>
          <w:tcPr>
            <w:tcW w:w="120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line="178" w:lineRule="exact"/>
              <w:rPr>
                <w:sz w:val="20"/>
                <w:szCs w:val="20"/>
                <w:color w:val="auto"/>
              </w:rPr>
            </w:pPr>
            <w:r>
              <w:rPr>
                <w:rFonts w:ascii="Arial" w:cs="Arial" w:eastAsia="Arial" w:hAnsi="Arial"/>
                <w:sz w:val="16"/>
                <w:szCs w:val="16"/>
                <w:color w:val="auto"/>
              </w:rPr>
              <w:t>—</w:t>
            </w:r>
          </w:p>
        </w:tc>
        <w:tc>
          <w:tcPr>
            <w:tcW w:w="1020" w:type="dxa"/>
            <w:vAlign w:val="bottom"/>
            <w:gridSpan w:val="2"/>
          </w:tcPr>
          <w:p>
            <w:pPr>
              <w:ind w:left="400"/>
              <w:spacing w:after="0" w:line="178" w:lineRule="exact"/>
              <w:rPr>
                <w:sz w:val="20"/>
                <w:szCs w:val="20"/>
                <w:color w:val="auto"/>
              </w:rPr>
            </w:pPr>
            <w:r>
              <w:rPr>
                <w:rFonts w:ascii="Arial" w:cs="Arial" w:eastAsia="Arial" w:hAnsi="Arial"/>
                <w:sz w:val="16"/>
                <w:szCs w:val="16"/>
                <w:color w:val="auto"/>
              </w:rPr>
              <w:t>—</w:t>
            </w:r>
          </w:p>
        </w:tc>
        <w:tc>
          <w:tcPr>
            <w:tcW w:w="1800" w:type="dxa"/>
            <w:vAlign w:val="bottom"/>
            <w:gridSpan w:val="2"/>
          </w:tcPr>
          <w:p>
            <w:pPr>
              <w:ind w:left="820"/>
              <w:spacing w:after="0" w:line="178"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r>
      <w:tr>
        <w:trPr>
          <w:trHeight w:val="250"/>
        </w:trPr>
        <w:tc>
          <w:tcPr>
            <w:tcW w:w="4760" w:type="dxa"/>
            <w:vAlign w:val="bottom"/>
            <w:gridSpan w:val="2"/>
          </w:tcPr>
          <w:p>
            <w:pPr>
              <w:jc w:val="right"/>
              <w:ind w:right="3198"/>
              <w:spacing w:after="0"/>
              <w:rPr>
                <w:sz w:val="20"/>
                <w:szCs w:val="20"/>
                <w:color w:val="auto"/>
              </w:rPr>
            </w:pPr>
            <w:r>
              <w:rPr>
                <w:rFonts w:ascii="Arial" w:cs="Arial" w:eastAsia="Arial" w:hAnsi="Arial"/>
                <w:sz w:val="20"/>
                <w:szCs w:val="20"/>
                <w:color w:val="auto"/>
                <w:w w:val="87"/>
              </w:rPr>
              <w:t>_______________</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2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42"/>
              <w:spacing w:after="0"/>
              <w:rPr>
                <w:sz w:val="20"/>
                <w:szCs w:val="20"/>
                <w:color w:val="auto"/>
              </w:rPr>
            </w:pPr>
            <w:r>
              <w:rPr>
                <w:rFonts w:ascii="Arial" w:cs="Arial" w:eastAsia="Arial" w:hAnsi="Arial"/>
                <w:sz w:val="20"/>
                <w:szCs w:val="20"/>
                <w:color w:val="auto"/>
              </w:rPr>
              <w:t>8</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5"/>
        </w:trPr>
        <w:tc>
          <w:tcPr>
            <w:tcW w:w="2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7151370</wp:posOffset>
            </wp:positionH>
            <wp:positionV relativeFrom="paragraph">
              <wp:posOffset>-6985</wp:posOffset>
            </wp:positionV>
            <wp:extent cx="762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80"/>
          </w:cols>
          <w:pgMar w:left="320" w:top="547" w:right="299" w:bottom="1440" w:gutter="0" w:footer="0" w:header="0"/>
        </w:sectPr>
      </w:pPr>
    </w:p>
    <w:bookmarkStart w:id="15" w:name="page16"/>
    <w:bookmarkEnd w:id="15"/>
    <w:p>
      <w:pPr>
        <w:ind w:left="401" w:right="60" w:hanging="401"/>
        <w:spacing w:after="0" w:line="261" w:lineRule="auto"/>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as computed in accordance with the Financial Accounting Standards Board (“FASB”) Accounting Standards Codification (“ASC”) Topic 718, of 12,610 shares of restricted stock awarded on March 14, 2019 to each of Messrs. Brunner, Floyd, Pugh and Warshaw and Ms. Smith and 10,710 awarded on March 14, 2019 to each of Ms. Harman and Ms. Stipp. The restricted stock awards to directors vest in their entirety on the first anniversary of the date of grant.</w:t>
      </w:r>
    </w:p>
    <w:p>
      <w:pPr>
        <w:spacing w:after="0" w:line="1" w:lineRule="exact"/>
        <w:rPr>
          <w:rFonts w:ascii="Arial" w:cs="Arial" w:eastAsia="Arial" w:hAnsi="Arial"/>
          <w:sz w:val="16"/>
          <w:szCs w:val="16"/>
          <w:color w:val="auto"/>
        </w:rPr>
      </w:pPr>
    </w:p>
    <w:p>
      <w:pPr>
        <w:ind w:left="401" w:right="260" w:hanging="401"/>
        <w:spacing w:after="0" w:line="257" w:lineRule="auto"/>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Carroll was appointed to the Board, effective as of December 27, 2019, and accordingly, did not receive any compensation for her service as director during 2019.</w:t>
      </w:r>
    </w:p>
    <w:p>
      <w:pPr>
        <w:spacing w:after="0" w:line="1" w:lineRule="exact"/>
        <w:rPr>
          <w:rFonts w:ascii="Arial" w:cs="Arial" w:eastAsia="Arial" w:hAnsi="Arial"/>
          <w:sz w:val="16"/>
          <w:szCs w:val="16"/>
          <w:color w:val="auto"/>
        </w:rPr>
      </w:pPr>
    </w:p>
    <w:p>
      <w:pPr>
        <w:ind w:left="401" w:hanging="401"/>
        <w:spacing w:after="0"/>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William Dries retired from the Board, effective as of our 2019 annual meeting of stockholders held on May 16, 2019.</w:t>
      </w:r>
    </w:p>
    <w:p>
      <w:pPr>
        <w:spacing w:after="0" w:line="13" w:lineRule="exact"/>
        <w:rPr>
          <w:rFonts w:ascii="Arial" w:cs="Arial" w:eastAsia="Arial" w:hAnsi="Arial"/>
          <w:sz w:val="16"/>
          <w:szCs w:val="16"/>
          <w:color w:val="auto"/>
        </w:rPr>
      </w:pPr>
    </w:p>
    <w:p>
      <w:pPr>
        <w:ind w:left="401" w:hanging="401"/>
        <w:spacing w:after="0"/>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Harman was appointed by the Board, effective as of February 25, 2019.</w:t>
      </w:r>
    </w:p>
    <w:p>
      <w:pPr>
        <w:spacing w:after="0" w:line="13" w:lineRule="exact"/>
        <w:rPr>
          <w:rFonts w:ascii="Arial" w:cs="Arial" w:eastAsia="Arial" w:hAnsi="Arial"/>
          <w:sz w:val="16"/>
          <w:szCs w:val="16"/>
          <w:color w:val="auto"/>
        </w:rPr>
      </w:pPr>
    </w:p>
    <w:p>
      <w:pPr>
        <w:ind w:left="401" w:hanging="401"/>
        <w:spacing w:after="0"/>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Pugh will retire from the Board and has tendered his resignation effective as of the date of the Annual Meeting.</w:t>
      </w:r>
    </w:p>
    <w:p>
      <w:pPr>
        <w:spacing w:after="0" w:line="13" w:lineRule="exact"/>
        <w:rPr>
          <w:rFonts w:ascii="Arial" w:cs="Arial" w:eastAsia="Arial" w:hAnsi="Arial"/>
          <w:sz w:val="16"/>
          <w:szCs w:val="16"/>
          <w:color w:val="auto"/>
        </w:rPr>
      </w:pPr>
    </w:p>
    <w:p>
      <w:pPr>
        <w:ind w:left="401" w:hanging="401"/>
        <w:spacing w:after="0"/>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Smith resigned from the Board, effective as of November 14, 2019.</w:t>
      </w:r>
    </w:p>
    <w:p>
      <w:pPr>
        <w:spacing w:after="0" w:line="13" w:lineRule="exact"/>
        <w:rPr>
          <w:rFonts w:ascii="Arial" w:cs="Arial" w:eastAsia="Arial" w:hAnsi="Arial"/>
          <w:sz w:val="16"/>
          <w:szCs w:val="16"/>
          <w:color w:val="auto"/>
        </w:rPr>
      </w:pPr>
    </w:p>
    <w:p>
      <w:pPr>
        <w:ind w:left="401" w:hanging="401"/>
        <w:spacing w:after="0"/>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Stipp resigned from the Board, effective as of November 14, 2019.</w:t>
      </w:r>
    </w:p>
    <w:p>
      <w:pPr>
        <w:spacing w:after="0" w:line="13" w:lineRule="exact"/>
        <w:rPr>
          <w:rFonts w:ascii="Arial" w:cs="Arial" w:eastAsia="Arial" w:hAnsi="Arial"/>
          <w:sz w:val="16"/>
          <w:szCs w:val="16"/>
          <w:color w:val="auto"/>
        </w:rPr>
      </w:pPr>
    </w:p>
    <w:p>
      <w:pPr>
        <w:ind w:left="401" w:right="300" w:hanging="401"/>
        <w:spacing w:after="0" w:line="275" w:lineRule="auto"/>
        <w:tabs>
          <w:tab w:leader="none" w:pos="401"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Wilson was appointed to the Board, effective as of December 27, 2019, and accordingly, did not receive any compensation for his service as director during 2019.</w:t>
      </w:r>
    </w:p>
    <w:p>
      <w:pPr>
        <w:spacing w:after="0" w:line="35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Committees of the Board</w:t>
      </w:r>
    </w:p>
    <w:p>
      <w:pPr>
        <w:spacing w:after="0" w:line="116" w:lineRule="exact"/>
        <w:rPr>
          <w:sz w:val="20"/>
          <w:szCs w:val="20"/>
          <w:color w:val="auto"/>
        </w:rPr>
      </w:pPr>
    </w:p>
    <w:p>
      <w:pPr>
        <w:jc w:val="both"/>
        <w:ind w:left="1" w:right="20" w:firstLine="792"/>
        <w:spacing w:after="0" w:line="300" w:lineRule="auto"/>
        <w:rPr>
          <w:sz w:val="20"/>
          <w:szCs w:val="20"/>
          <w:color w:val="auto"/>
        </w:rPr>
      </w:pPr>
      <w:r>
        <w:rPr>
          <w:rFonts w:ascii="Arial" w:cs="Arial" w:eastAsia="Arial" w:hAnsi="Arial"/>
          <w:sz w:val="15"/>
          <w:szCs w:val="15"/>
          <w:b w:val="1"/>
          <w:bCs w:val="1"/>
          <w:i w:val="1"/>
          <w:iCs w:val="1"/>
          <w:color w:val="auto"/>
        </w:rPr>
        <w:t>Audit Committee</w:t>
      </w:r>
      <w:r>
        <w:rPr>
          <w:rFonts w:ascii="Arial" w:cs="Arial" w:eastAsia="Arial" w:hAnsi="Arial"/>
          <w:sz w:val="15"/>
          <w:szCs w:val="15"/>
          <w:color w:val="auto"/>
        </w:rPr>
        <w:t>. The Audit Committee consists of Thomas H. Wilson, Jr., who serves as Chairman, Messrs. Benvenuti, Pugh and Warshaw and Ms. Carroll.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All members of the Audit Committee are independent as defined by Nasdaq rules, and Mr. Smith has been designated as the “audit committee financial expert” as defined by Item 407(d) of Regulation S-K. Among other matters described in its charter, the Audit Committee’s primary duties and responsibilities are to:</w:t>
      </w:r>
    </w:p>
    <w:p>
      <w:pPr>
        <w:spacing w:after="0" w:line="57" w:lineRule="exact"/>
        <w:rPr>
          <w:sz w:val="20"/>
          <w:szCs w:val="20"/>
          <w:color w:val="auto"/>
        </w:rPr>
      </w:pPr>
    </w:p>
    <w:p>
      <w:pPr>
        <w:ind w:left="881" w:hanging="325"/>
        <w:spacing w:after="0"/>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oversee that management has maintained the reliability and integrity of our accounting policies, financial reporting and disclosure practices;</w:t>
      </w:r>
    </w:p>
    <w:p>
      <w:pPr>
        <w:spacing w:after="0" w:line="124" w:lineRule="exact"/>
        <w:rPr>
          <w:rFonts w:ascii="Arial" w:cs="Arial" w:eastAsia="Arial" w:hAnsi="Arial"/>
          <w:sz w:val="16"/>
          <w:szCs w:val="16"/>
          <w:color w:val="auto"/>
        </w:rPr>
      </w:pPr>
    </w:p>
    <w:p>
      <w:pPr>
        <w:ind w:left="881" w:right="560" w:hanging="325"/>
        <w:spacing w:after="0" w:line="289" w:lineRule="auto"/>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63" w:lineRule="exact"/>
        <w:rPr>
          <w:rFonts w:ascii="Arial" w:cs="Arial" w:eastAsia="Arial" w:hAnsi="Arial"/>
          <w:sz w:val="16"/>
          <w:szCs w:val="16"/>
          <w:color w:val="auto"/>
        </w:rPr>
      </w:pPr>
    </w:p>
    <w:p>
      <w:pPr>
        <w:ind w:left="881" w:hanging="325"/>
        <w:spacing w:after="0" w:line="289" w:lineRule="auto"/>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oversee that management has established and maintains processes to assure compliance with all applicable laws, regulations and corporate policies including the Code of Business Conduct and Ethics;</w:t>
      </w:r>
    </w:p>
    <w:p>
      <w:pPr>
        <w:spacing w:after="0" w:line="63" w:lineRule="exact"/>
        <w:rPr>
          <w:rFonts w:ascii="Arial" w:cs="Arial" w:eastAsia="Arial" w:hAnsi="Arial"/>
          <w:sz w:val="16"/>
          <w:szCs w:val="16"/>
          <w:color w:val="auto"/>
        </w:rPr>
      </w:pPr>
    </w:p>
    <w:p>
      <w:pPr>
        <w:ind w:left="881" w:right="100" w:hanging="325"/>
        <w:spacing w:after="0" w:line="289" w:lineRule="auto"/>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engage our registered independent public accounting firm to conduct the annual audit of the books and accounts of the Company, including the preapproval of all associated fees;</w:t>
      </w:r>
    </w:p>
    <w:p>
      <w:pPr>
        <w:spacing w:after="0" w:line="63" w:lineRule="exact"/>
        <w:rPr>
          <w:rFonts w:ascii="Arial" w:cs="Arial" w:eastAsia="Arial" w:hAnsi="Arial"/>
          <w:sz w:val="16"/>
          <w:szCs w:val="16"/>
          <w:color w:val="auto"/>
        </w:rPr>
      </w:pPr>
    </w:p>
    <w:p>
      <w:pPr>
        <w:ind w:left="881" w:hanging="325"/>
        <w:spacing w:after="0"/>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preapprove all permissible non-audit related services provided by the independent auditor;</w:t>
      </w:r>
    </w:p>
    <w:p>
      <w:pPr>
        <w:spacing w:after="0" w:line="124" w:lineRule="exact"/>
        <w:rPr>
          <w:rFonts w:ascii="Arial" w:cs="Arial" w:eastAsia="Arial" w:hAnsi="Arial"/>
          <w:sz w:val="16"/>
          <w:szCs w:val="16"/>
          <w:color w:val="auto"/>
        </w:rPr>
      </w:pPr>
    </w:p>
    <w:p>
      <w:pPr>
        <w:ind w:left="881" w:hanging="325"/>
        <w:spacing w:after="0"/>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 the independence of the independent accounting firm;</w:t>
      </w:r>
    </w:p>
    <w:p>
      <w:pPr>
        <w:spacing w:after="0" w:line="124" w:lineRule="exact"/>
        <w:rPr>
          <w:rFonts w:ascii="Arial" w:cs="Arial" w:eastAsia="Arial" w:hAnsi="Arial"/>
          <w:sz w:val="16"/>
          <w:szCs w:val="16"/>
          <w:color w:val="auto"/>
        </w:rPr>
      </w:pPr>
    </w:p>
    <w:p>
      <w:pPr>
        <w:ind w:left="881" w:hanging="325"/>
        <w:spacing w:after="0"/>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oversee that management has designed, implemented and maintains processes to assess and manage enterprise and event risk;</w:t>
      </w:r>
    </w:p>
    <w:p>
      <w:pPr>
        <w:spacing w:after="0" w:line="124" w:lineRule="exact"/>
        <w:rPr>
          <w:rFonts w:ascii="Arial" w:cs="Arial" w:eastAsia="Arial" w:hAnsi="Arial"/>
          <w:sz w:val="16"/>
          <w:szCs w:val="16"/>
          <w:color w:val="auto"/>
        </w:rPr>
      </w:pPr>
    </w:p>
    <w:p>
      <w:pPr>
        <w:ind w:left="881" w:hanging="325"/>
        <w:spacing w:after="0"/>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 the effectiveness of our accounting and financial controls with our registered independent public accounting firm;</w:t>
      </w:r>
    </w:p>
    <w:p>
      <w:pPr>
        <w:spacing w:after="0" w:line="124" w:lineRule="exact"/>
        <w:rPr>
          <w:rFonts w:ascii="Arial" w:cs="Arial" w:eastAsia="Arial" w:hAnsi="Arial"/>
          <w:sz w:val="16"/>
          <w:szCs w:val="16"/>
          <w:color w:val="auto"/>
        </w:rPr>
      </w:pPr>
    </w:p>
    <w:p>
      <w:pPr>
        <w:ind w:left="881" w:hanging="325"/>
        <w:spacing w:after="0"/>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 and discuss with management and the independent auditor the results of our annual audit and our quarterly financial statements;</w:t>
      </w:r>
    </w:p>
    <w:p>
      <w:pPr>
        <w:spacing w:after="0" w:line="124" w:lineRule="exact"/>
        <w:rPr>
          <w:rFonts w:ascii="Arial" w:cs="Arial" w:eastAsia="Arial" w:hAnsi="Arial"/>
          <w:sz w:val="16"/>
          <w:szCs w:val="16"/>
          <w:color w:val="auto"/>
        </w:rPr>
      </w:pPr>
    </w:p>
    <w:p>
      <w:pPr>
        <w:ind w:left="881" w:right="20" w:hanging="325"/>
        <w:spacing w:after="0" w:line="289" w:lineRule="auto"/>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 and recommend to the Board that the financial statements be included in our Annual Report on Form 10-K and in our Quarterly Reports on Form 10-Q;</w:t>
      </w:r>
    </w:p>
    <w:p>
      <w:pPr>
        <w:spacing w:after="0" w:line="63" w:lineRule="exact"/>
        <w:rPr>
          <w:rFonts w:ascii="Arial" w:cs="Arial" w:eastAsia="Arial" w:hAnsi="Arial"/>
          <w:sz w:val="16"/>
          <w:szCs w:val="16"/>
          <w:color w:val="auto"/>
        </w:rPr>
      </w:pPr>
    </w:p>
    <w:p>
      <w:pPr>
        <w:ind w:left="881" w:hanging="325"/>
        <w:spacing w:after="0"/>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 and approve earnings press releases; and</w:t>
      </w:r>
    </w:p>
    <w:p>
      <w:pPr>
        <w:spacing w:after="0" w:line="124" w:lineRule="exact"/>
        <w:rPr>
          <w:rFonts w:ascii="Arial" w:cs="Arial" w:eastAsia="Arial" w:hAnsi="Arial"/>
          <w:sz w:val="16"/>
          <w:szCs w:val="16"/>
          <w:color w:val="auto"/>
        </w:rPr>
      </w:pPr>
    </w:p>
    <w:p>
      <w:pPr>
        <w:ind w:left="881" w:right="60" w:hanging="325"/>
        <w:spacing w:after="0" w:line="289" w:lineRule="auto"/>
        <w:tabs>
          <w:tab w:leader="none" w:pos="8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a confidential, anonymous procedures for the receipt, retention and treatment of complaints regarding accounting, internal accounting controls and auditing matters.</w:t>
      </w:r>
    </w:p>
    <w:p>
      <w:pPr>
        <w:spacing w:after="0" w:line="150" w:lineRule="exact"/>
        <w:rPr>
          <w:sz w:val="20"/>
          <w:szCs w:val="20"/>
          <w:color w:val="auto"/>
        </w:rPr>
      </w:pPr>
    </w:p>
    <w:p>
      <w:pPr>
        <w:ind w:left="541"/>
        <w:spacing w:after="0"/>
        <w:rPr>
          <w:sz w:val="20"/>
          <w:szCs w:val="20"/>
          <w:color w:val="auto"/>
        </w:rPr>
      </w:pPr>
      <w:r>
        <w:rPr>
          <w:rFonts w:ascii="Arial" w:cs="Arial" w:eastAsia="Arial" w:hAnsi="Arial"/>
          <w:sz w:val="16"/>
          <w:szCs w:val="16"/>
          <w:color w:val="auto"/>
        </w:rPr>
        <w:t xml:space="preserve">The Audit Committee has a written charter, which can be found on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The Audit Committee met six times in 2019.</w:t>
      </w:r>
    </w:p>
    <w:p>
      <w:pPr>
        <w:spacing w:after="0" w:line="211" w:lineRule="exact"/>
        <w:rPr>
          <w:sz w:val="20"/>
          <w:szCs w:val="20"/>
          <w:color w:val="auto"/>
        </w:rPr>
      </w:pPr>
    </w:p>
    <w:p>
      <w:pPr>
        <w:ind w:left="1" w:right="80" w:firstLine="539"/>
        <w:spacing w:after="0" w:line="273"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The Compensation Committee consists of Steven T. Warshaw, who serves as Chairman, Messrs. Benvenuti, Brunner and Floyd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Harman. All members of the Compensation Committee are independent as defined by Nasdaq rules. Among other matters described in its charter, the Compensation Committee’s primary duties and responsibilities are to:</w:t>
      </w: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1"/>
          </w:cols>
          <w:pgMar w:left="319" w:top="349" w:right="359" w:bottom="1440" w:gutter="0" w:footer="0" w:header="0"/>
        </w:sectPr>
      </w:pPr>
    </w:p>
    <w:bookmarkStart w:id="16" w:name="page17"/>
    <w:bookmarkEnd w:id="16"/>
    <w:p>
      <w:pPr>
        <w:ind w:left="880" w:hanging="325"/>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annually review and approve corporate goals and objectives relative to the Chief Executive Officer evaluation, compensation and performance;</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and approve our executive compensation policies and practices;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supervise the administration of our employee benefit plans, including the 2016 Omnibus Incentive Plan;</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retain and terminate any compensation consultant to be used to assist in the evaluation of director, CEO, or senior executive compensation;</w:t>
      </w:r>
    </w:p>
    <w:p>
      <w:pPr>
        <w:spacing w:after="0" w:line="149" w:lineRule="exact"/>
        <w:rPr>
          <w:rFonts w:ascii="Arial" w:cs="Arial" w:eastAsia="Arial" w:hAnsi="Arial"/>
          <w:sz w:val="16"/>
          <w:szCs w:val="16"/>
          <w:color w:val="auto"/>
        </w:rPr>
      </w:pPr>
    </w:p>
    <w:p>
      <w:pPr>
        <w:ind w:left="880" w:right="40" w:hanging="325"/>
        <w:spacing w:after="0" w:line="273"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and approve annually for senior executives of the Company: (a) the annual base salary level; (b) the annual incentive opportunity level; (c) the long-term incentive opportunity level; (d) employment agreements, severance agreements, and change in control agreements/provisions; and (e) special or supplemental benefits;</w:t>
      </w:r>
    </w:p>
    <w:p>
      <w:pPr>
        <w:spacing w:after="0" w:line="76" w:lineRule="exact"/>
        <w:rPr>
          <w:rFonts w:ascii="Arial" w:cs="Arial" w:eastAsia="Arial" w:hAnsi="Arial"/>
          <w:sz w:val="16"/>
          <w:szCs w:val="16"/>
          <w:color w:val="auto"/>
        </w:rPr>
      </w:pPr>
    </w:p>
    <w:p>
      <w:pPr>
        <w:ind w:left="880" w:hanging="325"/>
        <w:spacing w:after="0" w:line="289"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annually the risks that arise from our compensation policies and determine whether such risks are reasonably likely to have a material adverse effect; and</w:t>
      </w:r>
    </w:p>
    <w:p>
      <w:pPr>
        <w:spacing w:after="0" w:line="63" w:lineRule="exact"/>
        <w:rPr>
          <w:rFonts w:ascii="Arial" w:cs="Arial" w:eastAsia="Arial" w:hAnsi="Arial"/>
          <w:sz w:val="16"/>
          <w:szCs w:val="16"/>
          <w:color w:val="auto"/>
        </w:rPr>
      </w:pPr>
    </w:p>
    <w:p>
      <w:pPr>
        <w:ind w:left="880" w:hanging="325"/>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and assess our senior management succession plan on an annual basis.</w:t>
      </w:r>
    </w:p>
    <w:p>
      <w:pPr>
        <w:spacing w:after="0" w:line="211" w:lineRule="exact"/>
        <w:rPr>
          <w:sz w:val="20"/>
          <w:szCs w:val="20"/>
          <w:color w:val="auto"/>
        </w:rPr>
      </w:pPr>
    </w:p>
    <w:p>
      <w:pPr>
        <w:ind w:right="200" w:firstLine="539"/>
        <w:spacing w:after="0" w:line="325" w:lineRule="auto"/>
        <w:rPr>
          <w:sz w:val="20"/>
          <w:szCs w:val="20"/>
          <w:color w:val="auto"/>
        </w:rPr>
      </w:pPr>
      <w:r>
        <w:rPr>
          <w:rFonts w:ascii="Arial" w:cs="Arial" w:eastAsia="Arial" w:hAnsi="Arial"/>
          <w:sz w:val="15"/>
          <w:szCs w:val="15"/>
          <w:color w:val="auto"/>
        </w:rPr>
        <w:t xml:space="preserve">The Compensation Committee has a written charter, which can be found on our website at </w:t>
      </w:r>
      <w:r>
        <w:rPr>
          <w:rFonts w:ascii="Arial" w:cs="Arial" w:eastAsia="Arial" w:hAnsi="Arial"/>
          <w:sz w:val="15"/>
          <w:szCs w:val="15"/>
          <w:i w:val="1"/>
          <w:iCs w:val="1"/>
          <w:color w:val="auto"/>
        </w:rPr>
        <w:t>www.nninc.com.</w:t>
      </w:r>
      <w:r>
        <w:rPr>
          <w:rFonts w:ascii="Arial" w:cs="Arial" w:eastAsia="Arial" w:hAnsi="Arial"/>
          <w:sz w:val="15"/>
          <w:szCs w:val="15"/>
          <w:color w:val="auto"/>
        </w:rPr>
        <w:t xml:space="preserve"> The functions of the Compensation Committee are discussed in further detail in the section entitled “Compensation Committee Report” herein. The Compensation Committee met seven times in 2019.</w:t>
      </w:r>
    </w:p>
    <w:p>
      <w:pPr>
        <w:spacing w:after="0" w:line="126" w:lineRule="exact"/>
        <w:rPr>
          <w:sz w:val="20"/>
          <w:szCs w:val="20"/>
          <w:color w:val="auto"/>
        </w:rPr>
      </w:pPr>
    </w:p>
    <w:p>
      <w:pPr>
        <w:ind w:right="100" w:firstLine="539"/>
        <w:spacing w:after="0" w:line="273" w:lineRule="auto"/>
        <w:rPr>
          <w:sz w:val="20"/>
          <w:szCs w:val="20"/>
          <w:color w:val="auto"/>
        </w:rPr>
      </w:pPr>
      <w:r>
        <w:rPr>
          <w:rFonts w:ascii="Arial" w:cs="Arial" w:eastAsia="Arial" w:hAnsi="Arial"/>
          <w:sz w:val="16"/>
          <w:szCs w:val="16"/>
          <w:b w:val="1"/>
          <w:bCs w:val="1"/>
          <w:i w:val="1"/>
          <w:iCs w:val="1"/>
          <w:color w:val="auto"/>
        </w:rPr>
        <w:t>Governance Committee</w:t>
      </w:r>
      <w:r>
        <w:rPr>
          <w:rFonts w:ascii="Arial" w:cs="Arial" w:eastAsia="Arial" w:hAnsi="Arial"/>
          <w:sz w:val="16"/>
          <w:szCs w:val="16"/>
          <w:color w:val="auto"/>
        </w:rPr>
        <w:t>. The Governance Committee consists of David K. Floyd, who serves as Chairman, Messrs. Brunner, Pugh and Wilson and Ms. Carroll.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members of the Governance Committee are independent as defined by Nasdaq rules. Among other matters as provided in its charter, the Governance Committee’s primary duties and responsibilities are to:</w:t>
      </w:r>
    </w:p>
    <w:p>
      <w:pPr>
        <w:spacing w:after="0" w:line="76" w:lineRule="exact"/>
        <w:rPr>
          <w:sz w:val="20"/>
          <w:szCs w:val="20"/>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and recommend qualified candidates for membership on the Board;</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procedures for the retirement or replacement of Board members;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a process and criteria for Board membership;</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a candidate’s qualifications and any potential conflicts with our interests;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assess the contributions and qualifications of current Directors in connection with their re-nomination to the Board;</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a process and criteria for Committee membership and each Committee’s chair;</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develop and maintain our Governance Principles;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oversee the process of providing information to the Board; and</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oversight and review the Board performance on an annual basis.</w:t>
      </w:r>
    </w:p>
    <w:p>
      <w:pPr>
        <w:spacing w:after="0" w:line="211" w:lineRule="exact"/>
        <w:rPr>
          <w:sz w:val="20"/>
          <w:szCs w:val="20"/>
          <w:color w:val="auto"/>
        </w:rPr>
      </w:pPr>
    </w:p>
    <w:p>
      <w:pPr>
        <w:ind w:right="340" w:firstLine="539"/>
        <w:spacing w:after="0" w:line="273" w:lineRule="auto"/>
        <w:rPr>
          <w:sz w:val="20"/>
          <w:szCs w:val="20"/>
          <w:color w:val="auto"/>
        </w:rPr>
      </w:pPr>
      <w:r>
        <w:rPr>
          <w:rFonts w:ascii="Arial" w:cs="Arial" w:eastAsia="Arial" w:hAnsi="Arial"/>
          <w:sz w:val="16"/>
          <w:szCs w:val="16"/>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63" w:lineRule="exact"/>
        <w:rPr>
          <w:sz w:val="20"/>
          <w:szCs w:val="20"/>
          <w:color w:val="auto"/>
        </w:rPr>
      </w:pPr>
    </w:p>
    <w:p>
      <w:pPr>
        <w:ind w:firstLine="539"/>
        <w:spacing w:after="0" w:line="268" w:lineRule="auto"/>
        <w:rPr>
          <w:sz w:val="20"/>
          <w:szCs w:val="20"/>
          <w:color w:val="auto"/>
        </w:rPr>
      </w:pPr>
      <w:r>
        <w:rPr>
          <w:rFonts w:ascii="Arial" w:cs="Arial" w:eastAsia="Arial" w:hAnsi="Arial"/>
          <w:sz w:val="16"/>
          <w:szCs w:val="16"/>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66" w:lineRule="exact"/>
        <w:rPr>
          <w:sz w:val="20"/>
          <w:szCs w:val="20"/>
          <w:color w:val="auto"/>
        </w:rPr>
      </w:pPr>
    </w:p>
    <w:p>
      <w:pPr>
        <w:ind w:firstLine="539"/>
        <w:spacing w:after="0" w:line="273" w:lineRule="auto"/>
        <w:rPr>
          <w:sz w:val="20"/>
          <w:szCs w:val="20"/>
          <w:color w:val="auto"/>
        </w:rPr>
      </w:pPr>
      <w:r>
        <w:rPr>
          <w:rFonts w:ascii="Arial" w:cs="Arial" w:eastAsia="Arial" w:hAnsi="Arial"/>
          <w:sz w:val="16"/>
          <w:szCs w:val="16"/>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63" w:lineRule="exact"/>
        <w:rPr>
          <w:sz w:val="20"/>
          <w:szCs w:val="20"/>
          <w:color w:val="auto"/>
        </w:rPr>
      </w:pPr>
    </w:p>
    <w:p>
      <w:pPr>
        <w:ind w:right="80" w:firstLine="539"/>
        <w:spacing w:after="0" w:line="291" w:lineRule="auto"/>
        <w:rPr>
          <w:sz w:val="20"/>
          <w:szCs w:val="20"/>
          <w:color w:val="auto"/>
        </w:rPr>
      </w:pPr>
      <w:r>
        <w:rPr>
          <w:rFonts w:ascii="Arial" w:cs="Arial" w:eastAsia="Arial" w:hAnsi="Arial"/>
          <w:sz w:val="15"/>
          <w:szCs w:val="15"/>
          <w:color w:val="auto"/>
        </w:rPr>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diversity is a consideration in the Committee’s consideration of candidates, we do not have a formal policy regarding diversity. We do not discriminate against candidates on the basis of gender, race, religion, national origin, sexual orientation, disability or any other basis as prescribed by law. The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80"/>
          </w:cols>
          <w:pgMar w:left="320" w:top="349" w:right="39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Governance Committee will also consider whether a candidate meets the definition of “independent director” under Nasdaq rules.</w:t>
      </w:r>
    </w:p>
    <w:p>
      <w:pPr>
        <w:spacing w:after="0" w:line="211" w:lineRule="exact"/>
        <w:rPr>
          <w:sz w:val="20"/>
          <w:szCs w:val="20"/>
          <w:color w:val="auto"/>
        </w:rPr>
      </w:pPr>
    </w:p>
    <w:p>
      <w:pPr>
        <w:ind w:right="60" w:firstLine="539"/>
        <w:spacing w:after="0" w:line="263" w:lineRule="auto"/>
        <w:rPr>
          <w:sz w:val="20"/>
          <w:szCs w:val="20"/>
          <w:color w:val="auto"/>
        </w:rPr>
      </w:pPr>
      <w:r>
        <w:rPr>
          <w:rFonts w:ascii="Arial" w:cs="Arial" w:eastAsia="Arial" w:hAnsi="Arial"/>
          <w:sz w:val="16"/>
          <w:szCs w:val="16"/>
          <w:color w:val="auto"/>
        </w:rPr>
        <w:t>In evaluating director nominees, including candidates submitted by stockholders, the Governance Committee will consider a director candidate’s experience, qualifications, attributes, and skills. The Governance Committee will also consider the candidate’s integrity, ability to make independent analytical inquiries, understanding of our business environment and willingness to devote adequate time to board duties. The Governance Committee will also consider whether a candidate meets the definition of “independent director” under Nasdaq rules. The Governance Committee will evaluate any director candidate nominated by stockholders according to the foregoing criteria and, based on the results of that evaluation, will determine whether to include the candidate in its recommended slate of director nominees in the proxy statement. No stockholder or group of stockholders who beneficially owned more than 5% of NN’s common stock for at least one year at the time of such recommendation has recommended candidates for election to the Board.</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The Governance Committee has a written charter, which can be found on our website at </w:t>
      </w:r>
      <w:r>
        <w:rPr>
          <w:rFonts w:ascii="Arial" w:cs="Arial" w:eastAsia="Arial" w:hAnsi="Arial"/>
          <w:sz w:val="15"/>
          <w:szCs w:val="15"/>
          <w:i w:val="1"/>
          <w:iCs w:val="1"/>
          <w:color w:val="auto"/>
        </w:rPr>
        <w:t>www.nninc.com</w:t>
      </w:r>
      <w:r>
        <w:rPr>
          <w:rFonts w:ascii="Arial" w:cs="Arial" w:eastAsia="Arial" w:hAnsi="Arial"/>
          <w:sz w:val="15"/>
          <w:szCs w:val="15"/>
          <w:color w:val="auto"/>
        </w:rPr>
        <w:t>. The Governance Committee met eight times in 2019.</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shows the current membership of each standing Committee of the Board: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520" w:type="dxa"/>
            <w:vAlign w:val="bottom"/>
          </w:tcPr>
          <w:p>
            <w:pPr>
              <w:spacing w:after="0"/>
              <w:rPr>
                <w:sz w:val="13"/>
                <w:szCs w:val="13"/>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6"/>
              </w:rPr>
              <w:t>Audit</w:t>
            </w:r>
          </w:p>
        </w:tc>
        <w:tc>
          <w:tcPr>
            <w:tcW w:w="228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8"/>
              </w:rPr>
              <w:t>Compensation</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0"/>
              </w:rPr>
              <w:t>Governance</w:t>
            </w:r>
          </w:p>
        </w:tc>
        <w:tc>
          <w:tcPr>
            <w:tcW w:w="0" w:type="dxa"/>
            <w:vAlign w:val="bottom"/>
          </w:tcPr>
          <w:p>
            <w:pPr>
              <w:spacing w:after="0"/>
              <w:rPr>
                <w:sz w:val="1"/>
                <w:szCs w:val="1"/>
                <w:color w:val="auto"/>
              </w:rPr>
            </w:pPr>
          </w:p>
        </w:tc>
      </w:tr>
      <w:tr>
        <w:trPr>
          <w:trHeight w:val="164"/>
        </w:trPr>
        <w:tc>
          <w:tcPr>
            <w:tcW w:w="50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2"/>
          </w:tcPr>
          <w:p>
            <w:pPr>
              <w:jc w:val="center"/>
              <w:ind w:right="540"/>
              <w:spacing w:after="0" w:line="144" w:lineRule="exact"/>
              <w:rPr>
                <w:sz w:val="20"/>
                <w:szCs w:val="20"/>
                <w:color w:val="auto"/>
              </w:rPr>
            </w:pPr>
            <w:r>
              <w:rPr>
                <w:rFonts w:ascii="Arial" w:cs="Arial" w:eastAsia="Arial" w:hAnsi="Arial"/>
                <w:sz w:val="13"/>
                <w:szCs w:val="13"/>
                <w:b w:val="1"/>
                <w:bCs w:val="1"/>
                <w:color w:val="auto"/>
                <w:w w:val="92"/>
              </w:rPr>
              <w:t>Committee</w:t>
            </w:r>
          </w:p>
        </w:tc>
        <w:tc>
          <w:tcPr>
            <w:tcW w:w="2280" w:type="dxa"/>
            <w:vAlign w:val="bottom"/>
            <w:gridSpan w:val="2"/>
          </w:tcPr>
          <w:p>
            <w:pPr>
              <w:jc w:val="center"/>
              <w:ind w:right="540"/>
              <w:spacing w:after="0" w:line="144" w:lineRule="exact"/>
              <w:rPr>
                <w:sz w:val="20"/>
                <w:szCs w:val="20"/>
                <w:color w:val="auto"/>
              </w:rPr>
            </w:pPr>
            <w:r>
              <w:rPr>
                <w:rFonts w:ascii="Arial" w:cs="Arial" w:eastAsia="Arial" w:hAnsi="Arial"/>
                <w:sz w:val="13"/>
                <w:szCs w:val="13"/>
                <w:b w:val="1"/>
                <w:bCs w:val="1"/>
                <w:color w:val="auto"/>
                <w:w w:val="92"/>
              </w:rPr>
              <w:t>Committee</w:t>
            </w:r>
          </w:p>
        </w:tc>
        <w:tc>
          <w:tcPr>
            <w:tcW w:w="15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Committee</w:t>
            </w:r>
          </w:p>
        </w:tc>
        <w:tc>
          <w:tcPr>
            <w:tcW w:w="0" w:type="dxa"/>
            <w:vAlign w:val="bottom"/>
          </w:tcPr>
          <w:p>
            <w:pPr>
              <w:spacing w:after="0"/>
              <w:rPr>
                <w:sz w:val="1"/>
                <w:szCs w:val="1"/>
                <w:color w:val="auto"/>
              </w:rPr>
            </w:pPr>
          </w:p>
        </w:tc>
      </w:tr>
      <w:tr>
        <w:trPr>
          <w:trHeight w:val="182"/>
        </w:trPr>
        <w:tc>
          <w:tcPr>
            <w:tcW w:w="5040" w:type="dxa"/>
            <w:vAlign w:val="bottom"/>
            <w:tcBorders>
              <w:top w:val="single" w:sz="8" w:color="C6D9F1"/>
            </w:tcBorders>
            <w:shd w:val="clear" w:color="auto" w:fill="C6D9F1"/>
          </w:tcPr>
          <w:p>
            <w:pPr>
              <w:spacing w:after="0" w:line="182" w:lineRule="exact"/>
              <w:rPr>
                <w:sz w:val="20"/>
                <w:szCs w:val="20"/>
                <w:color w:val="auto"/>
              </w:rPr>
            </w:pPr>
            <w:r>
              <w:rPr>
                <w:rFonts w:ascii="Arial" w:cs="Arial" w:eastAsia="Arial" w:hAnsi="Arial"/>
                <w:sz w:val="16"/>
                <w:szCs w:val="16"/>
                <w:color w:val="auto"/>
              </w:rPr>
              <w:t>Mr. Benvenuti</w:t>
            </w:r>
          </w:p>
        </w:tc>
        <w:tc>
          <w:tcPr>
            <w:tcW w:w="520" w:type="dxa"/>
            <w:vAlign w:val="bottom"/>
            <w:tcBorders>
              <w:top w:val="single" w:sz="8" w:color="C6D9F1"/>
            </w:tcBorders>
            <w:shd w:val="clear" w:color="auto" w:fill="C6D9F1"/>
          </w:tcPr>
          <w:p>
            <w:pPr>
              <w:spacing w:after="0"/>
              <w:rPr>
                <w:sz w:val="15"/>
                <w:szCs w:val="15"/>
                <w:color w:val="auto"/>
              </w:rPr>
            </w:pPr>
          </w:p>
        </w:tc>
        <w:tc>
          <w:tcPr>
            <w:tcW w:w="1360" w:type="dxa"/>
            <w:vAlign w:val="bottom"/>
            <w:tcBorders>
              <w:top w:val="single" w:sz="8" w:color="auto"/>
            </w:tcBorders>
            <w:shd w:val="clear" w:color="auto" w:fill="C6D9F1"/>
          </w:tcPr>
          <w:p>
            <w:pPr>
              <w:jc w:val="center"/>
              <w:spacing w:after="0" w:line="182" w:lineRule="exact"/>
              <w:rPr>
                <w:sz w:val="20"/>
                <w:szCs w:val="20"/>
                <w:color w:val="auto"/>
              </w:rPr>
            </w:pPr>
            <w:r>
              <w:rPr>
                <w:rFonts w:ascii="Arial" w:cs="Arial" w:eastAsia="Arial" w:hAnsi="Arial"/>
                <w:sz w:val="16"/>
                <w:szCs w:val="16"/>
                <w:color w:val="auto"/>
              </w:rPr>
              <w:t>X</w:t>
            </w:r>
          </w:p>
        </w:tc>
        <w:tc>
          <w:tcPr>
            <w:tcW w:w="520" w:type="dxa"/>
            <w:vAlign w:val="bottom"/>
            <w:tcBorders>
              <w:top w:val="single" w:sz="8" w:color="C6D9F1"/>
            </w:tcBorders>
            <w:shd w:val="clear" w:color="auto" w:fill="C6D9F1"/>
          </w:tcPr>
          <w:p>
            <w:pPr>
              <w:spacing w:after="0"/>
              <w:rPr>
                <w:sz w:val="15"/>
                <w:szCs w:val="15"/>
                <w:color w:val="auto"/>
              </w:rPr>
            </w:pPr>
          </w:p>
        </w:tc>
        <w:tc>
          <w:tcPr>
            <w:tcW w:w="1760" w:type="dxa"/>
            <w:vAlign w:val="bottom"/>
            <w:tcBorders>
              <w:top w:val="single" w:sz="8" w:color="auto"/>
            </w:tcBorders>
            <w:shd w:val="clear" w:color="auto" w:fill="C6D9F1"/>
          </w:tcPr>
          <w:p>
            <w:pPr>
              <w:jc w:val="center"/>
              <w:spacing w:after="0" w:line="182" w:lineRule="exact"/>
              <w:rPr>
                <w:sz w:val="20"/>
                <w:szCs w:val="20"/>
                <w:color w:val="auto"/>
              </w:rPr>
            </w:pPr>
            <w:r>
              <w:rPr>
                <w:rFonts w:ascii="Arial" w:cs="Arial" w:eastAsia="Arial" w:hAnsi="Arial"/>
                <w:sz w:val="16"/>
                <w:szCs w:val="16"/>
                <w:color w:val="auto"/>
              </w:rPr>
              <w:t>X</w:t>
            </w:r>
          </w:p>
        </w:tc>
        <w:tc>
          <w:tcPr>
            <w:tcW w:w="520" w:type="dxa"/>
            <w:vAlign w:val="bottom"/>
            <w:tcBorders>
              <w:top w:val="single" w:sz="8" w:color="C6D9F1"/>
            </w:tcBorders>
            <w:shd w:val="clear" w:color="auto" w:fill="C6D9F1"/>
          </w:tcPr>
          <w:p>
            <w:pPr>
              <w:spacing w:after="0"/>
              <w:rPr>
                <w:sz w:val="15"/>
                <w:szCs w:val="15"/>
                <w:color w:val="auto"/>
              </w:rPr>
            </w:pPr>
          </w:p>
        </w:tc>
        <w:tc>
          <w:tcPr>
            <w:tcW w:w="1520" w:type="dxa"/>
            <w:vAlign w:val="bottom"/>
            <w:tcBorders>
              <w:top w:val="single" w:sz="8" w:color="auto"/>
            </w:tcBorders>
            <w:shd w:val="clear" w:color="auto" w:fill="C6D9F1"/>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20"/>
                <w:szCs w:val="20"/>
                <w:color w:val="auto"/>
              </w:rPr>
            </w:pPr>
            <w:r>
              <w:rPr>
                <w:rFonts w:ascii="Arial" w:cs="Arial" w:eastAsia="Arial" w:hAnsi="Arial"/>
                <w:sz w:val="16"/>
                <w:szCs w:val="16"/>
                <w:color w:val="auto"/>
              </w:rPr>
              <w:t>Mr. Brunner</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gridSpan w:val="2"/>
          </w:tcPr>
          <w:p>
            <w:pPr>
              <w:jc w:val="center"/>
              <w:ind w:right="520"/>
              <w:spacing w:after="0"/>
              <w:rPr>
                <w:sz w:val="20"/>
                <w:szCs w:val="20"/>
                <w:color w:val="auto"/>
              </w:rPr>
            </w:pPr>
            <w:r>
              <w:rPr>
                <w:rFonts w:ascii="Arial" w:cs="Arial" w:eastAsia="Arial" w:hAnsi="Arial"/>
                <w:sz w:val="16"/>
                <w:szCs w:val="16"/>
                <w:color w:val="auto"/>
              </w:rPr>
              <w:t>X</w:t>
            </w:r>
          </w:p>
        </w:tc>
        <w:tc>
          <w:tcPr>
            <w:tcW w:w="15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8"/>
        </w:trPr>
        <w:tc>
          <w:tcPr>
            <w:tcW w:w="5040" w:type="dxa"/>
            <w:vAlign w:val="bottom"/>
            <w:shd w:val="clear" w:color="auto" w:fill="C6D9F1"/>
          </w:tcPr>
          <w:p>
            <w:pPr>
              <w:spacing w:after="0"/>
              <w:rPr>
                <w:sz w:val="20"/>
                <w:szCs w:val="20"/>
                <w:color w:val="auto"/>
              </w:rPr>
            </w:pPr>
            <w:r>
              <w:rPr>
                <w:rFonts w:ascii="Arial" w:cs="Arial" w:eastAsia="Arial" w:hAnsi="Arial"/>
                <w:sz w:val="16"/>
                <w:szCs w:val="16"/>
                <w:color w:val="auto"/>
              </w:rPr>
              <w:t>Ms. Carroll</w:t>
            </w:r>
          </w:p>
        </w:tc>
        <w:tc>
          <w:tcPr>
            <w:tcW w:w="520" w:type="dxa"/>
            <w:vAlign w:val="bottom"/>
            <w:shd w:val="clear" w:color="auto" w:fill="C6D9F1"/>
          </w:tcPr>
          <w:p>
            <w:pPr>
              <w:spacing w:after="0"/>
              <w:rPr>
                <w:sz w:val="17"/>
                <w:szCs w:val="17"/>
                <w:color w:val="auto"/>
              </w:rPr>
            </w:pPr>
          </w:p>
        </w:tc>
        <w:tc>
          <w:tcPr>
            <w:tcW w:w="1880" w:type="dxa"/>
            <w:vAlign w:val="bottom"/>
            <w:gridSpan w:val="2"/>
            <w:shd w:val="clear" w:color="auto" w:fill="C6D9F1"/>
          </w:tcPr>
          <w:p>
            <w:pPr>
              <w:jc w:val="center"/>
              <w:ind w:right="520"/>
              <w:spacing w:after="0"/>
              <w:rPr>
                <w:sz w:val="20"/>
                <w:szCs w:val="20"/>
                <w:color w:val="auto"/>
              </w:rPr>
            </w:pPr>
            <w:r>
              <w:rPr>
                <w:rFonts w:ascii="Arial" w:cs="Arial" w:eastAsia="Arial" w:hAnsi="Arial"/>
                <w:sz w:val="16"/>
                <w:szCs w:val="16"/>
                <w:color w:val="auto"/>
              </w:rPr>
              <w:t>X</w:t>
            </w:r>
          </w:p>
        </w:tc>
        <w:tc>
          <w:tcPr>
            <w:tcW w:w="1760" w:type="dxa"/>
            <w:vAlign w:val="bottom"/>
            <w:shd w:val="clear" w:color="auto" w:fill="C6D9F1"/>
          </w:tcPr>
          <w:p>
            <w:pPr>
              <w:spacing w:after="0"/>
              <w:rPr>
                <w:sz w:val="17"/>
                <w:szCs w:val="17"/>
                <w:color w:val="auto"/>
              </w:rPr>
            </w:pPr>
          </w:p>
        </w:tc>
        <w:tc>
          <w:tcPr>
            <w:tcW w:w="520" w:type="dxa"/>
            <w:vAlign w:val="bottom"/>
            <w:shd w:val="clear" w:color="auto" w:fill="C6D9F1"/>
          </w:tcPr>
          <w:p>
            <w:pPr>
              <w:spacing w:after="0"/>
              <w:rPr>
                <w:sz w:val="17"/>
                <w:szCs w:val="17"/>
                <w:color w:val="auto"/>
              </w:rPr>
            </w:pPr>
          </w:p>
        </w:tc>
        <w:tc>
          <w:tcPr>
            <w:tcW w:w="152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20"/>
                <w:szCs w:val="20"/>
                <w:color w:val="auto"/>
              </w:rPr>
            </w:pPr>
            <w:r>
              <w:rPr>
                <w:rFonts w:ascii="Arial" w:cs="Arial" w:eastAsia="Arial" w:hAnsi="Arial"/>
                <w:sz w:val="16"/>
                <w:szCs w:val="16"/>
                <w:color w:val="auto"/>
              </w:rPr>
              <w:t>Mr. Floyd</w:t>
            </w: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80" w:type="dxa"/>
            <w:vAlign w:val="bottom"/>
            <w:gridSpan w:val="2"/>
          </w:tcPr>
          <w:p>
            <w:pPr>
              <w:jc w:val="center"/>
              <w:ind w:right="520"/>
              <w:spacing w:after="0"/>
              <w:rPr>
                <w:sz w:val="20"/>
                <w:szCs w:val="20"/>
                <w:color w:val="auto"/>
              </w:rPr>
            </w:pPr>
            <w:r>
              <w:rPr>
                <w:rFonts w:ascii="Arial" w:cs="Arial" w:eastAsia="Arial" w:hAnsi="Arial"/>
                <w:sz w:val="16"/>
                <w:szCs w:val="16"/>
                <w:color w:val="auto"/>
              </w:rPr>
              <w:t>X</w:t>
            </w:r>
          </w:p>
        </w:tc>
        <w:tc>
          <w:tcPr>
            <w:tcW w:w="1520" w:type="dxa"/>
            <w:vAlign w:val="bottom"/>
          </w:tcPr>
          <w:p>
            <w:pPr>
              <w:jc w:val="center"/>
              <w:spacing w:after="0"/>
              <w:rPr>
                <w:sz w:val="20"/>
                <w:szCs w:val="20"/>
                <w:color w:val="auto"/>
              </w:rPr>
            </w:pPr>
            <w:r>
              <w:rPr>
                <w:rFonts w:ascii="Arial" w:cs="Arial" w:eastAsia="Arial" w:hAnsi="Arial"/>
                <w:sz w:val="16"/>
                <w:szCs w:val="16"/>
                <w:color w:val="auto"/>
                <w:w w:val="94"/>
              </w:rPr>
              <w:t>Chair</w:t>
            </w:r>
          </w:p>
        </w:tc>
        <w:tc>
          <w:tcPr>
            <w:tcW w:w="0" w:type="dxa"/>
            <w:vAlign w:val="bottom"/>
          </w:tcPr>
          <w:p>
            <w:pPr>
              <w:spacing w:after="0"/>
              <w:rPr>
                <w:sz w:val="1"/>
                <w:szCs w:val="1"/>
                <w:color w:val="auto"/>
              </w:rPr>
            </w:pPr>
          </w:p>
        </w:tc>
      </w:tr>
      <w:tr>
        <w:trPr>
          <w:trHeight w:val="198"/>
        </w:trPr>
        <w:tc>
          <w:tcPr>
            <w:tcW w:w="5040" w:type="dxa"/>
            <w:vAlign w:val="bottom"/>
            <w:shd w:val="clear" w:color="auto" w:fill="C6D9F1"/>
          </w:tcPr>
          <w:p>
            <w:pPr>
              <w:spacing w:after="0"/>
              <w:rPr>
                <w:sz w:val="20"/>
                <w:szCs w:val="20"/>
                <w:color w:val="auto"/>
              </w:rPr>
            </w:pPr>
            <w:r>
              <w:rPr>
                <w:rFonts w:ascii="Arial" w:cs="Arial" w:eastAsia="Arial" w:hAnsi="Arial"/>
                <w:sz w:val="16"/>
                <w:szCs w:val="16"/>
                <w:color w:val="auto"/>
              </w:rPr>
              <w:t>Ms. Harman</w:t>
            </w:r>
          </w:p>
        </w:tc>
        <w:tc>
          <w:tcPr>
            <w:tcW w:w="520" w:type="dxa"/>
            <w:vAlign w:val="bottom"/>
            <w:shd w:val="clear" w:color="auto" w:fill="C6D9F1"/>
          </w:tcPr>
          <w:p>
            <w:pPr>
              <w:spacing w:after="0"/>
              <w:rPr>
                <w:sz w:val="17"/>
                <w:szCs w:val="17"/>
                <w:color w:val="auto"/>
              </w:rPr>
            </w:pPr>
          </w:p>
        </w:tc>
        <w:tc>
          <w:tcPr>
            <w:tcW w:w="1360" w:type="dxa"/>
            <w:vAlign w:val="bottom"/>
            <w:shd w:val="clear" w:color="auto" w:fill="C6D9F1"/>
          </w:tcPr>
          <w:p>
            <w:pPr>
              <w:spacing w:after="0"/>
              <w:rPr>
                <w:sz w:val="17"/>
                <w:szCs w:val="17"/>
                <w:color w:val="auto"/>
              </w:rPr>
            </w:pPr>
          </w:p>
        </w:tc>
        <w:tc>
          <w:tcPr>
            <w:tcW w:w="520" w:type="dxa"/>
            <w:vAlign w:val="bottom"/>
            <w:shd w:val="clear" w:color="auto" w:fill="C6D9F1"/>
          </w:tcPr>
          <w:p>
            <w:pPr>
              <w:spacing w:after="0"/>
              <w:rPr>
                <w:sz w:val="17"/>
                <w:szCs w:val="17"/>
                <w:color w:val="auto"/>
              </w:rPr>
            </w:pPr>
          </w:p>
        </w:tc>
        <w:tc>
          <w:tcPr>
            <w:tcW w:w="2280" w:type="dxa"/>
            <w:vAlign w:val="bottom"/>
            <w:gridSpan w:val="2"/>
            <w:shd w:val="clear" w:color="auto" w:fill="C6D9F1"/>
          </w:tcPr>
          <w:p>
            <w:pPr>
              <w:jc w:val="center"/>
              <w:ind w:right="520"/>
              <w:spacing w:after="0"/>
              <w:rPr>
                <w:sz w:val="20"/>
                <w:szCs w:val="20"/>
                <w:color w:val="auto"/>
              </w:rPr>
            </w:pPr>
            <w:r>
              <w:rPr>
                <w:rFonts w:ascii="Arial" w:cs="Arial" w:eastAsia="Arial" w:hAnsi="Arial"/>
                <w:sz w:val="16"/>
                <w:szCs w:val="16"/>
                <w:color w:val="auto"/>
              </w:rPr>
              <w:t>X</w:t>
            </w:r>
          </w:p>
        </w:tc>
        <w:tc>
          <w:tcPr>
            <w:tcW w:w="1520" w:type="dxa"/>
            <w:vAlign w:val="bottom"/>
            <w:shd w:val="clear" w:color="auto" w:fill="C6D9F1"/>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8"/>
        </w:trPr>
        <w:tc>
          <w:tcPr>
            <w:tcW w:w="5040" w:type="dxa"/>
            <w:vAlign w:val="bottom"/>
          </w:tcPr>
          <w:p>
            <w:pPr>
              <w:spacing w:after="0"/>
              <w:rPr>
                <w:sz w:val="20"/>
                <w:szCs w:val="20"/>
                <w:color w:val="auto"/>
              </w:rPr>
            </w:pPr>
            <w:r>
              <w:rPr>
                <w:rFonts w:ascii="Arial" w:cs="Arial" w:eastAsia="Arial" w:hAnsi="Arial"/>
                <w:sz w:val="16"/>
                <w:szCs w:val="16"/>
                <w:color w:val="auto"/>
              </w:rPr>
              <w:t>Mr. Pugh</w:t>
            </w:r>
            <w:r>
              <w:rPr>
                <w:rFonts w:ascii="Arial" w:cs="Arial" w:eastAsia="Arial" w:hAnsi="Arial"/>
                <w:sz w:val="13"/>
                <w:szCs w:val="13"/>
                <w:color w:val="auto"/>
              </w:rPr>
              <w:t>(1)</w:t>
            </w:r>
          </w:p>
        </w:tc>
        <w:tc>
          <w:tcPr>
            <w:tcW w:w="520" w:type="dxa"/>
            <w:vAlign w:val="bottom"/>
          </w:tcPr>
          <w:p>
            <w:pPr>
              <w:spacing w:after="0"/>
              <w:rPr>
                <w:sz w:val="17"/>
                <w:szCs w:val="17"/>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6"/>
                <w:szCs w:val="16"/>
                <w:color w:val="auto"/>
              </w:rPr>
              <w:t>X</w:t>
            </w:r>
          </w:p>
        </w:tc>
        <w:tc>
          <w:tcPr>
            <w:tcW w:w="1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8"/>
        </w:trPr>
        <w:tc>
          <w:tcPr>
            <w:tcW w:w="5040" w:type="dxa"/>
            <w:vAlign w:val="bottom"/>
            <w:shd w:val="clear" w:color="auto" w:fill="C6D9F1"/>
          </w:tcPr>
          <w:p>
            <w:pPr>
              <w:spacing w:after="0"/>
              <w:rPr>
                <w:sz w:val="20"/>
                <w:szCs w:val="20"/>
                <w:color w:val="auto"/>
              </w:rPr>
            </w:pPr>
            <w:r>
              <w:rPr>
                <w:rFonts w:ascii="Arial" w:cs="Arial" w:eastAsia="Arial" w:hAnsi="Arial"/>
                <w:sz w:val="16"/>
                <w:szCs w:val="16"/>
                <w:color w:val="auto"/>
              </w:rPr>
              <w:t>Mr. Warshaw</w:t>
            </w:r>
          </w:p>
        </w:tc>
        <w:tc>
          <w:tcPr>
            <w:tcW w:w="520" w:type="dxa"/>
            <w:vAlign w:val="bottom"/>
            <w:shd w:val="clear" w:color="auto" w:fill="C6D9F1"/>
          </w:tcPr>
          <w:p>
            <w:pPr>
              <w:spacing w:after="0"/>
              <w:rPr>
                <w:sz w:val="17"/>
                <w:szCs w:val="17"/>
                <w:color w:val="auto"/>
              </w:rPr>
            </w:pPr>
          </w:p>
        </w:tc>
        <w:tc>
          <w:tcPr>
            <w:tcW w:w="1880" w:type="dxa"/>
            <w:vAlign w:val="bottom"/>
            <w:gridSpan w:val="2"/>
            <w:shd w:val="clear" w:color="auto" w:fill="C6D9F1"/>
          </w:tcPr>
          <w:p>
            <w:pPr>
              <w:jc w:val="center"/>
              <w:ind w:right="520"/>
              <w:spacing w:after="0"/>
              <w:rPr>
                <w:sz w:val="20"/>
                <w:szCs w:val="20"/>
                <w:color w:val="auto"/>
              </w:rPr>
            </w:pPr>
            <w:r>
              <w:rPr>
                <w:rFonts w:ascii="Arial" w:cs="Arial" w:eastAsia="Arial" w:hAnsi="Arial"/>
                <w:sz w:val="16"/>
                <w:szCs w:val="16"/>
                <w:color w:val="auto"/>
              </w:rPr>
              <w:t>X</w:t>
            </w:r>
          </w:p>
        </w:tc>
        <w:tc>
          <w:tcPr>
            <w:tcW w:w="2280" w:type="dxa"/>
            <w:vAlign w:val="bottom"/>
            <w:gridSpan w:val="2"/>
            <w:shd w:val="clear" w:color="auto" w:fill="C6D9F1"/>
          </w:tcPr>
          <w:p>
            <w:pPr>
              <w:jc w:val="center"/>
              <w:ind w:right="520"/>
              <w:spacing w:after="0"/>
              <w:rPr>
                <w:sz w:val="20"/>
                <w:szCs w:val="20"/>
                <w:color w:val="auto"/>
              </w:rPr>
            </w:pPr>
            <w:r>
              <w:rPr>
                <w:rFonts w:ascii="Arial" w:cs="Arial" w:eastAsia="Arial" w:hAnsi="Arial"/>
                <w:sz w:val="16"/>
                <w:szCs w:val="16"/>
                <w:color w:val="auto"/>
                <w:w w:val="94"/>
              </w:rPr>
              <w:t>Chair</w:t>
            </w:r>
          </w:p>
        </w:tc>
        <w:tc>
          <w:tcPr>
            <w:tcW w:w="152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20"/>
                <w:szCs w:val="20"/>
                <w:color w:val="auto"/>
              </w:rPr>
            </w:pPr>
            <w:r>
              <w:rPr>
                <w:rFonts w:ascii="Arial" w:cs="Arial" w:eastAsia="Arial" w:hAnsi="Arial"/>
                <w:sz w:val="16"/>
                <w:szCs w:val="16"/>
                <w:color w:val="auto"/>
              </w:rPr>
              <w:t>Mr. Wilson</w:t>
            </w:r>
          </w:p>
        </w:tc>
        <w:tc>
          <w:tcPr>
            <w:tcW w:w="520" w:type="dxa"/>
            <w:vAlign w:val="bottom"/>
          </w:tcPr>
          <w:p>
            <w:pPr>
              <w:spacing w:after="0"/>
              <w:rPr>
                <w:sz w:val="16"/>
                <w:szCs w:val="16"/>
                <w:color w:val="auto"/>
              </w:rPr>
            </w:pPr>
          </w:p>
        </w:tc>
        <w:tc>
          <w:tcPr>
            <w:tcW w:w="1880" w:type="dxa"/>
            <w:vAlign w:val="bottom"/>
            <w:gridSpan w:val="2"/>
          </w:tcPr>
          <w:p>
            <w:pPr>
              <w:jc w:val="center"/>
              <w:ind w:right="520"/>
              <w:spacing w:after="0"/>
              <w:rPr>
                <w:sz w:val="20"/>
                <w:szCs w:val="20"/>
                <w:color w:val="auto"/>
              </w:rPr>
            </w:pPr>
            <w:r>
              <w:rPr>
                <w:rFonts w:ascii="Arial" w:cs="Arial" w:eastAsia="Arial" w:hAnsi="Arial"/>
                <w:sz w:val="16"/>
                <w:szCs w:val="16"/>
                <w:color w:val="auto"/>
                <w:w w:val="94"/>
              </w:rPr>
              <w:t>Chair</w:t>
            </w:r>
          </w:p>
        </w:tc>
        <w:tc>
          <w:tcPr>
            <w:tcW w:w="1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9"/>
        </w:trPr>
        <w:tc>
          <w:tcPr>
            <w:tcW w:w="5040" w:type="dxa"/>
            <w:vAlign w:val="bottom"/>
          </w:tcPr>
          <w:p>
            <w:pPr>
              <w:spacing w:after="0"/>
              <w:rPr>
                <w:sz w:val="20"/>
                <w:szCs w:val="20"/>
                <w:color w:val="auto"/>
              </w:rPr>
            </w:pPr>
            <w:r>
              <w:rPr>
                <w:rFonts w:ascii="Arial" w:cs="Arial" w:eastAsia="Arial" w:hAnsi="Arial"/>
                <w:sz w:val="16"/>
                <w:szCs w:val="16"/>
                <w:color w:val="auto"/>
              </w:rPr>
              <w:t>_______________________</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(1)Mr. Pugh will retire from the Board and has tendered his resignation effective as of the date of the Annual Meeting.</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w:t>
      </w:r>
    </w:p>
    <w:p>
      <w:pPr>
        <w:spacing w:after="0" w:line="116" w:lineRule="exact"/>
        <w:rPr>
          <w:sz w:val="20"/>
          <w:szCs w:val="20"/>
          <w:color w:val="auto"/>
        </w:rPr>
      </w:pPr>
    </w:p>
    <w:p>
      <w:pPr>
        <w:ind w:firstLine="539"/>
        <w:spacing w:after="0" w:line="291" w:lineRule="auto"/>
        <w:rPr>
          <w:sz w:val="20"/>
          <w:szCs w:val="20"/>
          <w:color w:val="auto"/>
        </w:rPr>
      </w:pPr>
      <w:r>
        <w:rPr>
          <w:rFonts w:ascii="Arial" w:cs="Arial" w:eastAsia="Arial" w:hAnsi="Arial"/>
          <w:sz w:val="15"/>
          <w:szCs w:val="15"/>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2019, our independent, non-management directors regularly met without management present.</w:t>
      </w:r>
    </w:p>
    <w:p>
      <w:pPr>
        <w:spacing w:after="0" w:line="151" w:lineRule="exact"/>
        <w:rPr>
          <w:sz w:val="20"/>
          <w:szCs w:val="20"/>
          <w:color w:val="auto"/>
        </w:rPr>
      </w:pPr>
    </w:p>
    <w:p>
      <w:pPr>
        <w:ind w:right="140" w:firstLine="539"/>
        <w:spacing w:after="0" w:line="268" w:lineRule="auto"/>
        <w:rPr>
          <w:sz w:val="20"/>
          <w:szCs w:val="20"/>
          <w:color w:val="auto"/>
        </w:rPr>
      </w:pPr>
      <w:r>
        <w:rPr>
          <w:rFonts w:ascii="Arial" w:cs="Arial" w:eastAsia="Arial" w:hAnsi="Arial"/>
          <w:sz w:val="16"/>
          <w:szCs w:val="16"/>
          <w:color w:val="auto"/>
        </w:rPr>
        <w:t>The positions of Chairman of the Board and Chief Executive Officer are held by two different individuals. The Board is led by Robert E. Brunner, the Chairman of the Board and an independent director. Mr. Brunner has served as our Chairman since 2017 and has performed the responsibilities prescribed to him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66" w:lineRule="exact"/>
        <w:rPr>
          <w:sz w:val="20"/>
          <w:szCs w:val="20"/>
          <w:color w:val="auto"/>
        </w:rPr>
      </w:pPr>
    </w:p>
    <w:p>
      <w:pPr>
        <w:ind w:right="100" w:firstLine="539"/>
        <w:spacing w:after="0" w:line="312" w:lineRule="auto"/>
        <w:rPr>
          <w:sz w:val="20"/>
          <w:szCs w:val="20"/>
          <w:color w:val="auto"/>
        </w:rPr>
      </w:pPr>
      <w:r>
        <w:rPr>
          <w:rFonts w:ascii="Arial" w:cs="Arial" w:eastAsia="Arial" w:hAnsi="Arial"/>
          <w:sz w:val="14"/>
          <w:szCs w:val="14"/>
          <w:color w:val="auto"/>
        </w:rPr>
        <w:t>The Board has determined that the current separation of Chairman of the Board and Chief Executive Officer is the most appropriate structure at this time as it provides an effective balance between oversight of management and day-to-day leadership. Mr. Brunner, a long-time independent director, has extensive experience with technology, precision metal, plastic and bearing manufacturers and has deep knowledge about the Company, its operations and businesses,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Independence</w:t>
      </w:r>
    </w:p>
    <w:p>
      <w:pPr>
        <w:spacing w:after="0" w:line="116" w:lineRule="exact"/>
        <w:rPr>
          <w:sz w:val="20"/>
          <w:szCs w:val="20"/>
          <w:color w:val="auto"/>
        </w:rPr>
      </w:pPr>
    </w:p>
    <w:p>
      <w:pPr>
        <w:ind w:right="60" w:firstLine="539"/>
        <w:spacing w:after="0" w:line="289" w:lineRule="auto"/>
        <w:rPr>
          <w:sz w:val="20"/>
          <w:szCs w:val="20"/>
          <w:color w:val="auto"/>
        </w:rPr>
      </w:pPr>
      <w:r>
        <w:rPr>
          <w:rFonts w:ascii="Arial" w:cs="Arial" w:eastAsia="Arial" w:hAnsi="Arial"/>
          <w:sz w:val="16"/>
          <w:szCs w:val="16"/>
          <w:color w:val="auto"/>
        </w:rPr>
        <w:t>Shares of our common stock are traded on the Nasdaq Global Select Market, and as such, we are subject to the corporate governance requirements set forth in the Nasdaq Marketplace Rules. Our Board undertook a review of the composition of our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8" w:name="page19"/>
    <w:bookmarkEnd w:id="18"/>
    <w:p>
      <w:pPr>
        <w:spacing w:after="0" w:line="261" w:lineRule="auto"/>
        <w:rPr>
          <w:sz w:val="20"/>
          <w:szCs w:val="20"/>
          <w:color w:val="auto"/>
        </w:rPr>
      </w:pPr>
      <w:r>
        <w:rPr>
          <w:rFonts w:ascii="Arial" w:cs="Arial" w:eastAsia="Arial" w:hAnsi="Arial"/>
          <w:sz w:val="16"/>
          <w:szCs w:val="16"/>
          <w:color w:val="auto"/>
        </w:rPr>
        <w:t>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Veltman, who is our President and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Our Board also determined that none of our former directors, other than Mr. Holder, our former President and Chief Executive Officer, had a relationship that would interfere with the exercise of independent judgment in carrying out the responsibilities of a director and that each such director was “independent” as that term is defined under Rule 5605(a)(2) of the Nasdaq Marketplace Rules during his or her respective period of service as a director during 2019. In making each of these determinations, our Board considered the relationships that each such director and nominee has with us and all other facts and circumstances the Board deemed relevant in determining independence.</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Oversight of Risk</w:t>
      </w:r>
    </w:p>
    <w:p>
      <w:pPr>
        <w:spacing w:after="0" w:line="116" w:lineRule="exact"/>
        <w:rPr>
          <w:sz w:val="20"/>
          <w:szCs w:val="20"/>
          <w:color w:val="auto"/>
        </w:rPr>
      </w:pPr>
    </w:p>
    <w:p>
      <w:pPr>
        <w:ind w:right="160" w:firstLine="539"/>
        <w:spacing w:after="0" w:line="300" w:lineRule="auto"/>
        <w:rPr>
          <w:sz w:val="20"/>
          <w:szCs w:val="20"/>
          <w:color w:val="auto"/>
        </w:rPr>
      </w:pPr>
      <w:r>
        <w:rPr>
          <w:rFonts w:ascii="Arial" w:cs="Arial" w:eastAsia="Arial" w:hAnsi="Arial"/>
          <w:sz w:val="15"/>
          <w:szCs w:val="15"/>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44" w:lineRule="exact"/>
        <w:rPr>
          <w:sz w:val="20"/>
          <w:szCs w:val="20"/>
          <w:color w:val="auto"/>
        </w:rPr>
      </w:pPr>
    </w:p>
    <w:p>
      <w:pPr>
        <w:jc w:val="both"/>
        <w:ind w:firstLine="539"/>
        <w:spacing w:after="0" w:line="273" w:lineRule="auto"/>
        <w:rPr>
          <w:sz w:val="20"/>
          <w:szCs w:val="20"/>
          <w:color w:val="auto"/>
        </w:rPr>
      </w:pPr>
      <w:r>
        <w:rPr>
          <w:rFonts w:ascii="Arial" w:cs="Arial" w:eastAsia="Arial" w:hAnsi="Arial"/>
          <w:sz w:val="16"/>
          <w:szCs w:val="16"/>
          <w:color w:val="auto"/>
        </w:rPr>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63" w:lineRule="exact"/>
        <w:rPr>
          <w:sz w:val="20"/>
          <w:szCs w:val="20"/>
          <w:color w:val="auto"/>
        </w:rPr>
      </w:pPr>
    </w:p>
    <w:p>
      <w:pPr>
        <w:ind w:right="20" w:firstLine="539"/>
        <w:spacing w:after="0" w:line="283" w:lineRule="auto"/>
        <w:rPr>
          <w:sz w:val="20"/>
          <w:szCs w:val="20"/>
          <w:color w:val="auto"/>
        </w:rPr>
      </w:pPr>
      <w:r>
        <w:rPr>
          <w:rFonts w:ascii="Arial" w:cs="Arial" w:eastAsia="Arial" w:hAnsi="Arial"/>
          <w:sz w:val="15"/>
          <w:szCs w:val="15"/>
          <w:color w:val="auto"/>
        </w:rPr>
        <w:t>The Board has delegated certain risk management responsibility to its standing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and the evaluation of Board members.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Attendance at Board and Committee Meetings</w:t>
      </w:r>
    </w:p>
    <w:p>
      <w:pPr>
        <w:spacing w:after="0" w:line="116" w:lineRule="exact"/>
        <w:rPr>
          <w:sz w:val="20"/>
          <w:szCs w:val="20"/>
          <w:color w:val="auto"/>
        </w:rPr>
      </w:pPr>
    </w:p>
    <w:p>
      <w:pPr>
        <w:ind w:right="20" w:firstLine="539"/>
        <w:spacing w:after="0" w:line="273" w:lineRule="auto"/>
        <w:rPr>
          <w:sz w:val="20"/>
          <w:szCs w:val="20"/>
          <w:color w:val="auto"/>
        </w:rPr>
      </w:pPr>
      <w:r>
        <w:rPr>
          <w:rFonts w:ascii="Arial" w:cs="Arial" w:eastAsia="Arial" w:hAnsi="Arial"/>
          <w:sz w:val="16"/>
          <w:szCs w:val="16"/>
          <w:color w:val="auto"/>
        </w:rPr>
        <w:t>The Board met 18 times in 2019. All then current directors attended at least 75% of the aggregate of the total number of meetings of the Board and the total number of meetings held by all committees of the Board on which they served. While we do not have a policy requiring attendance by directors at the Annual Meeting, all then current directors attended our annual meeting of stockholders in 2019.</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Communicating with the Board</w:t>
      </w:r>
    </w:p>
    <w:p>
      <w:pPr>
        <w:spacing w:after="0" w:line="116" w:lineRule="exact"/>
        <w:rPr>
          <w:sz w:val="20"/>
          <w:szCs w:val="20"/>
          <w:color w:val="auto"/>
        </w:rPr>
      </w:pPr>
    </w:p>
    <w:p>
      <w:pPr>
        <w:ind w:right="180" w:firstLine="539"/>
        <w:spacing w:after="0" w:line="273" w:lineRule="auto"/>
        <w:rPr>
          <w:sz w:val="20"/>
          <w:szCs w:val="20"/>
          <w:color w:val="auto"/>
        </w:rPr>
      </w:pPr>
      <w:r>
        <w:rPr>
          <w:rFonts w:ascii="Arial" w:cs="Arial" w:eastAsia="Arial" w:hAnsi="Arial"/>
          <w:sz w:val="16"/>
          <w:szCs w:val="16"/>
          <w:color w:val="auto"/>
        </w:rPr>
        <w:t>Stockholders and other interested parties may contact the Board, any of its standing committees, its independent directors, or any individual director by sending correspondence to NN, Inc., 6210 Ardrey Kell Road, Charlotte, North Carolina 28277, Attention: Secretary. Any mail received by the Secretary with the exception of improper commercial solicitations will be forwarded to the members of the Board for their further action, if necessary.</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116" w:lineRule="exact"/>
        <w:rPr>
          <w:sz w:val="20"/>
          <w:szCs w:val="20"/>
          <w:color w:val="auto"/>
        </w:rPr>
      </w:pPr>
    </w:p>
    <w:p>
      <w:pPr>
        <w:ind w:right="180" w:firstLine="539"/>
        <w:spacing w:after="0" w:line="268" w:lineRule="auto"/>
        <w:rPr>
          <w:sz w:val="20"/>
          <w:szCs w:val="20"/>
          <w:color w:val="auto"/>
        </w:rPr>
      </w:pPr>
      <w:r>
        <w:rPr>
          <w:rFonts w:ascii="Arial" w:cs="Arial" w:eastAsia="Arial" w:hAnsi="Arial"/>
          <w:sz w:val="16"/>
          <w:szCs w:val="16"/>
          <w:color w:val="auto"/>
        </w:rPr>
        <w:t xml:space="preserve">Our Board has adopted a Code of Business Conduct and Ethics applicable to our executive officers, including our Chief Executive Officer and Chief Financial Officer, as well as our directors and employees. The Code of Business Conduct and Ethics is available in the “About NN” section of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We intend to post amendments to or waivers from our Code of Business Conduct and Ethics (to the extent applicable to our Chief Executive Officer, Principal Financial Officer or Principal Accounting Officer) at this location on our website.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Corporate Governance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9" w:name="page20"/>
    <w:bookmarkEnd w:id="19"/>
    <w:p>
      <w:pPr>
        <w:jc w:val="both"/>
        <w:ind w:left="1" w:right="480" w:firstLine="539"/>
        <w:spacing w:after="0" w:line="365" w:lineRule="auto"/>
        <w:rPr>
          <w:sz w:val="20"/>
          <w:szCs w:val="20"/>
          <w:color w:val="auto"/>
        </w:rPr>
      </w:pPr>
      <w:r>
        <w:rPr>
          <w:rFonts w:ascii="Arial" w:cs="Arial" w:eastAsia="Arial" w:hAnsi="Arial"/>
          <w:sz w:val="14"/>
          <w:szCs w:val="14"/>
          <w:color w:val="auto"/>
        </w:rPr>
        <w:t xml:space="preserve">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t>
      </w:r>
      <w:r>
        <w:rPr>
          <w:rFonts w:ascii="Arial" w:cs="Arial" w:eastAsia="Arial" w:hAnsi="Arial"/>
          <w:sz w:val="14"/>
          <w:szCs w:val="14"/>
          <w:i w:val="1"/>
          <w:iCs w:val="1"/>
          <w:color w:val="auto"/>
        </w:rPr>
        <w:t>www.nninc.com</w:t>
      </w:r>
      <w:r>
        <w:rPr>
          <w:rFonts w:ascii="Arial" w:cs="Arial" w:eastAsia="Arial" w:hAnsi="Arial"/>
          <w:sz w:val="14"/>
          <w:szCs w:val="14"/>
          <w:color w:val="auto"/>
        </w:rPr>
        <w:t>.</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Beneficial Ownership of Common Stock</w:t>
      </w:r>
    </w:p>
    <w:p>
      <w:pPr>
        <w:spacing w:after="0" w:line="116" w:lineRule="exact"/>
        <w:rPr>
          <w:sz w:val="20"/>
          <w:szCs w:val="20"/>
          <w:color w:val="auto"/>
        </w:rPr>
      </w:pPr>
    </w:p>
    <w:p>
      <w:pPr>
        <w:ind w:left="1" w:right="280" w:firstLine="539"/>
        <w:spacing w:after="0" w:line="273" w:lineRule="auto"/>
        <w:rPr>
          <w:sz w:val="20"/>
          <w:szCs w:val="20"/>
          <w:color w:val="auto"/>
        </w:rPr>
      </w:pPr>
      <w:r>
        <w:rPr>
          <w:rFonts w:ascii="Arial" w:cs="Arial" w:eastAsia="Arial" w:hAnsi="Arial"/>
          <w:sz w:val="16"/>
          <w:szCs w:val="16"/>
          <w:b w:val="1"/>
          <w:bCs w:val="1"/>
          <w:i w:val="1"/>
          <w:iCs w:val="1"/>
          <w:color w:val="auto"/>
        </w:rPr>
        <w:t>Security Ownership of Management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table shows, as of March 24, 2020 and based on 42,767,168 shares of common stock outstanding,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beneficial ownership of common stock by each director and nominee, each named executive officer, and all directors and executive officers as a group, in each case as reported to us by such persons.</w:t>
      </w:r>
    </w:p>
    <w:p>
      <w:pPr>
        <w:spacing w:after="0" w:line="339" w:lineRule="exact"/>
        <w:rPr>
          <w:sz w:val="20"/>
          <w:szCs w:val="20"/>
          <w:color w:val="auto"/>
        </w:rPr>
      </w:pPr>
    </w:p>
    <w:tbl>
      <w:tblPr>
        <w:tblLayout w:type="fixed"/>
        <w:tblInd w:w="621" w:type="dxa"/>
        <w:tblCellMar>
          <w:top w:w="0" w:type="dxa"/>
          <w:left w:w="0" w:type="dxa"/>
          <w:bottom w:w="0" w:type="dxa"/>
          <w:right w:w="0" w:type="dxa"/>
        </w:tblCellMar>
      </w:tblPr>
      <w:tr>
        <w:trPr>
          <w:trHeight w:val="149"/>
        </w:trPr>
        <w:tc>
          <w:tcPr>
            <w:tcW w:w="6940" w:type="dxa"/>
            <w:vAlign w:val="bottom"/>
            <w:gridSpan w:val="2"/>
          </w:tcPr>
          <w:p>
            <w:pPr>
              <w:spacing w:after="0"/>
              <w:rPr>
                <w:sz w:val="20"/>
                <w:szCs w:val="20"/>
                <w:color w:val="auto"/>
              </w:rPr>
            </w:pPr>
            <w:r>
              <w:rPr>
                <w:rFonts w:ascii="Arial" w:cs="Arial" w:eastAsia="Arial" w:hAnsi="Arial"/>
                <w:sz w:val="13"/>
                <w:szCs w:val="13"/>
                <w:b w:val="1"/>
                <w:bCs w:val="1"/>
                <w:color w:val="auto"/>
              </w:rPr>
              <w:t>Name and Address of</w:t>
            </w:r>
          </w:p>
        </w:tc>
        <w:tc>
          <w:tcPr>
            <w:tcW w:w="2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Amount and Nature of</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Percent of</w:t>
            </w:r>
          </w:p>
        </w:tc>
      </w:tr>
      <w:tr>
        <w:trPr>
          <w:trHeight w:val="156"/>
        </w:trPr>
        <w:tc>
          <w:tcPr>
            <w:tcW w:w="6940" w:type="dxa"/>
            <w:vAlign w:val="bottom"/>
            <w:gridSpan w:val="2"/>
          </w:tcPr>
          <w:p>
            <w:pPr>
              <w:spacing w:after="0"/>
              <w:rPr>
                <w:sz w:val="20"/>
                <w:szCs w:val="20"/>
                <w:color w:val="auto"/>
              </w:rPr>
            </w:pPr>
            <w:r>
              <w:rPr>
                <w:rFonts w:ascii="Arial" w:cs="Arial" w:eastAsia="Arial" w:hAnsi="Arial"/>
                <w:sz w:val="13"/>
                <w:szCs w:val="13"/>
                <w:b w:val="1"/>
                <w:bCs w:val="1"/>
                <w:color w:val="auto"/>
              </w:rPr>
              <w:t xml:space="preserve">Beneficial Owner </w:t>
            </w:r>
            <w:r>
              <w:rPr>
                <w:rFonts w:ascii="Arial" w:cs="Arial" w:eastAsia="Arial" w:hAnsi="Arial"/>
                <w:sz w:val="9"/>
                <w:szCs w:val="9"/>
                <w:b w:val="1"/>
                <w:bCs w:val="1"/>
                <w:color w:val="auto"/>
              </w:rPr>
              <w:t>(1)</w:t>
            </w:r>
          </w:p>
        </w:tc>
        <w:tc>
          <w:tcPr>
            <w:tcW w:w="20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 xml:space="preserve">Beneficial Ownership </w:t>
            </w:r>
            <w:r>
              <w:rPr>
                <w:rFonts w:ascii="Arial" w:cs="Arial" w:eastAsia="Arial" w:hAnsi="Arial"/>
                <w:sz w:val="9"/>
                <w:szCs w:val="9"/>
                <w:b w:val="1"/>
                <w:bCs w:val="1"/>
                <w:color w:val="auto"/>
              </w:rPr>
              <w:t>(2)</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 xml:space="preserve">Class </w:t>
            </w:r>
            <w:r>
              <w:rPr>
                <w:rFonts w:ascii="Arial" w:cs="Arial" w:eastAsia="Arial" w:hAnsi="Arial"/>
                <w:sz w:val="9"/>
                <w:szCs w:val="9"/>
                <w:b w:val="1"/>
                <w:bCs w:val="1"/>
                <w:color w:val="auto"/>
              </w:rPr>
              <w:t>(2)</w:t>
            </w:r>
          </w:p>
        </w:tc>
      </w:tr>
      <w:tr>
        <w:trPr>
          <w:trHeight w:val="190"/>
        </w:trPr>
        <w:tc>
          <w:tcPr>
            <w:tcW w:w="320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Raynard D. Benvenuti</w:t>
            </w:r>
          </w:p>
        </w:tc>
        <w:tc>
          <w:tcPr>
            <w:tcW w:w="3740" w:type="dxa"/>
            <w:vAlign w:val="bottom"/>
            <w:tcBorders>
              <w:top w:val="single" w:sz="8" w:color="C6D9F1"/>
            </w:tcBorders>
            <w:shd w:val="clear" w:color="auto" w:fill="C6D9F1"/>
          </w:tcPr>
          <w:p>
            <w:pPr>
              <w:spacing w:after="0"/>
              <w:rPr>
                <w:sz w:val="16"/>
                <w:szCs w:val="16"/>
                <w:color w:val="auto"/>
              </w:rPr>
            </w:pPr>
          </w:p>
        </w:tc>
        <w:tc>
          <w:tcPr>
            <w:tcW w:w="18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15,956</w:t>
            </w:r>
          </w:p>
        </w:tc>
        <w:tc>
          <w:tcPr>
            <w:tcW w:w="220" w:type="dxa"/>
            <w:vAlign w:val="bottom"/>
            <w:tcBorders>
              <w:top w:val="single" w:sz="8" w:color="C6D9F1"/>
            </w:tcBorders>
            <w:shd w:val="clear" w:color="auto" w:fill="C6D9F1"/>
          </w:tcPr>
          <w:p>
            <w:pPr>
              <w:spacing w:after="0"/>
              <w:rPr>
                <w:sz w:val="16"/>
                <w:szCs w:val="16"/>
                <w:color w:val="auto"/>
              </w:rPr>
            </w:pPr>
          </w:p>
        </w:tc>
        <w:tc>
          <w:tcPr>
            <w:tcW w:w="84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6D9F1"/>
            </w:tcBorders>
            <w:shd w:val="clear" w:color="auto" w:fill="C6D9F1"/>
          </w:tcPr>
          <w:p>
            <w:pPr>
              <w:spacing w:after="0"/>
              <w:rPr>
                <w:sz w:val="16"/>
                <w:szCs w:val="16"/>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Robert E. Brunner</w:t>
            </w:r>
          </w:p>
        </w:tc>
        <w:tc>
          <w:tcPr>
            <w:tcW w:w="2080" w:type="dxa"/>
            <w:vAlign w:val="bottom"/>
            <w:gridSpan w:val="2"/>
          </w:tcPr>
          <w:p>
            <w:pPr>
              <w:jc w:val="right"/>
              <w:ind w:right="80"/>
              <w:spacing w:after="0" w:line="198" w:lineRule="exact"/>
              <w:rPr>
                <w:sz w:val="20"/>
                <w:szCs w:val="20"/>
                <w:color w:val="auto"/>
              </w:rPr>
            </w:pPr>
            <w:r>
              <w:rPr>
                <w:rFonts w:ascii="Arial" w:cs="Arial" w:eastAsia="Arial" w:hAnsi="Arial"/>
                <w:sz w:val="16"/>
                <w:szCs w:val="16"/>
                <w:color w:val="auto"/>
              </w:rPr>
              <w:t>79,101</w:t>
            </w:r>
            <w:r>
              <w:rPr>
                <w:rFonts w:ascii="Arial" w:cs="Arial" w:eastAsia="Arial" w:hAnsi="Arial"/>
                <w:sz w:val="22"/>
                <w:szCs w:val="22"/>
                <w:color w:val="auto"/>
                <w:vertAlign w:val="sub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Christina E. Carroll</w:t>
            </w:r>
          </w:p>
        </w:tc>
        <w:tc>
          <w:tcPr>
            <w:tcW w:w="18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16,286</w:t>
            </w:r>
          </w:p>
        </w:tc>
        <w:tc>
          <w:tcPr>
            <w:tcW w:w="220" w:type="dxa"/>
            <w:vAlign w:val="bottom"/>
            <w:shd w:val="clear" w:color="auto" w:fill="C6D9F1"/>
          </w:tcPr>
          <w:p>
            <w:pPr>
              <w:spacing w:after="0"/>
              <w:rPr>
                <w:sz w:val="17"/>
                <w:szCs w:val="17"/>
                <w:color w:val="auto"/>
              </w:rPr>
            </w:pP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David K. Floyd</w:t>
            </w:r>
          </w:p>
        </w:tc>
        <w:tc>
          <w:tcPr>
            <w:tcW w:w="2080" w:type="dxa"/>
            <w:vAlign w:val="bottom"/>
            <w:gridSpan w:val="2"/>
          </w:tcPr>
          <w:p>
            <w:pPr>
              <w:jc w:val="right"/>
              <w:ind w:right="80"/>
              <w:spacing w:after="0" w:line="198" w:lineRule="exact"/>
              <w:rPr>
                <w:sz w:val="20"/>
                <w:szCs w:val="20"/>
                <w:color w:val="auto"/>
              </w:rPr>
            </w:pPr>
            <w:r>
              <w:rPr>
                <w:rFonts w:ascii="Arial" w:cs="Arial" w:eastAsia="Arial" w:hAnsi="Arial"/>
                <w:sz w:val="16"/>
                <w:szCs w:val="16"/>
                <w:color w:val="auto"/>
              </w:rPr>
              <w:t>53,469</w:t>
            </w:r>
            <w:r>
              <w:rPr>
                <w:rFonts w:ascii="Arial" w:cs="Arial" w:eastAsia="Arial" w:hAnsi="Arial"/>
                <w:sz w:val="22"/>
                <w:szCs w:val="22"/>
                <w:color w:val="auto"/>
                <w:vertAlign w:val="subscript"/>
              </w:rPr>
              <w:t>(4)</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Jeri J. Harman</w:t>
            </w:r>
          </w:p>
        </w:tc>
        <w:tc>
          <w:tcPr>
            <w:tcW w:w="18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26,996</w:t>
            </w:r>
          </w:p>
        </w:tc>
        <w:tc>
          <w:tcPr>
            <w:tcW w:w="220" w:type="dxa"/>
            <w:vAlign w:val="bottom"/>
            <w:shd w:val="clear" w:color="auto" w:fill="C6D9F1"/>
          </w:tcPr>
          <w:p>
            <w:pPr>
              <w:spacing w:after="0"/>
              <w:rPr>
                <w:sz w:val="17"/>
                <w:szCs w:val="17"/>
                <w:color w:val="auto"/>
              </w:rPr>
            </w:pP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David L. Pugh</w:t>
            </w:r>
          </w:p>
        </w:tc>
        <w:tc>
          <w:tcPr>
            <w:tcW w:w="2080" w:type="dxa"/>
            <w:vAlign w:val="bottom"/>
            <w:gridSpan w:val="2"/>
          </w:tcPr>
          <w:p>
            <w:pPr>
              <w:jc w:val="right"/>
              <w:ind w:right="80"/>
              <w:spacing w:after="0" w:line="198" w:lineRule="exact"/>
              <w:rPr>
                <w:sz w:val="20"/>
                <w:szCs w:val="20"/>
                <w:color w:val="auto"/>
              </w:rPr>
            </w:pPr>
            <w:r>
              <w:rPr>
                <w:rFonts w:ascii="Arial" w:cs="Arial" w:eastAsia="Arial" w:hAnsi="Arial"/>
                <w:sz w:val="16"/>
                <w:szCs w:val="16"/>
                <w:color w:val="auto"/>
              </w:rPr>
              <w:t>133,401</w:t>
            </w:r>
            <w:r>
              <w:rPr>
                <w:rFonts w:ascii="Arial" w:cs="Arial" w:eastAsia="Arial" w:hAnsi="Arial"/>
                <w:sz w:val="22"/>
                <w:szCs w:val="22"/>
                <w:color w:val="auto"/>
                <w:vertAlign w:val="subscript"/>
              </w:rPr>
              <w:t>(5)</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Steven T. Warshaw</w:t>
            </w:r>
          </w:p>
        </w:tc>
        <w:tc>
          <w:tcPr>
            <w:tcW w:w="2080" w:type="dxa"/>
            <w:vAlign w:val="bottom"/>
            <w:gridSpan w:val="2"/>
            <w:shd w:val="clear" w:color="auto" w:fill="C6D9F1"/>
          </w:tcPr>
          <w:p>
            <w:pPr>
              <w:jc w:val="right"/>
              <w:ind w:right="80"/>
              <w:spacing w:after="0" w:line="198" w:lineRule="exact"/>
              <w:rPr>
                <w:sz w:val="20"/>
                <w:szCs w:val="20"/>
                <w:color w:val="auto"/>
              </w:rPr>
            </w:pPr>
            <w:r>
              <w:rPr>
                <w:rFonts w:ascii="Arial" w:cs="Arial" w:eastAsia="Arial" w:hAnsi="Arial"/>
                <w:sz w:val="16"/>
                <w:szCs w:val="16"/>
                <w:color w:val="auto"/>
              </w:rPr>
              <w:t>112,301</w:t>
            </w:r>
            <w:r>
              <w:rPr>
                <w:rFonts w:ascii="Arial" w:cs="Arial" w:eastAsia="Arial" w:hAnsi="Arial"/>
                <w:sz w:val="22"/>
                <w:szCs w:val="22"/>
                <w:color w:val="auto"/>
                <w:vertAlign w:val="subscript"/>
              </w:rPr>
              <w:t>(6)</w:t>
            </w: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Thomas H. Wilson, Jr.</w:t>
            </w:r>
          </w:p>
        </w:tc>
        <w:tc>
          <w:tcPr>
            <w:tcW w:w="1860" w:type="dxa"/>
            <w:vAlign w:val="bottom"/>
          </w:tcPr>
          <w:p>
            <w:pPr>
              <w:jc w:val="right"/>
              <w:spacing w:after="0"/>
              <w:rPr>
                <w:sz w:val="20"/>
                <w:szCs w:val="20"/>
                <w:color w:val="auto"/>
              </w:rPr>
            </w:pPr>
            <w:r>
              <w:rPr>
                <w:rFonts w:ascii="Arial" w:cs="Arial" w:eastAsia="Arial" w:hAnsi="Arial"/>
                <w:sz w:val="16"/>
                <w:szCs w:val="16"/>
                <w:color w:val="auto"/>
              </w:rPr>
              <w:t>16,286</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Warren A. Veltman</w:t>
            </w:r>
          </w:p>
        </w:tc>
        <w:tc>
          <w:tcPr>
            <w:tcW w:w="2080" w:type="dxa"/>
            <w:vAlign w:val="bottom"/>
            <w:gridSpan w:val="2"/>
            <w:shd w:val="clear" w:color="auto" w:fill="C6D9F1"/>
          </w:tcPr>
          <w:p>
            <w:pPr>
              <w:jc w:val="right"/>
              <w:ind w:right="80"/>
              <w:spacing w:after="0" w:line="198" w:lineRule="exact"/>
              <w:rPr>
                <w:sz w:val="20"/>
                <w:szCs w:val="20"/>
                <w:color w:val="auto"/>
              </w:rPr>
            </w:pPr>
            <w:r>
              <w:rPr>
                <w:rFonts w:ascii="Arial" w:cs="Arial" w:eastAsia="Arial" w:hAnsi="Arial"/>
                <w:sz w:val="16"/>
                <w:szCs w:val="16"/>
                <w:color w:val="auto"/>
              </w:rPr>
              <w:t>130,861</w:t>
            </w:r>
            <w:r>
              <w:rPr>
                <w:rFonts w:ascii="Arial" w:cs="Arial" w:eastAsia="Arial" w:hAnsi="Arial"/>
                <w:sz w:val="22"/>
                <w:szCs w:val="22"/>
                <w:color w:val="auto"/>
                <w:vertAlign w:val="subscript"/>
              </w:rPr>
              <w:t>(7)</w:t>
            </w: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Richard D. Holder</w:t>
            </w:r>
          </w:p>
        </w:tc>
        <w:tc>
          <w:tcPr>
            <w:tcW w:w="2080" w:type="dxa"/>
            <w:vAlign w:val="bottom"/>
            <w:gridSpan w:val="2"/>
          </w:tcPr>
          <w:p>
            <w:pPr>
              <w:jc w:val="right"/>
              <w:ind w:right="80"/>
              <w:spacing w:after="0" w:line="198" w:lineRule="exact"/>
              <w:rPr>
                <w:sz w:val="20"/>
                <w:szCs w:val="20"/>
                <w:color w:val="auto"/>
              </w:rPr>
            </w:pPr>
            <w:r>
              <w:rPr>
                <w:rFonts w:ascii="Arial" w:cs="Arial" w:eastAsia="Arial" w:hAnsi="Arial"/>
                <w:sz w:val="16"/>
                <w:szCs w:val="16"/>
                <w:color w:val="auto"/>
              </w:rPr>
              <w:t>396,098</w:t>
            </w:r>
            <w:r>
              <w:rPr>
                <w:rFonts w:ascii="Arial" w:cs="Arial" w:eastAsia="Arial" w:hAnsi="Arial"/>
                <w:sz w:val="22"/>
                <w:szCs w:val="22"/>
                <w:color w:val="auto"/>
                <w:vertAlign w:val="subscript"/>
              </w:rPr>
              <w:t>(8)</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Thomas D. DeByle</w:t>
            </w:r>
          </w:p>
        </w:tc>
        <w:tc>
          <w:tcPr>
            <w:tcW w:w="18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40,206</w:t>
            </w:r>
          </w:p>
        </w:tc>
        <w:tc>
          <w:tcPr>
            <w:tcW w:w="220" w:type="dxa"/>
            <w:vAlign w:val="bottom"/>
            <w:shd w:val="clear" w:color="auto" w:fill="C6D9F1"/>
          </w:tcPr>
          <w:p>
            <w:pPr>
              <w:spacing w:after="0"/>
              <w:rPr>
                <w:sz w:val="17"/>
                <w:szCs w:val="17"/>
                <w:color w:val="auto"/>
              </w:rPr>
            </w:pP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Thomas C. Burwell, Jr.</w:t>
            </w:r>
          </w:p>
        </w:tc>
        <w:tc>
          <w:tcPr>
            <w:tcW w:w="2080" w:type="dxa"/>
            <w:vAlign w:val="bottom"/>
            <w:gridSpan w:val="2"/>
          </w:tcPr>
          <w:p>
            <w:pPr>
              <w:jc w:val="right"/>
              <w:ind w:right="80"/>
              <w:spacing w:after="0" w:line="198" w:lineRule="exact"/>
              <w:rPr>
                <w:sz w:val="20"/>
                <w:szCs w:val="20"/>
                <w:color w:val="auto"/>
              </w:rPr>
            </w:pPr>
            <w:r>
              <w:rPr>
                <w:rFonts w:ascii="Arial" w:cs="Arial" w:eastAsia="Arial" w:hAnsi="Arial"/>
                <w:sz w:val="16"/>
                <w:szCs w:val="16"/>
                <w:color w:val="auto"/>
              </w:rPr>
              <w:t>92,498</w:t>
            </w:r>
            <w:r>
              <w:rPr>
                <w:rFonts w:ascii="Arial" w:cs="Arial" w:eastAsia="Arial" w:hAnsi="Arial"/>
                <w:sz w:val="22"/>
                <w:szCs w:val="22"/>
                <w:color w:val="auto"/>
                <w:vertAlign w:val="subscript"/>
              </w:rPr>
              <w:t>(9)</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Matthew S. Heiter</w:t>
            </w:r>
          </w:p>
        </w:tc>
        <w:tc>
          <w:tcPr>
            <w:tcW w:w="18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82,376</w:t>
            </w:r>
          </w:p>
        </w:tc>
        <w:tc>
          <w:tcPr>
            <w:tcW w:w="220" w:type="dxa"/>
            <w:vAlign w:val="bottom"/>
            <w:shd w:val="clear" w:color="auto" w:fill="C6D9F1"/>
          </w:tcPr>
          <w:p>
            <w:pPr>
              <w:spacing w:after="0"/>
              <w:rPr>
                <w:sz w:val="17"/>
                <w:szCs w:val="17"/>
                <w:color w:val="auto"/>
              </w:rPr>
            </w:pP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Christopher J. Qualters</w:t>
            </w:r>
          </w:p>
        </w:tc>
        <w:tc>
          <w:tcPr>
            <w:tcW w:w="2080" w:type="dxa"/>
            <w:vAlign w:val="bottom"/>
            <w:gridSpan w:val="2"/>
          </w:tcPr>
          <w:p>
            <w:pPr>
              <w:jc w:val="right"/>
              <w:ind w:right="20"/>
              <w:spacing w:after="0" w:line="198" w:lineRule="exact"/>
              <w:rPr>
                <w:sz w:val="20"/>
                <w:szCs w:val="20"/>
                <w:color w:val="auto"/>
              </w:rPr>
            </w:pPr>
            <w:r>
              <w:rPr>
                <w:rFonts w:ascii="Arial" w:cs="Arial" w:eastAsia="Arial" w:hAnsi="Arial"/>
                <w:sz w:val="16"/>
                <w:szCs w:val="16"/>
                <w:color w:val="auto"/>
              </w:rPr>
              <w:t>80,757</w:t>
            </w:r>
            <w:r>
              <w:rPr>
                <w:rFonts w:ascii="Arial" w:cs="Arial" w:eastAsia="Arial" w:hAnsi="Arial"/>
                <w:sz w:val="22"/>
                <w:szCs w:val="22"/>
                <w:color w:val="auto"/>
                <w:vertAlign w:val="subscript"/>
              </w:rPr>
              <w:t>(10)</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198"/>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John R. Buchan</w:t>
            </w:r>
          </w:p>
        </w:tc>
        <w:tc>
          <w:tcPr>
            <w:tcW w:w="2080" w:type="dxa"/>
            <w:vAlign w:val="bottom"/>
            <w:gridSpan w:val="2"/>
            <w:shd w:val="clear" w:color="auto" w:fill="C6D9F1"/>
          </w:tcPr>
          <w:p>
            <w:pPr>
              <w:jc w:val="right"/>
              <w:ind w:right="40"/>
              <w:spacing w:after="0" w:line="198" w:lineRule="exact"/>
              <w:rPr>
                <w:sz w:val="20"/>
                <w:szCs w:val="20"/>
                <w:color w:val="auto"/>
              </w:rPr>
            </w:pPr>
            <w:r>
              <w:rPr>
                <w:rFonts w:ascii="Arial" w:cs="Arial" w:eastAsia="Arial" w:hAnsi="Arial"/>
                <w:sz w:val="16"/>
                <w:szCs w:val="16"/>
                <w:color w:val="auto"/>
              </w:rPr>
              <w:t>112,592</w:t>
            </w:r>
            <w:r>
              <w:rPr>
                <w:rFonts w:ascii="Arial" w:cs="Arial" w:eastAsia="Arial" w:hAnsi="Arial"/>
                <w:sz w:val="22"/>
                <w:szCs w:val="22"/>
                <w:color w:val="auto"/>
                <w:vertAlign w:val="subscript"/>
              </w:rPr>
              <w:t>(11)</w:t>
            </w:r>
          </w:p>
        </w:tc>
        <w:tc>
          <w:tcPr>
            <w:tcW w:w="8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6D9F1"/>
          </w:tcPr>
          <w:p>
            <w:pPr>
              <w:spacing w:after="0"/>
              <w:rPr>
                <w:sz w:val="17"/>
                <w:szCs w:val="17"/>
                <w:color w:val="auto"/>
              </w:rPr>
            </w:pPr>
          </w:p>
        </w:tc>
      </w:tr>
      <w:tr>
        <w:trPr>
          <w:trHeight w:val="198"/>
        </w:trPr>
        <w:tc>
          <w:tcPr>
            <w:tcW w:w="6940" w:type="dxa"/>
            <w:vAlign w:val="bottom"/>
            <w:gridSpan w:val="2"/>
          </w:tcPr>
          <w:p>
            <w:pPr>
              <w:spacing w:after="0"/>
              <w:rPr>
                <w:sz w:val="20"/>
                <w:szCs w:val="20"/>
                <w:color w:val="auto"/>
              </w:rPr>
            </w:pPr>
            <w:r>
              <w:rPr>
                <w:rFonts w:ascii="Arial" w:cs="Arial" w:eastAsia="Arial" w:hAnsi="Arial"/>
                <w:sz w:val="16"/>
                <w:szCs w:val="16"/>
                <w:color w:val="auto"/>
              </w:rPr>
              <w:t>J. Robert Atkinson</w:t>
            </w:r>
          </w:p>
        </w:tc>
        <w:tc>
          <w:tcPr>
            <w:tcW w:w="2080" w:type="dxa"/>
            <w:vAlign w:val="bottom"/>
            <w:gridSpan w:val="2"/>
          </w:tcPr>
          <w:p>
            <w:pPr>
              <w:jc w:val="right"/>
              <w:ind w:right="20"/>
              <w:spacing w:after="0" w:line="198" w:lineRule="exact"/>
              <w:rPr>
                <w:sz w:val="20"/>
                <w:szCs w:val="20"/>
                <w:color w:val="auto"/>
              </w:rPr>
            </w:pPr>
            <w:r>
              <w:rPr>
                <w:rFonts w:ascii="Arial" w:cs="Arial" w:eastAsia="Arial" w:hAnsi="Arial"/>
                <w:sz w:val="16"/>
                <w:szCs w:val="16"/>
                <w:color w:val="auto"/>
              </w:rPr>
              <w:t>21,550</w:t>
            </w:r>
            <w:r>
              <w:rPr>
                <w:rFonts w:ascii="Arial" w:cs="Arial" w:eastAsia="Arial" w:hAnsi="Arial"/>
                <w:sz w:val="22"/>
                <w:szCs w:val="22"/>
                <w:color w:val="auto"/>
                <w:vertAlign w:val="subscript"/>
              </w:rPr>
              <w:t>(12)</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r>
      <w:tr>
        <w:trPr>
          <w:trHeight w:val="210"/>
        </w:trPr>
        <w:tc>
          <w:tcPr>
            <w:tcW w:w="69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All directors and executive officers as a group (17 persons)</w:t>
            </w:r>
          </w:p>
        </w:tc>
        <w:tc>
          <w:tcPr>
            <w:tcW w:w="2080" w:type="dxa"/>
            <w:vAlign w:val="bottom"/>
            <w:gridSpan w:val="2"/>
            <w:shd w:val="clear" w:color="auto" w:fill="C6D9F1"/>
          </w:tcPr>
          <w:p>
            <w:pPr>
              <w:jc w:val="right"/>
              <w:ind w:right="20"/>
              <w:spacing w:after="0" w:line="210" w:lineRule="exact"/>
              <w:rPr>
                <w:sz w:val="20"/>
                <w:szCs w:val="20"/>
                <w:color w:val="auto"/>
              </w:rPr>
            </w:pPr>
            <w:r>
              <w:rPr>
                <w:rFonts w:ascii="Arial" w:cs="Arial" w:eastAsia="Arial" w:hAnsi="Arial"/>
                <w:sz w:val="16"/>
                <w:szCs w:val="16"/>
                <w:color w:val="auto"/>
              </w:rPr>
              <w:t>1,492,099</w:t>
            </w:r>
            <w:r>
              <w:rPr>
                <w:rFonts w:ascii="Arial" w:cs="Arial" w:eastAsia="Arial" w:hAnsi="Arial"/>
                <w:sz w:val="23"/>
                <w:szCs w:val="23"/>
                <w:color w:val="auto"/>
                <w:vertAlign w:val="subscript"/>
              </w:rPr>
              <w:t>(13)</w:t>
            </w:r>
          </w:p>
        </w:tc>
        <w:tc>
          <w:tcPr>
            <w:tcW w:w="1000" w:type="dxa"/>
            <w:vAlign w:val="bottom"/>
            <w:gridSpan w:val="2"/>
            <w:shd w:val="clear" w:color="auto" w:fill="C6D9F1"/>
          </w:tcPr>
          <w:p>
            <w:pPr>
              <w:jc w:val="right"/>
              <w:ind w:right="20"/>
              <w:spacing w:after="0"/>
              <w:rPr>
                <w:sz w:val="20"/>
                <w:szCs w:val="20"/>
                <w:color w:val="auto"/>
              </w:rPr>
            </w:pPr>
            <w:r>
              <w:rPr>
                <w:rFonts w:ascii="Arial" w:cs="Arial" w:eastAsia="Arial" w:hAnsi="Arial"/>
                <w:sz w:val="16"/>
                <w:szCs w:val="16"/>
                <w:color w:val="auto"/>
              </w:rPr>
              <w:t>3.49%</w:t>
            </w:r>
          </w:p>
        </w:tc>
      </w:tr>
    </w:tbl>
    <w:p>
      <w:pPr>
        <w:ind w:left="1"/>
        <w:spacing w:after="0"/>
        <w:rPr>
          <w:sz w:val="20"/>
          <w:szCs w:val="20"/>
          <w:color w:val="auto"/>
        </w:rPr>
      </w:pPr>
      <w:r>
        <w:rPr>
          <w:rFonts w:ascii="Arial" w:cs="Arial" w:eastAsia="Arial" w:hAnsi="Arial"/>
          <w:sz w:val="16"/>
          <w:szCs w:val="16"/>
          <w:b w:val="1"/>
          <w:bCs w:val="1"/>
          <w:color w:val="auto"/>
        </w:rPr>
        <w:t>_______________</w:t>
      </w:r>
    </w:p>
    <w:p>
      <w:pPr>
        <w:spacing w:after="0" w:line="100" w:lineRule="exact"/>
        <w:rPr>
          <w:sz w:val="20"/>
          <w:szCs w:val="20"/>
          <w:color w:val="auto"/>
        </w:rPr>
      </w:pPr>
    </w:p>
    <w:p>
      <w:pPr>
        <w:ind w:left="781" w:hanging="781"/>
        <w:spacing w:after="0"/>
        <w:tabs>
          <w:tab w:leader="none" w:pos="781"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5" w:lineRule="exact"/>
        <w:rPr>
          <w:sz w:val="20"/>
          <w:szCs w:val="20"/>
          <w:color w:val="auto"/>
        </w:rPr>
      </w:pPr>
    </w:p>
    <w:p>
      <w:pPr>
        <w:ind w:left="781" w:hanging="781"/>
        <w:spacing w:after="0"/>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address of each beneficial owner is c/o NN, Inc., 6210 Ardrey Kell Road, Charlotte, North Carolina 28277.</w:t>
      </w:r>
    </w:p>
    <w:p>
      <w:pPr>
        <w:spacing w:after="0" w:line="13" w:lineRule="exact"/>
        <w:rPr>
          <w:rFonts w:ascii="Arial" w:cs="Arial" w:eastAsia="Arial" w:hAnsi="Arial"/>
          <w:sz w:val="16"/>
          <w:szCs w:val="16"/>
          <w:color w:val="auto"/>
        </w:rPr>
      </w:pPr>
    </w:p>
    <w:p>
      <w:pPr>
        <w:jc w:val="both"/>
        <w:ind w:left="781" w:hanging="781"/>
        <w:spacing w:after="0" w:line="257" w:lineRule="auto"/>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Computed in accordance with Rule 13d-3 of the Securities Exchange Act of 1934, as amended, or the Exchange Act. Includes shares of common stock subject to options exercisable within 60 days of March 24, 2020 and shares of restricted stock for which the indicated persons have sole voting power, but not sole investment power.</w:t>
      </w:r>
    </w:p>
    <w:p>
      <w:pPr>
        <w:spacing w:after="0" w:line="1" w:lineRule="exact"/>
        <w:rPr>
          <w:rFonts w:ascii="Arial" w:cs="Arial" w:eastAsia="Arial" w:hAnsi="Arial"/>
          <w:sz w:val="16"/>
          <w:szCs w:val="16"/>
          <w:color w:val="auto"/>
        </w:rPr>
      </w:pPr>
    </w:p>
    <w:p>
      <w:pPr>
        <w:ind w:left="781" w:right="260" w:hanging="781"/>
        <w:spacing w:after="0" w:line="294" w:lineRule="auto"/>
        <w:tabs>
          <w:tab w:leader="none" w:pos="781"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29,532 shares of common stock held by Kiroki Investments, LLC of which revocable living trusts of Mr. Brunner and his wife are the sole members. Also includes 16,600 shares of common stock subject to options that are presently exercisable or exercisable within 60 days of March 24, 2020.</w:t>
      </w:r>
    </w:p>
    <w:p>
      <w:pPr>
        <w:ind w:left="781" w:right="180" w:hanging="781"/>
        <w:spacing w:after="0" w:line="257" w:lineRule="auto"/>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13,523 shares of common stock held by the David and Lisa Floyd Family Limited Partnership of which Mr. Floyd and his wife are the sole general partners and sole limited partners.</w:t>
      </w:r>
    </w:p>
    <w:p>
      <w:pPr>
        <w:spacing w:after="0" w:line="1" w:lineRule="exact"/>
        <w:rPr>
          <w:rFonts w:ascii="Arial" w:cs="Arial" w:eastAsia="Arial" w:hAnsi="Arial"/>
          <w:sz w:val="16"/>
          <w:szCs w:val="16"/>
          <w:color w:val="auto"/>
        </w:rPr>
      </w:pPr>
    </w:p>
    <w:p>
      <w:pPr>
        <w:ind w:left="781" w:right="380" w:hanging="781"/>
        <w:spacing w:after="0" w:line="257" w:lineRule="auto"/>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16,600 shares of common stock subject to options that are presently exercisable or exercisable within 60 days of March 24, 2020. Mr. Pugh will retire from the Board and has tendered his resignation effective as of the date of the Annual Meeting.</w:t>
      </w:r>
    </w:p>
    <w:p>
      <w:pPr>
        <w:spacing w:after="0" w:line="1" w:lineRule="exact"/>
        <w:rPr>
          <w:rFonts w:ascii="Arial" w:cs="Arial" w:eastAsia="Arial" w:hAnsi="Arial"/>
          <w:sz w:val="16"/>
          <w:szCs w:val="16"/>
          <w:color w:val="auto"/>
        </w:rPr>
      </w:pPr>
    </w:p>
    <w:p>
      <w:pPr>
        <w:ind w:left="781" w:hanging="781"/>
        <w:spacing w:after="0"/>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22,600 shares of common stock subject to options that are presently exercisable or exercisable within 60 days of March 24, 2020.</w:t>
      </w:r>
    </w:p>
    <w:p>
      <w:pPr>
        <w:spacing w:after="0" w:line="13" w:lineRule="exact"/>
        <w:rPr>
          <w:rFonts w:ascii="Arial" w:cs="Arial" w:eastAsia="Arial" w:hAnsi="Arial"/>
          <w:sz w:val="16"/>
          <w:szCs w:val="16"/>
          <w:color w:val="auto"/>
        </w:rPr>
      </w:pPr>
    </w:p>
    <w:p>
      <w:pPr>
        <w:ind w:left="781" w:hanging="781"/>
        <w:spacing w:after="0"/>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3,000 shares of common stock subject to options that are presently exercisable or exercisable within 60 days of March 24, 2020.</w:t>
      </w:r>
    </w:p>
    <w:p>
      <w:pPr>
        <w:spacing w:after="0" w:line="13" w:lineRule="exact"/>
        <w:rPr>
          <w:rFonts w:ascii="Arial" w:cs="Arial" w:eastAsia="Arial" w:hAnsi="Arial"/>
          <w:sz w:val="16"/>
          <w:szCs w:val="16"/>
          <w:color w:val="auto"/>
        </w:rPr>
      </w:pPr>
    </w:p>
    <w:p>
      <w:pPr>
        <w:ind w:left="781" w:right="480" w:hanging="781"/>
        <w:spacing w:after="0" w:line="257" w:lineRule="auto"/>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125,000 shares of common stock subject to options that are presently exercisable or exercisable within 60 days of March 24, 2020. Mr. Holder resigned and departed the Company, effective as of September 13, 2019.</w:t>
      </w:r>
    </w:p>
    <w:p>
      <w:pPr>
        <w:spacing w:after="0" w:line="1" w:lineRule="exact"/>
        <w:rPr>
          <w:rFonts w:ascii="Arial" w:cs="Arial" w:eastAsia="Arial" w:hAnsi="Arial"/>
          <w:sz w:val="16"/>
          <w:szCs w:val="16"/>
          <w:color w:val="auto"/>
        </w:rPr>
      </w:pPr>
    </w:p>
    <w:p>
      <w:pPr>
        <w:ind w:left="781" w:right="480" w:hanging="781"/>
        <w:spacing w:after="0" w:line="257" w:lineRule="auto"/>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47,500 shares of common stock subject to options that are presently exercisable or exercisable within 60 days of March 24, 2020. Mr. Burwell resigned and departed the Company, effective as of July 12, 2019.</w:t>
      </w:r>
    </w:p>
    <w:p>
      <w:pPr>
        <w:spacing w:after="0" w:line="1" w:lineRule="exact"/>
        <w:rPr>
          <w:rFonts w:ascii="Arial" w:cs="Arial" w:eastAsia="Arial" w:hAnsi="Arial"/>
          <w:sz w:val="16"/>
          <w:szCs w:val="16"/>
          <w:color w:val="auto"/>
        </w:rPr>
      </w:pPr>
    </w:p>
    <w:p>
      <w:pPr>
        <w:ind w:left="781" w:hanging="781"/>
        <w:spacing w:after="0"/>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5,300 shares of common stock subject to options that are presently exercisable or exercisable within 60 days of March 24, 2020.</w:t>
      </w:r>
    </w:p>
    <w:p>
      <w:pPr>
        <w:spacing w:after="0" w:line="13" w:lineRule="exact"/>
        <w:rPr>
          <w:rFonts w:ascii="Arial" w:cs="Arial" w:eastAsia="Arial" w:hAnsi="Arial"/>
          <w:sz w:val="16"/>
          <w:szCs w:val="16"/>
          <w:color w:val="auto"/>
        </w:rPr>
      </w:pPr>
    </w:p>
    <w:p>
      <w:pPr>
        <w:ind w:left="781" w:hanging="781"/>
        <w:spacing w:after="0"/>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26,132 shares of common stock subject to options that are presently exercisable or exercisable within 60 days of March 24, 2020.</w:t>
      </w:r>
    </w:p>
    <w:p>
      <w:pPr>
        <w:spacing w:after="0" w:line="13" w:lineRule="exact"/>
        <w:rPr>
          <w:rFonts w:ascii="Arial" w:cs="Arial" w:eastAsia="Arial" w:hAnsi="Arial"/>
          <w:sz w:val="16"/>
          <w:szCs w:val="16"/>
          <w:color w:val="auto"/>
        </w:rPr>
      </w:pPr>
    </w:p>
    <w:p>
      <w:pPr>
        <w:ind w:left="781" w:hanging="781"/>
        <w:spacing w:after="0"/>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Atkinson resigned and departed the Company, effective as of November 22, 2019.</w:t>
      </w:r>
    </w:p>
    <w:p>
      <w:pPr>
        <w:spacing w:after="0" w:line="13" w:lineRule="exact"/>
        <w:rPr>
          <w:rFonts w:ascii="Arial" w:cs="Arial" w:eastAsia="Arial" w:hAnsi="Arial"/>
          <w:sz w:val="16"/>
          <w:szCs w:val="16"/>
          <w:color w:val="auto"/>
        </w:rPr>
      </w:pPr>
    </w:p>
    <w:p>
      <w:pPr>
        <w:ind w:left="781" w:right="480" w:hanging="781"/>
        <w:spacing w:after="0" w:line="275" w:lineRule="auto"/>
        <w:tabs>
          <w:tab w:leader="none" w:pos="781"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in the aggregate, 299,232 shares of common stock subject to options that are presently exercisable or exercisable within 60 days of March 24, 2020.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448" w:right="339" w:bottom="1440" w:gutter="0" w:footer="0" w:header="0"/>
        </w:sectPr>
      </w:pPr>
    </w:p>
    <w:bookmarkStart w:id="20" w:name="page21"/>
    <w:bookmarkEnd w:id="20"/>
    <w:p>
      <w:pPr>
        <w:ind w:left="1" w:right="380" w:firstLine="781"/>
        <w:spacing w:after="0" w:line="273" w:lineRule="auto"/>
        <w:rPr>
          <w:sz w:val="20"/>
          <w:szCs w:val="20"/>
          <w:color w:val="auto"/>
        </w:rPr>
      </w:pPr>
      <w:r>
        <w:rPr>
          <w:rFonts w:ascii="Arial" w:cs="Arial" w:eastAsia="Arial" w:hAnsi="Arial"/>
          <w:sz w:val="16"/>
          <w:szCs w:val="16"/>
          <w:b w:val="1"/>
          <w:bCs w:val="1"/>
          <w:i w:val="1"/>
          <w:iCs w:val="1"/>
          <w:color w:val="auto"/>
        </w:rPr>
        <w:t>Security Ownership of Certain Beneficial Owners</w:t>
      </w:r>
      <w:r>
        <w:rPr>
          <w:rFonts w:ascii="Arial" w:cs="Arial" w:eastAsia="Arial" w:hAnsi="Arial"/>
          <w:sz w:val="16"/>
          <w:szCs w:val="16"/>
          <w:color w:val="auto"/>
        </w:rPr>
        <w:t>. The following table sets forth the number of shares of our common stock beneficially owned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only parties known to our management to own more than 5% of our common stock, as of March 24, 2020 and based on 42,767,168 shares of common stock outstanding.</w:t>
      </w:r>
    </w:p>
    <w:p>
      <w:pPr>
        <w:spacing w:after="0" w:line="42" w:lineRule="exact"/>
        <w:rPr>
          <w:sz w:val="20"/>
          <w:szCs w:val="20"/>
          <w:color w:val="auto"/>
        </w:rPr>
      </w:pPr>
    </w:p>
    <w:tbl>
      <w:tblPr>
        <w:tblLayout w:type="fixed"/>
        <w:tblInd w:w="1401"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Amount and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820" w:type="dxa"/>
            <w:vAlign w:val="bottom"/>
            <w:vMerge w:val="restart"/>
          </w:tcPr>
          <w:p>
            <w:pPr>
              <w:spacing w:after="0"/>
              <w:rPr>
                <w:sz w:val="20"/>
                <w:szCs w:val="20"/>
                <w:color w:val="auto"/>
              </w:rPr>
            </w:pPr>
            <w:r>
              <w:rPr>
                <w:rFonts w:ascii="Arial" w:cs="Arial" w:eastAsia="Arial" w:hAnsi="Arial"/>
                <w:sz w:val="13"/>
                <w:szCs w:val="13"/>
                <w:b w:val="1"/>
                <w:bCs w:val="1"/>
                <w:color w:val="auto"/>
              </w:rPr>
              <w:t>Name and Address of</w:t>
            </w:r>
          </w:p>
        </w:tc>
        <w:tc>
          <w:tcPr>
            <w:tcW w:w="320" w:type="dxa"/>
            <w:vAlign w:val="bottom"/>
          </w:tcPr>
          <w:p>
            <w:pPr>
              <w:spacing w:after="0"/>
              <w:rPr>
                <w:sz w:val="11"/>
                <w:szCs w:val="11"/>
                <w:color w:val="auto"/>
              </w:rPr>
            </w:pPr>
          </w:p>
        </w:tc>
        <w:tc>
          <w:tcPr>
            <w:tcW w:w="126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1"/>
              </w:rPr>
              <w:t>Nature of</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8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91"/>
              </w:rPr>
              <w:t>Beneficial</w:t>
            </w:r>
          </w:p>
        </w:tc>
        <w:tc>
          <w:tcPr>
            <w:tcW w:w="880" w:type="dxa"/>
            <w:vAlign w:val="bottom"/>
          </w:tcPr>
          <w:p>
            <w:pPr>
              <w:jc w:val="right"/>
              <w:ind w:right="82"/>
              <w:spacing w:after="0" w:line="131" w:lineRule="exact"/>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23"/>
        </w:trPr>
        <w:tc>
          <w:tcPr>
            <w:tcW w:w="5820" w:type="dxa"/>
            <w:vAlign w:val="bottom"/>
            <w:tcBorders>
              <w:bottom w:val="single" w:sz="8" w:color="auto"/>
            </w:tcBorders>
          </w:tcPr>
          <w:p>
            <w:pPr>
              <w:spacing w:after="0" w:line="104" w:lineRule="exact"/>
              <w:rPr>
                <w:sz w:val="20"/>
                <w:szCs w:val="20"/>
                <w:color w:val="auto"/>
              </w:rPr>
            </w:pPr>
            <w:r>
              <w:rPr>
                <w:rFonts w:ascii="Arial" w:cs="Arial" w:eastAsia="Arial" w:hAnsi="Arial"/>
                <w:sz w:val="12"/>
                <w:szCs w:val="12"/>
                <w:b w:val="1"/>
                <w:bCs w:val="1"/>
                <w:color w:val="auto"/>
              </w:rPr>
              <w:t>Beneficial Owner</w:t>
            </w:r>
          </w:p>
        </w:tc>
        <w:tc>
          <w:tcPr>
            <w:tcW w:w="320" w:type="dxa"/>
            <w:vAlign w:val="bottom"/>
          </w:tcPr>
          <w:p>
            <w:pPr>
              <w:spacing w:after="0"/>
              <w:rPr>
                <w:sz w:val="10"/>
                <w:szCs w:val="10"/>
                <w:color w:val="auto"/>
              </w:rPr>
            </w:pPr>
          </w:p>
        </w:tc>
        <w:tc>
          <w:tcPr>
            <w:tcW w:w="1260" w:type="dxa"/>
            <w:vAlign w:val="bottom"/>
            <w:gridSpan w:val="2"/>
          </w:tcPr>
          <w:p>
            <w:pPr>
              <w:jc w:val="center"/>
              <w:ind w:right="280"/>
              <w:spacing w:after="0" w:line="116" w:lineRule="exact"/>
              <w:rPr>
                <w:sz w:val="20"/>
                <w:szCs w:val="20"/>
                <w:color w:val="auto"/>
              </w:rPr>
            </w:pPr>
            <w:r>
              <w:rPr>
                <w:rFonts w:ascii="Arial" w:cs="Arial" w:eastAsia="Arial" w:hAnsi="Arial"/>
                <w:sz w:val="13"/>
                <w:szCs w:val="13"/>
                <w:b w:val="1"/>
                <w:bCs w:val="1"/>
                <w:color w:val="auto"/>
                <w:w w:val="92"/>
              </w:rPr>
              <w:t>Ownership</w:t>
            </w:r>
          </w:p>
        </w:tc>
        <w:tc>
          <w:tcPr>
            <w:tcW w:w="880" w:type="dxa"/>
            <w:vAlign w:val="bottom"/>
          </w:tcPr>
          <w:p>
            <w:pPr>
              <w:jc w:val="right"/>
              <w:ind w:right="222"/>
              <w:spacing w:after="0" w:line="116" w:lineRule="exact"/>
              <w:rPr>
                <w:sz w:val="20"/>
                <w:szCs w:val="20"/>
                <w:color w:val="auto"/>
              </w:rPr>
            </w:pPr>
            <w:r>
              <w:rPr>
                <w:rFonts w:ascii="Arial" w:cs="Arial" w:eastAsia="Arial" w:hAnsi="Arial"/>
                <w:sz w:val="13"/>
                <w:szCs w:val="13"/>
                <w:b w:val="1"/>
                <w:bCs w:val="1"/>
                <w:color w:val="auto"/>
              </w:rPr>
              <w:t>Class</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6D9F1"/>
            </w:tcBorders>
          </w:tcPr>
          <w:p>
            <w:pPr>
              <w:spacing w:after="0" w:line="20" w:lineRule="exact"/>
              <w:rPr>
                <w:sz w:val="1"/>
                <w:szCs w:val="1"/>
                <w:color w:val="auto"/>
              </w:rPr>
            </w:pPr>
          </w:p>
        </w:tc>
        <w:tc>
          <w:tcPr>
            <w:tcW w:w="320" w:type="dxa"/>
            <w:vAlign w:val="bottom"/>
            <w:tcBorders>
              <w:bottom w:val="single" w:sz="8" w:color="C6D9F1"/>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6D9F1"/>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820" w:type="dxa"/>
            <w:vAlign w:val="bottom"/>
            <w:shd w:val="clear" w:color="auto" w:fill="C6D9F1"/>
          </w:tcPr>
          <w:p>
            <w:pPr>
              <w:spacing w:after="0"/>
              <w:rPr>
                <w:sz w:val="20"/>
                <w:szCs w:val="20"/>
                <w:color w:val="auto"/>
              </w:rPr>
            </w:pPr>
            <w:r>
              <w:rPr>
                <w:rFonts w:ascii="Arial" w:cs="Arial" w:eastAsia="Arial" w:hAnsi="Arial"/>
                <w:sz w:val="16"/>
                <w:szCs w:val="16"/>
                <w:color w:val="auto"/>
              </w:rPr>
              <w:t xml:space="preserve">PRIMECAP Management Company </w:t>
            </w:r>
            <w:r>
              <w:rPr>
                <w:rFonts w:ascii="Arial" w:cs="Arial" w:eastAsia="Arial" w:hAnsi="Arial"/>
                <w:sz w:val="13"/>
                <w:szCs w:val="13"/>
                <w:color w:val="auto"/>
              </w:rPr>
              <w:t>(1)</w:t>
            </w:r>
          </w:p>
        </w:tc>
        <w:tc>
          <w:tcPr>
            <w:tcW w:w="320" w:type="dxa"/>
            <w:vAlign w:val="bottom"/>
            <w:shd w:val="clear" w:color="auto" w:fill="C6D9F1"/>
          </w:tcPr>
          <w:p>
            <w:pPr>
              <w:spacing w:after="0"/>
              <w:rPr>
                <w:sz w:val="16"/>
                <w:szCs w:val="16"/>
                <w:color w:val="auto"/>
              </w:rPr>
            </w:pPr>
          </w:p>
        </w:tc>
        <w:tc>
          <w:tcPr>
            <w:tcW w:w="10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6,336,400</w:t>
            </w:r>
          </w:p>
        </w:tc>
        <w:tc>
          <w:tcPr>
            <w:tcW w:w="240" w:type="dxa"/>
            <w:vAlign w:val="bottom"/>
            <w:shd w:val="clear" w:color="auto" w:fill="C6D9F1"/>
          </w:tcPr>
          <w:p>
            <w:pPr>
              <w:spacing w:after="0"/>
              <w:rPr>
                <w:sz w:val="16"/>
                <w:szCs w:val="16"/>
                <w:color w:val="auto"/>
              </w:rPr>
            </w:pPr>
          </w:p>
        </w:tc>
        <w:tc>
          <w:tcPr>
            <w:tcW w:w="8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198"/>
        </w:trPr>
        <w:tc>
          <w:tcPr>
            <w:tcW w:w="5820" w:type="dxa"/>
            <w:vAlign w:val="bottom"/>
          </w:tcPr>
          <w:p>
            <w:pPr>
              <w:spacing w:after="0"/>
              <w:rPr>
                <w:sz w:val="20"/>
                <w:szCs w:val="20"/>
                <w:color w:val="auto"/>
              </w:rPr>
            </w:pPr>
            <w:r>
              <w:rPr>
                <w:rFonts w:ascii="Arial" w:cs="Arial" w:eastAsia="Arial" w:hAnsi="Arial"/>
                <w:sz w:val="16"/>
                <w:szCs w:val="16"/>
                <w:color w:val="auto"/>
              </w:rPr>
              <w:t xml:space="preserve">Legion Partners Asset Management, LLC </w:t>
            </w:r>
            <w:r>
              <w:rPr>
                <w:rFonts w:ascii="Arial" w:cs="Arial" w:eastAsia="Arial" w:hAnsi="Arial"/>
                <w:sz w:val="13"/>
                <w:szCs w:val="13"/>
                <w:color w:val="auto"/>
              </w:rPr>
              <w:t>(2)</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3,885,317</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198"/>
        </w:trPr>
        <w:tc>
          <w:tcPr>
            <w:tcW w:w="5820" w:type="dxa"/>
            <w:vAlign w:val="bottom"/>
            <w:shd w:val="clear" w:color="auto" w:fill="C6D9F1"/>
          </w:tcPr>
          <w:p>
            <w:pPr>
              <w:spacing w:after="0"/>
              <w:rPr>
                <w:sz w:val="20"/>
                <w:szCs w:val="20"/>
                <w:color w:val="auto"/>
              </w:rPr>
            </w:pPr>
            <w:r>
              <w:rPr>
                <w:rFonts w:ascii="Arial" w:cs="Arial" w:eastAsia="Arial" w:hAnsi="Arial"/>
                <w:sz w:val="16"/>
                <w:szCs w:val="16"/>
                <w:color w:val="auto"/>
              </w:rPr>
              <w:t xml:space="preserve">BlackRock, Inc. </w:t>
            </w:r>
            <w:r>
              <w:rPr>
                <w:rFonts w:ascii="Arial" w:cs="Arial" w:eastAsia="Arial" w:hAnsi="Arial"/>
                <w:sz w:val="13"/>
                <w:szCs w:val="13"/>
                <w:color w:val="auto"/>
              </w:rPr>
              <w:t>(3)</w:t>
            </w:r>
          </w:p>
        </w:tc>
        <w:tc>
          <w:tcPr>
            <w:tcW w:w="134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3,144,993</w:t>
            </w:r>
          </w:p>
        </w:tc>
        <w:tc>
          <w:tcPr>
            <w:tcW w:w="240" w:type="dxa"/>
            <w:vAlign w:val="bottom"/>
            <w:shd w:val="clear" w:color="auto" w:fill="C6D9F1"/>
          </w:tcPr>
          <w:p>
            <w:pPr>
              <w:spacing w:after="0"/>
              <w:rPr>
                <w:sz w:val="17"/>
                <w:szCs w:val="17"/>
                <w:color w:val="auto"/>
              </w:rPr>
            </w:pPr>
          </w:p>
        </w:tc>
        <w:tc>
          <w:tcPr>
            <w:tcW w:w="8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198"/>
        </w:trPr>
        <w:tc>
          <w:tcPr>
            <w:tcW w:w="5820" w:type="dxa"/>
            <w:vAlign w:val="bottom"/>
          </w:tcPr>
          <w:p>
            <w:pPr>
              <w:spacing w:after="0"/>
              <w:rPr>
                <w:sz w:val="20"/>
                <w:szCs w:val="20"/>
                <w:color w:val="auto"/>
              </w:rPr>
            </w:pPr>
            <w:r>
              <w:rPr>
                <w:rFonts w:ascii="Arial" w:cs="Arial" w:eastAsia="Arial" w:hAnsi="Arial"/>
                <w:sz w:val="16"/>
                <w:szCs w:val="16"/>
                <w:color w:val="auto"/>
              </w:rPr>
              <w:t xml:space="preserve">Dimensional Fund Advisors LP </w:t>
            </w:r>
            <w:r>
              <w:rPr>
                <w:rFonts w:ascii="Arial" w:cs="Arial" w:eastAsia="Arial" w:hAnsi="Arial"/>
                <w:sz w:val="13"/>
                <w:szCs w:val="13"/>
                <w:color w:val="auto"/>
              </w:rPr>
              <w:t>(4)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2,895,123</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198"/>
        </w:trPr>
        <w:tc>
          <w:tcPr>
            <w:tcW w:w="5820" w:type="dxa"/>
            <w:vAlign w:val="bottom"/>
            <w:shd w:val="clear" w:color="auto" w:fill="C6D9F1"/>
          </w:tcPr>
          <w:p>
            <w:pPr>
              <w:spacing w:after="0"/>
              <w:rPr>
                <w:sz w:val="20"/>
                <w:szCs w:val="20"/>
                <w:color w:val="auto"/>
              </w:rPr>
            </w:pPr>
            <w:r>
              <w:rPr>
                <w:rFonts w:ascii="Arial" w:cs="Arial" w:eastAsia="Arial" w:hAnsi="Arial"/>
                <w:sz w:val="16"/>
                <w:szCs w:val="16"/>
                <w:color w:val="auto"/>
              </w:rPr>
              <w:t xml:space="preserve">Corre Partners Advisors, LLC </w:t>
            </w:r>
            <w:r>
              <w:rPr>
                <w:rFonts w:ascii="Arial" w:cs="Arial" w:eastAsia="Arial" w:hAnsi="Arial"/>
                <w:sz w:val="13"/>
                <w:szCs w:val="13"/>
                <w:color w:val="auto"/>
              </w:rPr>
              <w:t>(5)</w:t>
            </w:r>
          </w:p>
        </w:tc>
        <w:tc>
          <w:tcPr>
            <w:tcW w:w="134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2,741,432</w:t>
            </w:r>
          </w:p>
        </w:tc>
        <w:tc>
          <w:tcPr>
            <w:tcW w:w="240" w:type="dxa"/>
            <w:vAlign w:val="bottom"/>
            <w:shd w:val="clear" w:color="auto" w:fill="C6D9F1"/>
          </w:tcPr>
          <w:p>
            <w:pPr>
              <w:spacing w:after="0"/>
              <w:rPr>
                <w:sz w:val="17"/>
                <w:szCs w:val="17"/>
                <w:color w:val="auto"/>
              </w:rPr>
            </w:pPr>
          </w:p>
        </w:tc>
        <w:tc>
          <w:tcPr>
            <w:tcW w:w="8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6"/>
                <w:szCs w:val="16"/>
                <w:color w:val="auto"/>
              </w:rPr>
              <w:t xml:space="preserve">Private Management Group, Inc. </w:t>
            </w:r>
            <w:r>
              <w:rPr>
                <w:rFonts w:ascii="Arial" w:cs="Arial" w:eastAsia="Arial" w:hAnsi="Arial"/>
                <w:sz w:val="13"/>
                <w:szCs w:val="13"/>
                <w:color w:val="auto"/>
              </w:rPr>
              <w:t>(6)</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2,580,000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1"/>
        <w:spacing w:after="0"/>
        <w:rPr>
          <w:sz w:val="20"/>
          <w:szCs w:val="20"/>
          <w:color w:val="auto"/>
        </w:rPr>
      </w:pPr>
      <w:r>
        <w:rPr>
          <w:rFonts w:ascii="Arial" w:cs="Arial" w:eastAsia="Arial" w:hAnsi="Arial"/>
          <w:sz w:val="16"/>
          <w:szCs w:val="16"/>
          <w:color w:val="auto"/>
        </w:rPr>
        <w:t>___________________</w:t>
      </w:r>
    </w:p>
    <w:p>
      <w:pPr>
        <w:spacing w:after="0" w:line="112" w:lineRule="exact"/>
        <w:rPr>
          <w:sz w:val="20"/>
          <w:szCs w:val="20"/>
          <w:color w:val="auto"/>
        </w:rPr>
      </w:pPr>
    </w:p>
    <w:p>
      <w:pPr>
        <w:ind w:left="781" w:right="180" w:hanging="781"/>
        <w:spacing w:after="0" w:line="262"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 based on Schedule 13G/A filed on February 12, 2020 with the SEC by PRIMECAP Management Company, or PRIMECAP. The Schedule 13G/A states that PRIMECAP has sole voting power with respect to 5,999,800 shares and sole dispositive power with respect to 6,336,400 shares. The principal business address of PRIMECAP is 177 E. Colorado Blvd., 11</w:t>
      </w:r>
      <w:r>
        <w:rPr>
          <w:rFonts w:ascii="Arial" w:cs="Arial" w:eastAsia="Arial" w:hAnsi="Arial"/>
          <w:sz w:val="13"/>
          <w:szCs w:val="13"/>
          <w:color w:val="auto"/>
        </w:rPr>
        <w:t>th</w:t>
      </w:r>
      <w:r>
        <w:rPr>
          <w:rFonts w:ascii="Arial" w:cs="Arial" w:eastAsia="Arial" w:hAnsi="Arial"/>
          <w:sz w:val="16"/>
          <w:szCs w:val="16"/>
          <w:color w:val="auto"/>
        </w:rPr>
        <w:t xml:space="preserve"> Floor, Pasadena, California 91105.</w:t>
      </w:r>
    </w:p>
    <w:p>
      <w:pPr>
        <w:spacing w:after="0" w:line="1" w:lineRule="exact"/>
        <w:rPr>
          <w:rFonts w:ascii="Arial" w:cs="Arial" w:eastAsia="Arial" w:hAnsi="Arial"/>
          <w:sz w:val="16"/>
          <w:szCs w:val="16"/>
          <w:color w:val="auto"/>
        </w:rPr>
      </w:pPr>
    </w:p>
    <w:p>
      <w:pPr>
        <w:ind w:left="781" w:right="40" w:hanging="781"/>
        <w:spacing w:after="0" w:line="257"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 based on Schedule 13D/A filed on December 13, 2019 with the SEC by Legion Partners Asset Management, LLC, or Legion. The Schedule 13D/A states that Legion and certain of its affiliates have shared voting power for up to 3,885,617 shares and shared dispositive power for up to 3,885,617 shares. The principal business address of Legion is 9401 Wilshire Blvd., Suite 705, Beverly Hills, CA 90212.</w:t>
      </w:r>
    </w:p>
    <w:p>
      <w:pPr>
        <w:spacing w:after="0" w:line="1" w:lineRule="exact"/>
        <w:rPr>
          <w:rFonts w:ascii="Arial" w:cs="Arial" w:eastAsia="Arial" w:hAnsi="Arial"/>
          <w:sz w:val="16"/>
          <w:szCs w:val="16"/>
          <w:color w:val="auto"/>
        </w:rPr>
      </w:pPr>
    </w:p>
    <w:p>
      <w:pPr>
        <w:ind w:left="781" w:hanging="781"/>
        <w:spacing w:after="0" w:line="257"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 based on Schedule 13G/A filed on February 5, 2020 with the SEC by BlackRock, Inc. The Schedule 13G/A states that BlackRock, Inc. has sole voting power with respect to 3,029,480 shares and sole dispositive power with respect to 3,144,993 shares. The principal business address of BlackRock, Inc. is 55 East 52nd Street, New York, New York 10055.</w:t>
      </w:r>
    </w:p>
    <w:p>
      <w:pPr>
        <w:spacing w:after="0" w:line="1" w:lineRule="exact"/>
        <w:rPr>
          <w:rFonts w:ascii="Arial" w:cs="Arial" w:eastAsia="Arial" w:hAnsi="Arial"/>
          <w:sz w:val="16"/>
          <w:szCs w:val="16"/>
          <w:color w:val="auto"/>
        </w:rPr>
      </w:pPr>
    </w:p>
    <w:p>
      <w:pPr>
        <w:ind w:left="781" w:right="80" w:hanging="781"/>
        <w:spacing w:after="0" w:line="257"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 based on Schedule 13G/A filed on February 12, 2020 with the SEC by Dimensional Fund Advisors LP, or Dimensional Fund. The Schedule 13G/A states that Dimensional Fund has sole voting power with respect to 2,793,456 shares and sole dispositive power with respect to 2,895,123 shares. The principal business address of Dimensional Fund is Building One, 6300 Bee Cave Road, Austin, Texas 78746.</w:t>
      </w:r>
    </w:p>
    <w:p>
      <w:pPr>
        <w:spacing w:after="0" w:line="1" w:lineRule="exact"/>
        <w:rPr>
          <w:rFonts w:ascii="Arial" w:cs="Arial" w:eastAsia="Arial" w:hAnsi="Arial"/>
          <w:sz w:val="16"/>
          <w:szCs w:val="16"/>
          <w:color w:val="auto"/>
        </w:rPr>
      </w:pPr>
    </w:p>
    <w:p>
      <w:pPr>
        <w:ind w:left="781" w:right="180" w:hanging="781"/>
        <w:spacing w:after="0" w:line="257"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 based on Schedule 13G/A filed on February 13, 2020 with the SEC by Corre Partners Advisors, LLC, or Corre. The Schedule 13G/A states that Corre and certain of its affiliates have shared voting power with respect to 2,741,432 shares and shared dispositive power with respect to 2,741,432 shares. The principal business address of Corre is 12 East 49th Street, 40th Floor, New York, New York 10017.</w:t>
      </w:r>
    </w:p>
    <w:p>
      <w:pPr>
        <w:spacing w:after="0" w:line="1" w:lineRule="exact"/>
        <w:rPr>
          <w:rFonts w:ascii="Arial" w:cs="Arial" w:eastAsia="Arial" w:hAnsi="Arial"/>
          <w:sz w:val="16"/>
          <w:szCs w:val="16"/>
          <w:color w:val="auto"/>
        </w:rPr>
      </w:pPr>
    </w:p>
    <w:p>
      <w:pPr>
        <w:ind w:left="781" w:right="100" w:hanging="781"/>
        <w:spacing w:after="0" w:line="266" w:lineRule="auto"/>
        <w:tabs>
          <w:tab w:leader="none" w:pos="78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 based on Schedule 13G/A filed on February 7, 2020 with the SEC by Private Management Group, Inc., or PMG. The Schedule 13G/A states that PMG has sole voting power with respect to 2,580,000 shares and sole dispositive power with respect to 2,580,000 shares. The principal business address of PMG is 15635 Alton Parkway, Suite 400, Irvine, CA 92618.</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61"/>
          </w:cols>
          <w:pgMar w:left="319" w:top="547" w:right="419" w:bottom="1440" w:gutter="0" w:footer="0" w:header="0"/>
        </w:sectPr>
      </w:pPr>
    </w:p>
    <w:bookmarkStart w:id="21" w:name="page22"/>
    <w:bookmarkEnd w:id="21"/>
    <w:p>
      <w:pPr>
        <w:jc w:val="center"/>
        <w:spacing w:after="0" w:line="276" w:lineRule="auto"/>
        <w:rPr>
          <w:sz w:val="20"/>
          <w:szCs w:val="20"/>
          <w:color w:val="auto"/>
        </w:rPr>
      </w:pPr>
      <w:r>
        <w:rPr>
          <w:rFonts w:ascii="Arial" w:cs="Arial" w:eastAsia="Arial" w:hAnsi="Arial"/>
          <w:sz w:val="16"/>
          <w:szCs w:val="16"/>
          <w:b w:val="1"/>
          <w:bCs w:val="1"/>
          <w:color w:val="auto"/>
        </w:rPr>
        <w:t>PROPOSAL II: APPROVAL OF THE ISSUANCE OF THE COMPANY’S COMMON STOCK IN ACCORDANCE WITH THE NASDAQ MARKETPLACE RULES 5635(B) AND 5635(D) UPON (I) CONVERSION OR REDEMPTION OF THE COMPANY’S SERIES B CONVERTIBLE PREFERRED STOCK, AND (II) EXERCISE OF WARRANTS, IN EACH CASE, ISSUED PURSUANT TO THE PURCHASE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116" w:lineRule="exact"/>
        <w:rPr>
          <w:sz w:val="20"/>
          <w:szCs w:val="20"/>
          <w:color w:val="auto"/>
        </w:rPr>
      </w:pPr>
    </w:p>
    <w:p>
      <w:pPr>
        <w:ind w:right="40" w:firstLine="539"/>
        <w:spacing w:after="0" w:line="318" w:lineRule="auto"/>
        <w:rPr>
          <w:sz w:val="20"/>
          <w:szCs w:val="20"/>
          <w:color w:val="auto"/>
        </w:rPr>
      </w:pPr>
      <w:r>
        <w:rPr>
          <w:rFonts w:ascii="Arial" w:cs="Arial" w:eastAsia="Arial" w:hAnsi="Arial"/>
          <w:sz w:val="14"/>
          <w:szCs w:val="14"/>
          <w:color w:val="auto"/>
        </w:rPr>
        <w:t>After evaluating a range of alternatives, in December 2019, we issued $100 million of preferred stock to affiliates of two existing stockholders, the proceeds of which were utilized to (i) pay down debt, which de-levered the business and improved our credit profile, and (ii) provide additional liquidity to the business. Accordingly, we are asking our stockholders to approve the issuance of our common stock in accordance with the Nasdaq Marketplace Rules 5635(b) and 5635(d) upon (i) conversion or redemption of our Series B Preferred Stock, and (ii) exercise of warrants, in each case, issued pursuant to the Purchase Agreement, as described in more detail below.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Reason for Stockholder Approval</w:t>
      </w:r>
    </w:p>
    <w:p>
      <w:pPr>
        <w:spacing w:after="0" w:line="116" w:lineRule="exact"/>
        <w:rPr>
          <w:sz w:val="20"/>
          <w:szCs w:val="20"/>
          <w:color w:val="auto"/>
        </w:rPr>
      </w:pPr>
    </w:p>
    <w:p>
      <w:pPr>
        <w:ind w:right="40" w:firstLine="528"/>
        <w:spacing w:after="0" w:line="280" w:lineRule="auto"/>
        <w:rPr>
          <w:sz w:val="20"/>
          <w:szCs w:val="20"/>
          <w:color w:val="auto"/>
        </w:rPr>
      </w:pPr>
      <w:r>
        <w:rPr>
          <w:rFonts w:ascii="Arial" w:cs="Arial" w:eastAsia="Arial" w:hAnsi="Arial"/>
          <w:sz w:val="15"/>
          <w:szCs w:val="15"/>
          <w:color w:val="auto"/>
        </w:rPr>
        <w:t>As a result of being listed for trading on The Nasdaq Stock Market, issuances of our common stock are subject to the Nasdaq Marketplace Rules, including Nasdaq Marketplace Rules 5635(b) and 5635(d). Pursuant to Nasdaq Marketplace Rule 5635(b), stockholder approval is required prior to the issuance of securities that will result in a change of control of a listed company, which for purposes of Nasdaq Marketplace Rule 5635(b) is generally deemed to occur when an investor or investor group acquires or has the right to acquire 20% or more of a company’s outstanding common stock or voting power. Pursuant to Nasdaq Marketplace Rule 5635(d), stockholder approval is required prior to a 20% Issuance at a price that is less than the Minimum Price. For purposes of Nasdaq Marketplace Rule 5635(d), (i) “20% Issuance” means a transaction, other than a public offering, involving the sale, issuance or potential issuance by us of common stock (or securities convertible into or exercisable for common stock), which alone or together with sales by our officers, directors or substantial stockholders equals 20% or more of common stock or 20% or more of the voting power outstanding before the issuance, and (ii) “Minimum Price” means a price that is the lower of: (A) the closing price (as reflected on Nasdaq.com) immediately preceding the signing of the binding agreement; or (B) the average closing price of common stock (as reflected on Nasdaq.com) for the five trading days immediately preceding the signing of the binding agreement.</w:t>
      </w:r>
    </w:p>
    <w:p>
      <w:pPr>
        <w:spacing w:after="0" w:line="161" w:lineRule="exact"/>
        <w:rPr>
          <w:sz w:val="20"/>
          <w:szCs w:val="20"/>
          <w:color w:val="auto"/>
        </w:rPr>
      </w:pPr>
    </w:p>
    <w:p>
      <w:pPr>
        <w:ind w:right="140" w:firstLine="528"/>
        <w:spacing w:after="0" w:line="265" w:lineRule="auto"/>
        <w:rPr>
          <w:sz w:val="20"/>
          <w:szCs w:val="20"/>
          <w:color w:val="auto"/>
        </w:rPr>
      </w:pPr>
      <w:r>
        <w:rPr>
          <w:rFonts w:ascii="Arial" w:cs="Arial" w:eastAsia="Arial" w:hAnsi="Arial"/>
          <w:sz w:val="16"/>
          <w:szCs w:val="16"/>
          <w:color w:val="auto"/>
        </w:rPr>
        <w:t>The aggregate number of shares of our common stock issuable upon the conversion or redemption of the Series B Preferred Stock and exercise of the warrants may exceed 20% of our outstanding common stock and could potentially be issued at a price less than the Minimum Price of the shares of our common stock on the applicable date. Therefore, stockholder approval is required before such conversion or redemption and exercise may be permitted to result in a 20% Issuance or the acquisition of 20% or more of the Company’s outstanding common stock or voting power. Stockholder approval of this proposal will constitute stockholder approval for purposes of both Nasdaq Marketplace Rules 5635(b) and 5635(d).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Financing Transaction</w:t>
      </w:r>
    </w:p>
    <w:p>
      <w:pPr>
        <w:spacing w:after="0" w:line="116" w:lineRule="exact"/>
        <w:rPr>
          <w:sz w:val="20"/>
          <w:szCs w:val="20"/>
          <w:color w:val="auto"/>
        </w:rPr>
      </w:pPr>
    </w:p>
    <w:p>
      <w:pPr>
        <w:ind w:right="20" w:firstLine="539"/>
        <w:spacing w:after="0" w:line="285" w:lineRule="auto"/>
        <w:rPr>
          <w:sz w:val="20"/>
          <w:szCs w:val="20"/>
          <w:color w:val="auto"/>
        </w:rPr>
      </w:pPr>
      <w:r>
        <w:rPr>
          <w:rFonts w:ascii="Arial" w:cs="Arial" w:eastAsia="Arial" w:hAnsi="Arial"/>
          <w:sz w:val="15"/>
          <w:szCs w:val="15"/>
          <w:color w:val="auto"/>
        </w:rPr>
        <w:t>On December 11, 2019, we completed a private placement, or the Financing Transaction, of our newly designated Series B Convertible Preferred Stock, par value $0.01 per share, or Series B Preferred Stock, and common stock purchase warrants, or the Warrants, pursuant to the terms of that certain Securities Purchase Agreement, dated December 5, 2019, or the Purchase Agreement, by and among the Company and affiliates of Corre Partners Management, L.L.C. and Legion Partners Asset Management, LLC, or the Investors. At the closing, in accordance with the terms and conditions of the Purchase Agreement, we sold and issued an aggregate of 100,000 shares of Series B Preferred Stock, with a liquidation preference of $1,000 per share, together with warrants to purchase 1,500,000 shares of our common stock to the Investors and received aggregate gross proceeds of $100 million, before deducting transaction expenses.</w:t>
      </w:r>
    </w:p>
    <w:p>
      <w:pPr>
        <w:spacing w:after="0" w:line="154" w:lineRule="exact"/>
        <w:rPr>
          <w:sz w:val="20"/>
          <w:szCs w:val="20"/>
          <w:color w:val="auto"/>
        </w:rPr>
      </w:pPr>
    </w:p>
    <w:p>
      <w:pPr>
        <w:ind w:firstLine="539"/>
        <w:spacing w:after="0" w:line="291" w:lineRule="auto"/>
        <w:rPr>
          <w:sz w:val="20"/>
          <w:szCs w:val="20"/>
          <w:color w:val="auto"/>
        </w:rPr>
      </w:pPr>
      <w:r>
        <w:rPr>
          <w:rFonts w:ascii="Arial" w:cs="Arial" w:eastAsia="Arial" w:hAnsi="Arial"/>
          <w:sz w:val="15"/>
          <w:szCs w:val="15"/>
          <w:color w:val="auto"/>
        </w:rPr>
        <w:t>The information set forth in this proposal, including, without limitation, the following description of the Purchase Agreement, the Certificate of Designation, the Warrants and the Registration Rights Agreement entered into in connection with the Financing Transaction, is only a summary and is qualified in its entirety by the full text of the Purchase Agreement, the Certificate of Designation, the form of Warrant and the Registration Rights Agreement, which were filed as Exhibits 10.1, 3.1, 4.1 and 10.2, respectively, to our Current Report on Form 8-K filed with the SEC on December 11, 2019 and are incorporated by reference herein.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i w:val="1"/>
          <w:iCs w:val="1"/>
          <w:color w:val="auto"/>
        </w:rPr>
        <w:t>Purchase Agreement</w:t>
      </w:r>
    </w:p>
    <w:p>
      <w:pPr>
        <w:spacing w:after="0" w:line="112" w:lineRule="exact"/>
        <w:rPr>
          <w:sz w:val="20"/>
          <w:szCs w:val="20"/>
          <w:color w:val="auto"/>
        </w:rPr>
      </w:pPr>
    </w:p>
    <w:p>
      <w:pPr>
        <w:ind w:right="140" w:firstLine="539"/>
        <w:spacing w:after="0" w:line="273" w:lineRule="auto"/>
        <w:rPr>
          <w:sz w:val="20"/>
          <w:szCs w:val="20"/>
          <w:color w:val="auto"/>
        </w:rPr>
      </w:pPr>
      <w:r>
        <w:rPr>
          <w:rFonts w:ascii="Arial" w:cs="Arial" w:eastAsia="Arial" w:hAnsi="Arial"/>
          <w:sz w:val="16"/>
          <w:szCs w:val="16"/>
          <w:color w:val="auto"/>
        </w:rPr>
        <w:t>The Purchase Agreement contains representations and warranties by the Company and the Investors and covenants of the Company and the Investors (including indemnification from the Company in the event of breaches of its representations and warranties) and other rights, obligations and restrictions, which we believe are customary for transactions of this type.</w:t>
      </w:r>
    </w:p>
    <w:p>
      <w:pPr>
        <w:spacing w:after="0" w:line="163" w:lineRule="exact"/>
        <w:rPr>
          <w:sz w:val="20"/>
          <w:szCs w:val="20"/>
          <w:color w:val="auto"/>
        </w:rPr>
      </w:pPr>
    </w:p>
    <w:p>
      <w:pPr>
        <w:ind w:right="100" w:firstLine="539"/>
        <w:spacing w:after="0" w:line="291" w:lineRule="auto"/>
        <w:rPr>
          <w:sz w:val="20"/>
          <w:szCs w:val="20"/>
          <w:color w:val="auto"/>
        </w:rPr>
      </w:pPr>
      <w:r>
        <w:rPr>
          <w:rFonts w:ascii="Arial" w:cs="Arial" w:eastAsia="Arial" w:hAnsi="Arial"/>
          <w:sz w:val="15"/>
          <w:szCs w:val="15"/>
          <w:i w:val="1"/>
          <w:iCs w:val="1"/>
          <w:color w:val="auto"/>
        </w:rPr>
        <w:t>Stockholder Approval</w:t>
      </w:r>
      <w:r>
        <w:rPr>
          <w:rFonts w:ascii="Arial" w:cs="Arial" w:eastAsia="Arial" w:hAnsi="Arial"/>
          <w:sz w:val="15"/>
          <w:szCs w:val="15"/>
          <w:color w:val="auto"/>
        </w:rPr>
        <w:t>: Pursuant to the Purchase Agreement, we agreed to include in this Proxy Statement for the Annual Meeting a proposal for approval by our</w:t>
      </w:r>
      <w:r>
        <w:rPr>
          <w:rFonts w:ascii="Arial" w:cs="Arial" w:eastAsia="Arial" w:hAnsi="Arial"/>
          <w:sz w:val="15"/>
          <w:szCs w:val="15"/>
          <w:i w:val="1"/>
          <w:iCs w:val="1"/>
          <w:color w:val="auto"/>
        </w:rPr>
        <w:t xml:space="preserve"> </w:t>
      </w:r>
      <w:r>
        <w:rPr>
          <w:rFonts w:ascii="Arial" w:cs="Arial" w:eastAsia="Arial" w:hAnsi="Arial"/>
          <w:sz w:val="15"/>
          <w:szCs w:val="15"/>
          <w:color w:val="auto"/>
        </w:rPr>
        <w:t>stockholders that is required under listing standards of Nasdaq to approve the issuance of our common stock upon exercise of the Warrants and conversion or redemption of the Series B Preferred Stock issued to the Investors pursuant to the Purchase Agreement, or the Stockholder Approval. We also agreed to use our reasonable best efforts to solicit from the stockholders proxies in favor of the Stockholder Approval and to obtain the Stockholder Approval.</w:t>
      </w:r>
    </w:p>
    <w:p>
      <w:pPr>
        <w:spacing w:after="0" w:line="151" w:lineRule="exact"/>
        <w:rPr>
          <w:sz w:val="20"/>
          <w:szCs w:val="20"/>
          <w:color w:val="auto"/>
        </w:rPr>
      </w:pPr>
    </w:p>
    <w:p>
      <w:pPr>
        <w:ind w:right="40" w:firstLine="539"/>
        <w:spacing w:after="0" w:line="268" w:lineRule="auto"/>
        <w:rPr>
          <w:sz w:val="20"/>
          <w:szCs w:val="20"/>
          <w:color w:val="auto"/>
        </w:rPr>
      </w:pPr>
      <w:r>
        <w:rPr>
          <w:rFonts w:ascii="Arial" w:cs="Arial" w:eastAsia="Arial" w:hAnsi="Arial"/>
          <w:sz w:val="16"/>
          <w:szCs w:val="16"/>
          <w:i w:val="1"/>
          <w:iCs w:val="1"/>
          <w:color w:val="auto"/>
        </w:rPr>
        <w:t>Consent Rights</w:t>
      </w:r>
      <w:r>
        <w:rPr>
          <w:rFonts w:ascii="Arial" w:cs="Arial" w:eastAsia="Arial" w:hAnsi="Arial"/>
          <w:sz w:val="16"/>
          <w:szCs w:val="16"/>
          <w:color w:val="auto"/>
        </w:rPr>
        <w:t>: Pursuant to the Purchase Agreement, we have agreed with each Investor, subject to certain exceptions, not to become party to certain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transactions other than, among others, transactions in which holders of shares of the Series B Preferred Stock are entitled to receive cash in an amount equal to the applicable redemption value plus accrued and unpaid dividends (and less a portion of certain dividend taxes that may be paid or accrued by the Company on behalf of the Investors in respect of the Series B Preferred Stock), or Qualifying Transactions.</w:t>
      </w:r>
    </w:p>
    <w:p>
      <w:pPr>
        <w:spacing w:after="0" w:line="166" w:lineRule="exact"/>
        <w:rPr>
          <w:sz w:val="20"/>
          <w:szCs w:val="20"/>
          <w:color w:val="auto"/>
        </w:rPr>
      </w:pPr>
    </w:p>
    <w:p>
      <w:pPr>
        <w:ind w:right="140" w:firstLine="539"/>
        <w:spacing w:after="0" w:line="300" w:lineRule="auto"/>
        <w:rPr>
          <w:sz w:val="20"/>
          <w:szCs w:val="20"/>
          <w:color w:val="auto"/>
        </w:rPr>
      </w:pPr>
      <w:r>
        <w:rPr>
          <w:rFonts w:ascii="Arial" w:cs="Arial" w:eastAsia="Arial" w:hAnsi="Arial"/>
          <w:sz w:val="15"/>
          <w:szCs w:val="15"/>
          <w:i w:val="1"/>
          <w:iCs w:val="1"/>
          <w:color w:val="auto"/>
        </w:rPr>
        <w:t>Additional Agreements</w:t>
      </w:r>
      <w:r>
        <w:rPr>
          <w:rFonts w:ascii="Arial" w:cs="Arial" w:eastAsia="Arial" w:hAnsi="Arial"/>
          <w:sz w:val="15"/>
          <w:szCs w:val="15"/>
          <w:color w:val="auto"/>
        </w:rPr>
        <w:t>: The Purchase Agreement contains additional agreements and covenants between the Company and the Investors, including restrictions</w:t>
      </w:r>
      <w:r>
        <w:rPr>
          <w:rFonts w:ascii="Arial" w:cs="Arial" w:eastAsia="Arial" w:hAnsi="Arial"/>
          <w:sz w:val="15"/>
          <w:szCs w:val="15"/>
          <w:i w:val="1"/>
          <w:iCs w:val="1"/>
          <w:color w:val="auto"/>
        </w:rPr>
        <w:t xml:space="preserve"> </w:t>
      </w:r>
      <w:r>
        <w:rPr>
          <w:rFonts w:ascii="Arial" w:cs="Arial" w:eastAsia="Arial" w:hAnsi="Arial"/>
          <w:sz w:val="15"/>
          <w:szCs w:val="15"/>
          <w:color w:val="auto"/>
        </w:rPr>
        <w:t>similar to those in the Certificate of Designation (as defined below) regarding dividends and voting rights. In addition, we agreed that we will use reasonable best efforts to amend and extend our existing amended and restated credit agreement as soon as practicable after the closing of the Financing Transaction.</w:t>
      </w:r>
    </w:p>
    <w:p>
      <w:pPr>
        <w:spacing w:after="0" w:line="144" w:lineRule="exact"/>
        <w:rPr>
          <w:sz w:val="20"/>
          <w:szCs w:val="20"/>
          <w:color w:val="auto"/>
        </w:rPr>
      </w:pPr>
    </w:p>
    <w:p>
      <w:pPr>
        <w:jc w:val="both"/>
        <w:ind w:right="120" w:firstLine="539"/>
        <w:spacing w:after="0" w:line="273" w:lineRule="auto"/>
        <w:rPr>
          <w:sz w:val="20"/>
          <w:szCs w:val="20"/>
          <w:color w:val="auto"/>
        </w:rPr>
      </w:pPr>
      <w:r>
        <w:rPr>
          <w:rFonts w:ascii="Arial" w:cs="Arial" w:eastAsia="Arial" w:hAnsi="Arial"/>
          <w:sz w:val="16"/>
          <w:szCs w:val="16"/>
          <w:i w:val="1"/>
          <w:iCs w:val="1"/>
          <w:color w:val="auto"/>
        </w:rPr>
        <w:t>Standstill Exemption</w:t>
      </w:r>
      <w:r>
        <w:rPr>
          <w:rFonts w:ascii="Arial" w:cs="Arial" w:eastAsia="Arial" w:hAnsi="Arial"/>
          <w:sz w:val="16"/>
          <w:szCs w:val="16"/>
          <w:color w:val="auto"/>
        </w:rPr>
        <w:t>: In connection with the Financing Transaction, we have agreed that Legion Partners Asset Management, LLC and its affiliate, or Legion, is</w:t>
      </w:r>
      <w:r>
        <w:rPr>
          <w:rFonts w:ascii="Arial" w:cs="Arial" w:eastAsia="Arial" w:hAnsi="Arial"/>
          <w:sz w:val="16"/>
          <w:szCs w:val="16"/>
          <w:i w:val="1"/>
          <w:iCs w:val="1"/>
          <w:color w:val="auto"/>
        </w:rPr>
        <w:t xml:space="preserve"> </w:t>
      </w:r>
      <w:r>
        <w:rPr>
          <w:rFonts w:ascii="Arial" w:cs="Arial" w:eastAsia="Arial" w:hAnsi="Arial"/>
          <w:sz w:val="16"/>
          <w:szCs w:val="16"/>
          <w:color w:val="auto"/>
        </w:rPr>
        <w:t>exempted from its 9.9% standstill obligation set forth in the Cooperation Agreement dated as of February 25, 2019, between the Company and Legion. Legion, however, remains subject to beneficial ownership limitations applicable to each of the Investors pursuant to the Financing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Certificate of Designation and Terms of Series B Preferred Stock</w:t>
      </w:r>
    </w:p>
    <w:p>
      <w:pPr>
        <w:spacing w:after="0" w:line="211" w:lineRule="exact"/>
        <w:rPr>
          <w:sz w:val="20"/>
          <w:szCs w:val="20"/>
          <w:color w:val="auto"/>
        </w:rPr>
      </w:pPr>
    </w:p>
    <w:p>
      <w:pPr>
        <w:ind w:right="20" w:firstLine="539"/>
        <w:spacing w:after="0" w:line="268" w:lineRule="auto"/>
        <w:rPr>
          <w:sz w:val="20"/>
          <w:szCs w:val="20"/>
          <w:color w:val="auto"/>
        </w:rPr>
      </w:pPr>
      <w:r>
        <w:rPr>
          <w:rFonts w:ascii="Arial" w:cs="Arial" w:eastAsia="Arial" w:hAnsi="Arial"/>
          <w:sz w:val="16"/>
          <w:szCs w:val="16"/>
          <w:color w:val="auto"/>
        </w:rPr>
        <w:t>In connection with the closing of the Financing Transaction, on December 11, 2019, we filed a Certificate of Designation of Series B Convertible Preferred Stock, or the Certificate of Designation, with the Secretary of State of the State of Delaware, establishing the rights, preferences, privileges, qualifications, limitations and restrictions relating to the Series B Preferred Stock, which became effective upon filing. A summary of the terms of the Series B Preferred Stock set forth in the Certificate of Designation is set forth below.</w:t>
      </w:r>
    </w:p>
    <w:p>
      <w:pPr>
        <w:spacing w:after="0" w:line="166" w:lineRule="exact"/>
        <w:rPr>
          <w:sz w:val="20"/>
          <w:szCs w:val="20"/>
          <w:color w:val="auto"/>
        </w:rPr>
      </w:pPr>
    </w:p>
    <w:p>
      <w:pPr>
        <w:ind w:firstLine="539"/>
        <w:spacing w:after="0" w:line="265" w:lineRule="auto"/>
        <w:rPr>
          <w:sz w:val="20"/>
          <w:szCs w:val="20"/>
          <w:color w:val="auto"/>
        </w:rPr>
      </w:pPr>
      <w:r>
        <w:rPr>
          <w:rFonts w:ascii="Arial" w:cs="Arial" w:eastAsia="Arial" w:hAnsi="Arial"/>
          <w:sz w:val="16"/>
          <w:szCs w:val="16"/>
          <w:i w:val="1"/>
          <w:iCs w:val="1"/>
          <w:color w:val="auto"/>
        </w:rPr>
        <w:t xml:space="preserve">Series B Dividend: </w:t>
      </w:r>
      <w:r>
        <w:rPr>
          <w:rFonts w:ascii="Arial" w:cs="Arial" w:eastAsia="Arial" w:hAnsi="Arial"/>
          <w:sz w:val="16"/>
          <w:szCs w:val="16"/>
          <w:color w:val="auto"/>
        </w:rPr>
        <w:t>Holders of Series B Preferred Stock are entitled to receive, when, as and if declared by the Board, and we shall pay, out of funds lawfully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therefor, cumulative dividends payable quarterly in arrears at the rate per share of 10.625% per annum; provided that if we does not obtain Stockholder Approval (as defined in the Purchase Agreement) prior to the earlier of (i) June 30, 2020 and (ii) at the Annual Meeting, the rate shall increase to 11.625% per annum until such Stockholder Approval has been obtained. Series B Preferred Stock will fully participate on an as-converted basis in any dividends paid on the common stock, using a conversion rate based on a fixed conversion price equal to $7.91.</w:t>
      </w:r>
    </w:p>
    <w:p>
      <w:pPr>
        <w:spacing w:after="0" w:line="170" w:lineRule="exact"/>
        <w:rPr>
          <w:sz w:val="20"/>
          <w:szCs w:val="20"/>
          <w:color w:val="auto"/>
        </w:rPr>
      </w:pPr>
    </w:p>
    <w:p>
      <w:pPr>
        <w:ind w:right="80" w:firstLine="539"/>
        <w:spacing w:after="0" w:line="273"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We may redeem the shares of Series B Preferred Stock for an amount equal to the applicable redemption price set forth below expressed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its Liquidation Preference, plus any accrued and unpaid Series B dividends, minus any dividend withholding taxes that we entitled to set off pursuant to the terms of the Purchase Agreement.</w:t>
      </w:r>
    </w:p>
    <w:p>
      <w:pPr>
        <w:spacing w:after="0" w:line="159" w:lineRule="exact"/>
        <w:rPr>
          <w:sz w:val="20"/>
          <w:szCs w:val="20"/>
          <w:color w:val="auto"/>
        </w:rPr>
      </w:pPr>
    </w:p>
    <w:tbl>
      <w:tblPr>
        <w:tblLayout w:type="fixed"/>
        <w:tblInd w:w="7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Year</w:t>
            </w:r>
          </w:p>
        </w:tc>
        <w:tc>
          <w:tcPr>
            <w:tcW w:w="6400" w:type="dxa"/>
            <w:vAlign w:val="bottom"/>
          </w:tcPr>
          <w:p>
            <w:pPr>
              <w:spacing w:after="0"/>
              <w:rPr>
                <w:sz w:val="14"/>
                <w:szCs w:val="14"/>
                <w:color w:val="auto"/>
              </w:rPr>
            </w:pPr>
          </w:p>
        </w:tc>
        <w:tc>
          <w:tcPr>
            <w:tcW w:w="2440" w:type="dxa"/>
            <w:vAlign w:val="bottom"/>
          </w:tcPr>
          <w:p>
            <w:pPr>
              <w:jc w:val="right"/>
              <w:ind w:right="161"/>
              <w:spacing w:after="0"/>
              <w:rPr>
                <w:sz w:val="20"/>
                <w:szCs w:val="20"/>
                <w:color w:val="auto"/>
              </w:rPr>
            </w:pPr>
            <w:r>
              <w:rPr>
                <w:rFonts w:ascii="Arial" w:cs="Arial" w:eastAsia="Arial" w:hAnsi="Arial"/>
                <w:sz w:val="13"/>
                <w:szCs w:val="13"/>
                <w:color w:val="auto"/>
              </w:rPr>
              <w:t>Percentage of Liquidation Preference</w:t>
            </w:r>
          </w:p>
        </w:tc>
      </w:tr>
      <w:tr>
        <w:trPr>
          <w:trHeight w:val="182"/>
        </w:trPr>
        <w:tc>
          <w:tcPr>
            <w:tcW w:w="20" w:type="dxa"/>
            <w:vAlign w:val="bottom"/>
            <w:tcBorders>
              <w:top w:val="single" w:sz="8" w:color="C6D9F1"/>
            </w:tcBorders>
            <w:shd w:val="clear" w:color="auto" w:fill="C6D9F1"/>
          </w:tcPr>
          <w:p>
            <w:pPr>
              <w:spacing w:after="0"/>
              <w:rPr>
                <w:sz w:val="15"/>
                <w:szCs w:val="15"/>
                <w:color w:val="auto"/>
              </w:rPr>
            </w:pPr>
          </w:p>
        </w:tc>
        <w:tc>
          <w:tcPr>
            <w:tcW w:w="6700" w:type="dxa"/>
            <w:vAlign w:val="bottom"/>
            <w:tcBorders>
              <w:top w:val="single" w:sz="8" w:color="C6D9F1"/>
            </w:tcBorders>
            <w:gridSpan w:val="2"/>
            <w:shd w:val="clear" w:color="auto" w:fill="C6D9F1"/>
          </w:tcPr>
          <w:p>
            <w:pPr>
              <w:spacing w:after="0" w:line="182" w:lineRule="exact"/>
              <w:rPr>
                <w:sz w:val="20"/>
                <w:szCs w:val="20"/>
                <w:color w:val="auto"/>
              </w:rPr>
            </w:pPr>
            <w:r>
              <w:rPr>
                <w:rFonts w:ascii="Arial" w:cs="Arial" w:eastAsia="Arial" w:hAnsi="Arial"/>
                <w:sz w:val="16"/>
                <w:szCs w:val="16"/>
                <w:color w:val="auto"/>
              </w:rPr>
              <w:t>On or before March 31, 2021</w:t>
            </w:r>
          </w:p>
        </w:tc>
        <w:tc>
          <w:tcPr>
            <w:tcW w:w="2440" w:type="dxa"/>
            <w:vAlign w:val="bottom"/>
            <w:tcBorders>
              <w:top w:val="single" w:sz="8" w:color="auto"/>
            </w:tcBorders>
            <w:shd w:val="clear" w:color="auto" w:fill="C6D9F1"/>
          </w:tcPr>
          <w:p>
            <w:pPr>
              <w:jc w:val="right"/>
              <w:spacing w:after="0" w:line="182" w:lineRule="exact"/>
              <w:rPr>
                <w:sz w:val="20"/>
                <w:szCs w:val="20"/>
                <w:color w:val="auto"/>
              </w:rPr>
            </w:pPr>
            <w:r>
              <w:rPr>
                <w:rFonts w:ascii="Arial" w:cs="Arial" w:eastAsia="Arial" w:hAnsi="Arial"/>
                <w:sz w:val="16"/>
                <w:szCs w:val="16"/>
                <w:color w:val="auto"/>
              </w:rPr>
              <w:t>105%</w:t>
            </w:r>
          </w:p>
        </w:tc>
      </w:tr>
      <w:tr>
        <w:trPr>
          <w:trHeight w:val="198"/>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6"/>
                <w:szCs w:val="16"/>
                <w:color w:val="auto"/>
              </w:rPr>
              <w:t>After March 31, 2021 and on or before December 31, 2021</w:t>
            </w:r>
          </w:p>
        </w:tc>
        <w:tc>
          <w:tcPr>
            <w:tcW w:w="24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198"/>
        </w:trPr>
        <w:tc>
          <w:tcPr>
            <w:tcW w:w="20" w:type="dxa"/>
            <w:vAlign w:val="bottom"/>
            <w:shd w:val="clear" w:color="auto" w:fill="C6D9F1"/>
          </w:tcPr>
          <w:p>
            <w:pPr>
              <w:spacing w:after="0"/>
              <w:rPr>
                <w:sz w:val="17"/>
                <w:szCs w:val="17"/>
                <w:color w:val="auto"/>
              </w:rPr>
            </w:pPr>
          </w:p>
        </w:tc>
        <w:tc>
          <w:tcPr>
            <w:tcW w:w="670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After December 31, 2021 and on or before December 31, 2022</w:t>
            </w:r>
          </w:p>
        </w:tc>
        <w:tc>
          <w:tcPr>
            <w:tcW w:w="24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120%</w:t>
            </w:r>
          </w:p>
        </w:tc>
      </w:tr>
      <w:tr>
        <w:trPr>
          <w:trHeight w:val="209"/>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6"/>
                <w:szCs w:val="16"/>
                <w:color w:val="auto"/>
              </w:rPr>
              <w:t>After December 31, 2022</w:t>
            </w:r>
          </w:p>
        </w:tc>
        <w:tc>
          <w:tcPr>
            <w:tcW w:w="2440" w:type="dxa"/>
            <w:vAlign w:val="bottom"/>
          </w:tcPr>
          <w:p>
            <w:pPr>
              <w:jc w:val="right"/>
              <w:spacing w:after="0"/>
              <w:rPr>
                <w:sz w:val="20"/>
                <w:szCs w:val="20"/>
                <w:color w:val="auto"/>
              </w:rPr>
            </w:pPr>
            <w:r>
              <w:rPr>
                <w:rFonts w:ascii="Arial" w:cs="Arial" w:eastAsia="Arial" w:hAnsi="Arial"/>
                <w:sz w:val="16"/>
                <w:szCs w:val="16"/>
                <w:color w:val="auto"/>
              </w:rPr>
              <w:t>130%</w:t>
            </w:r>
          </w:p>
        </w:tc>
      </w:tr>
    </w:tbl>
    <w:p>
      <w:pPr>
        <w:spacing w:after="0" w:line="174" w:lineRule="exact"/>
        <w:rPr>
          <w:sz w:val="20"/>
          <w:szCs w:val="20"/>
          <w:color w:val="auto"/>
        </w:rPr>
      </w:pPr>
    </w:p>
    <w:p>
      <w:pPr>
        <w:ind w:right="80" w:firstLine="539"/>
        <w:spacing w:after="0" w:line="265" w:lineRule="auto"/>
        <w:rPr>
          <w:sz w:val="20"/>
          <w:szCs w:val="20"/>
          <w:color w:val="auto"/>
        </w:rPr>
      </w:pPr>
      <w:r>
        <w:rPr>
          <w:rFonts w:ascii="Arial" w:cs="Arial" w:eastAsia="Arial" w:hAnsi="Arial"/>
          <w:sz w:val="16"/>
          <w:szCs w:val="16"/>
          <w:color w:val="auto"/>
        </w:rPr>
        <w:t>The March 31, 2021 date shall be deemed May 15, 2021 if we have entered into a definitive agreement with respect to a transaction that constitutes a Change of Control (as defined in the Purchase Agreement) on or prior to March 31, 2021. The redemption price and any accrued and unpaid dividends shall be paid in cash unless our outstanding shares of common stock have a market capitalization in excess of $750 million on the date of the redemption notice, in which case the redemption price may be paid in cash or a combination of cash and shares of common stock; provided that the number of shares of common stock to be delivered will be determined based on 95% of the 30-trading day volume-weighted average price, or VWAP.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3" w:name="page24"/>
    <w:bookmarkEnd w:id="23"/>
    <w:p>
      <w:pPr>
        <w:ind w:right="100" w:firstLine="539"/>
        <w:spacing w:after="0" w:line="291" w:lineRule="auto"/>
        <w:rPr>
          <w:sz w:val="20"/>
          <w:szCs w:val="20"/>
          <w:color w:val="auto"/>
        </w:rPr>
      </w:pPr>
      <w:r>
        <w:rPr>
          <w:rFonts w:ascii="Arial" w:cs="Arial" w:eastAsia="Arial" w:hAnsi="Arial"/>
          <w:sz w:val="15"/>
          <w:szCs w:val="15"/>
          <w:i w:val="1"/>
          <w:iCs w:val="1"/>
          <w:color w:val="auto"/>
        </w:rPr>
        <w:t xml:space="preserve">Conversion Rights/Rates: </w:t>
      </w:r>
      <w:r>
        <w:rPr>
          <w:rFonts w:ascii="Arial" w:cs="Arial" w:eastAsia="Arial" w:hAnsi="Arial"/>
          <w:sz w:val="15"/>
          <w:szCs w:val="15"/>
          <w:color w:val="auto"/>
        </w:rPr>
        <w:t>The conversion rate for the Series B Preferred Stock equals (i) the Liquidation Preference (as defined below), plus any accrued and</w:t>
      </w:r>
      <w:r>
        <w:rPr>
          <w:rFonts w:ascii="Arial" w:cs="Arial" w:eastAsia="Arial" w:hAnsi="Arial"/>
          <w:sz w:val="15"/>
          <w:szCs w:val="15"/>
          <w:i w:val="1"/>
          <w:iCs w:val="1"/>
          <w:color w:val="auto"/>
        </w:rPr>
        <w:t xml:space="preserve"> </w:t>
      </w:r>
      <w:r>
        <w:rPr>
          <w:rFonts w:ascii="Arial" w:cs="Arial" w:eastAsia="Arial" w:hAnsi="Arial"/>
          <w:sz w:val="15"/>
          <w:szCs w:val="15"/>
          <w:color w:val="auto"/>
        </w:rPr>
        <w:t>unpaid Series B dividends, less any dividend withholding taxes that we are entitled to set off, divided by (ii) the then-applicable conversion price described below, which conversion price shall be no less than $1.00. In addition, under no circumstances will the aggregate number of common stock issued upon conversion of Series B Preferred Stock exceed 40,000,000 unless our Certificate of Incorporation is amended to increase the authorized number of shares of common stock.</w:t>
      </w:r>
    </w:p>
    <w:p>
      <w:pPr>
        <w:spacing w:after="0" w:line="151" w:lineRule="exact"/>
        <w:rPr>
          <w:sz w:val="20"/>
          <w:szCs w:val="20"/>
          <w:color w:val="auto"/>
        </w:rPr>
      </w:pPr>
    </w:p>
    <w:p>
      <w:pPr>
        <w:ind w:right="160" w:firstLine="539"/>
        <w:spacing w:after="0" w:line="325" w:lineRule="auto"/>
        <w:rPr>
          <w:sz w:val="20"/>
          <w:szCs w:val="20"/>
          <w:color w:val="auto"/>
        </w:rPr>
      </w:pPr>
      <w:r>
        <w:rPr>
          <w:rFonts w:ascii="Arial" w:cs="Arial" w:eastAsia="Arial" w:hAnsi="Arial"/>
          <w:sz w:val="15"/>
          <w:szCs w:val="15"/>
          <w:color w:val="auto"/>
        </w:rPr>
        <w:t>If our consolidated net leverage ratio is equal to or greater than 3.50 to 1.00 as of March 31, 2023 or any quarter ending thereafter, holders of Series B Preferred Stock will have the right to convert at a conversion price that equals 90% of the 30-day volume-weighted average price, during a 60-day conversion window.</w:t>
      </w:r>
    </w:p>
    <w:p>
      <w:pPr>
        <w:spacing w:after="0" w:line="126" w:lineRule="exact"/>
        <w:rPr>
          <w:sz w:val="20"/>
          <w:szCs w:val="20"/>
          <w:color w:val="auto"/>
        </w:rPr>
      </w:pPr>
    </w:p>
    <w:p>
      <w:pPr>
        <w:ind w:right="60" w:firstLine="539"/>
        <w:spacing w:after="0" w:line="273" w:lineRule="auto"/>
        <w:rPr>
          <w:sz w:val="20"/>
          <w:szCs w:val="20"/>
          <w:color w:val="auto"/>
        </w:rPr>
      </w:pPr>
      <w:r>
        <w:rPr>
          <w:rFonts w:ascii="Arial" w:cs="Arial" w:eastAsia="Arial" w:hAnsi="Arial"/>
          <w:sz w:val="16"/>
          <w:szCs w:val="16"/>
          <w:color w:val="auto"/>
        </w:rPr>
        <w:t>Holders of the Series B Preferred Stock will also have the right to convert up to 25% of their shares of Series B Preferred Stock into common stock in the quarter following the completion of our fiscal year ending December 31, 2023, and each quarter ending thereafter at a conversion price that equals a 30-day volume-weighted average price, during a 60-day conversion window.</w:t>
      </w:r>
    </w:p>
    <w:p>
      <w:pPr>
        <w:spacing w:after="0" w:line="163" w:lineRule="exact"/>
        <w:rPr>
          <w:sz w:val="20"/>
          <w:szCs w:val="20"/>
          <w:color w:val="auto"/>
        </w:rPr>
      </w:pPr>
    </w:p>
    <w:p>
      <w:pPr>
        <w:ind w:right="80" w:firstLine="539"/>
        <w:spacing w:after="0" w:line="268" w:lineRule="auto"/>
        <w:rPr>
          <w:sz w:val="20"/>
          <w:szCs w:val="20"/>
          <w:color w:val="auto"/>
        </w:rPr>
      </w:pPr>
      <w:r>
        <w:rPr>
          <w:rFonts w:ascii="Arial" w:cs="Arial" w:eastAsia="Arial" w:hAnsi="Arial"/>
          <w:sz w:val="16"/>
          <w:szCs w:val="16"/>
          <w:i w:val="1"/>
          <w:iCs w:val="1"/>
          <w:color w:val="auto"/>
        </w:rPr>
        <w:t xml:space="preserve">Liquidation Preference/Value: </w:t>
      </w:r>
      <w:r>
        <w:rPr>
          <w:rFonts w:ascii="Arial" w:cs="Arial" w:eastAsia="Arial" w:hAnsi="Arial"/>
          <w:sz w:val="16"/>
          <w:szCs w:val="16"/>
          <w:color w:val="auto"/>
        </w:rPr>
        <w:t>The Series B Preferred Stock has a liquidation preference of $1,000 per share of Series B Preferred Stock, or the Liquidation</w:t>
      </w:r>
      <w:r>
        <w:rPr>
          <w:rFonts w:ascii="Arial" w:cs="Arial" w:eastAsia="Arial" w:hAnsi="Arial"/>
          <w:sz w:val="16"/>
          <w:szCs w:val="16"/>
          <w:i w:val="1"/>
          <w:iCs w:val="1"/>
          <w:color w:val="auto"/>
        </w:rPr>
        <w:t xml:space="preserve"> </w:t>
      </w:r>
      <w:r>
        <w:rPr>
          <w:rFonts w:ascii="Arial" w:cs="Arial" w:eastAsia="Arial" w:hAnsi="Arial"/>
          <w:sz w:val="16"/>
          <w:szCs w:val="16"/>
          <w:color w:val="auto"/>
        </w:rPr>
        <w:t>Preference. In the event of a liquidation, holders of Series B Preferred Stock will receive the greater of (i) the Liquidation Preference, plus any Series B dividend accrued and unpaid at the time of such liquidation, and (ii) the amount such holder of Series B Preferred Stock would have received upon conversion of its shares of Series B Preferred Stock into shares of common stock using a conversion rate based on a fixed conversion price equal to $7.91.</w:t>
      </w:r>
    </w:p>
    <w:p>
      <w:pPr>
        <w:spacing w:after="0" w:line="166" w:lineRule="exact"/>
        <w:rPr>
          <w:sz w:val="20"/>
          <w:szCs w:val="20"/>
          <w:color w:val="auto"/>
        </w:rPr>
      </w:pPr>
    </w:p>
    <w:p>
      <w:pPr>
        <w:jc w:val="both"/>
        <w:ind w:right="540" w:firstLine="539"/>
        <w:spacing w:after="0" w:line="300" w:lineRule="auto"/>
        <w:rPr>
          <w:sz w:val="20"/>
          <w:szCs w:val="20"/>
          <w:color w:val="auto"/>
        </w:rPr>
      </w:pPr>
      <w:r>
        <w:rPr>
          <w:rFonts w:ascii="Arial" w:cs="Arial" w:eastAsia="Arial" w:hAnsi="Arial"/>
          <w:sz w:val="15"/>
          <w:szCs w:val="15"/>
          <w:i w:val="1"/>
          <w:iCs w:val="1"/>
          <w:color w:val="auto"/>
        </w:rPr>
        <w:t>Limitation on Redemption and Conversion</w:t>
      </w:r>
      <w:r>
        <w:rPr>
          <w:rFonts w:ascii="Arial" w:cs="Arial" w:eastAsia="Arial" w:hAnsi="Arial"/>
          <w:sz w:val="15"/>
          <w:szCs w:val="15"/>
          <w:color w:val="auto"/>
        </w:rPr>
        <w:t>: Unless and until the Stockholder Approval is obtained, the holders shall not have the right to acquire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pursuant to a redemption or conversion of the Series B Preferred Stock in a manner that would violate Nasdaq Listing Rule 5635. Conversion and redemption of Series B Preferred Stock are also subject to certain other beneficial ownership limitations applicable to any holder.</w:t>
      </w:r>
    </w:p>
    <w:p>
      <w:pPr>
        <w:spacing w:after="0" w:line="144" w:lineRule="exact"/>
        <w:rPr>
          <w:sz w:val="20"/>
          <w:szCs w:val="20"/>
          <w:color w:val="auto"/>
        </w:rPr>
      </w:pPr>
    </w:p>
    <w:p>
      <w:pPr>
        <w:ind w:firstLine="539"/>
        <w:spacing w:after="0" w:line="268" w:lineRule="auto"/>
        <w:rPr>
          <w:sz w:val="20"/>
          <w:szCs w:val="20"/>
          <w:color w:val="auto"/>
        </w:rPr>
      </w:pPr>
      <w:r>
        <w:rPr>
          <w:rFonts w:ascii="Arial" w:cs="Arial" w:eastAsia="Arial" w:hAnsi="Arial"/>
          <w:sz w:val="16"/>
          <w:szCs w:val="16"/>
          <w:i w:val="1"/>
          <w:iCs w:val="1"/>
          <w:color w:val="auto"/>
        </w:rPr>
        <w:t xml:space="preserve">Limitation on Dividends and Redemptions of Junior Securities: </w:t>
      </w:r>
      <w:r>
        <w:rPr>
          <w:rFonts w:ascii="Arial" w:cs="Arial" w:eastAsia="Arial" w:hAnsi="Arial"/>
          <w:sz w:val="16"/>
          <w:szCs w:val="16"/>
          <w:color w:val="auto"/>
        </w:rPr>
        <w:t>Without the prior written consent of the holders of a majority of the outstanding shares of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we will not, nor permit any subsidiary to, redeem or purchase or otherwise acquire directly or indirectly any junior securities, nor shall we directly or indirectly pay or declare any dividend upon any junior securities (including any spin-off or other dividend or distribution of properties, securities or any other assets), subject to certain exceptions.</w:t>
      </w:r>
    </w:p>
    <w:p>
      <w:pPr>
        <w:spacing w:after="0" w:line="166" w:lineRule="exact"/>
        <w:rPr>
          <w:sz w:val="20"/>
          <w:szCs w:val="20"/>
          <w:color w:val="auto"/>
        </w:rPr>
      </w:pPr>
    </w:p>
    <w:p>
      <w:pPr>
        <w:ind w:right="80" w:firstLine="539"/>
        <w:spacing w:after="0" w:line="304" w:lineRule="auto"/>
        <w:rPr>
          <w:sz w:val="20"/>
          <w:szCs w:val="20"/>
          <w:color w:val="auto"/>
        </w:rPr>
      </w:pPr>
      <w:r>
        <w:rPr>
          <w:rFonts w:ascii="Arial" w:cs="Arial" w:eastAsia="Arial" w:hAnsi="Arial"/>
          <w:sz w:val="14"/>
          <w:szCs w:val="14"/>
          <w:i w:val="1"/>
          <w:iCs w:val="1"/>
          <w:color w:val="auto"/>
        </w:rPr>
        <w:t xml:space="preserve">Voting Rights: </w:t>
      </w:r>
      <w:r>
        <w:rPr>
          <w:rFonts w:ascii="Arial" w:cs="Arial" w:eastAsia="Arial" w:hAnsi="Arial"/>
          <w:sz w:val="14"/>
          <w:szCs w:val="14"/>
          <w:color w:val="auto"/>
        </w:rPr>
        <w:t>Holders of the Series B Preferred Stock shall not have any voting rights, other than with respect to: (i) amendments to our organizational</w:t>
      </w:r>
      <w:r>
        <w:rPr>
          <w:rFonts w:ascii="Arial" w:cs="Arial" w:eastAsia="Arial" w:hAnsi="Arial"/>
          <w:sz w:val="14"/>
          <w:szCs w:val="14"/>
          <w:i w:val="1"/>
          <w:iCs w:val="1"/>
          <w:color w:val="auto"/>
        </w:rPr>
        <w:t xml:space="preserve"> </w:t>
      </w:r>
      <w:r>
        <w:rPr>
          <w:rFonts w:ascii="Arial" w:cs="Arial" w:eastAsia="Arial" w:hAnsi="Arial"/>
          <w:sz w:val="14"/>
          <w:szCs w:val="14"/>
          <w:color w:val="auto"/>
        </w:rPr>
        <w:t>documents that generally have an adverse effect on the Series B Preferred Stock as well as creation or issuance of senior or parity securities; (ii) issuance of additional Series B Preferred Stock after the Issuance Date; (iii) incurrence by us and our subsidiaries of indebtedness other than (x) any indebtedness that would be permitted to be incurred under our current credit agreement, and (y) (A) indebtedness incurred in connection with refinancing our existing indebtedness outstanding, subject to certain limitations, and (B) indebtedness the net proceeds of which are contemporaneously used to redeem all outstanding shares of Series B Preferred Stock; and (iv) the sale of assets outside the ordinary course of business of NN, unless (A) such assets are sold for fair market value, (B) 85% of the consideration received in connection with the asset sale is in the form of cash or cash equivalents and (C) we use the net cash proceeds from such asset sale to permanently repay its indebtedness, and any net cash proceeds remaining thereafter in excess of $25 million are used to redeem shares of Series B Preferred Stock and/or pay Series B dividends.</w:t>
      </w:r>
    </w:p>
    <w:p>
      <w:pPr>
        <w:spacing w:after="0" w:line="147" w:lineRule="exact"/>
        <w:rPr>
          <w:sz w:val="20"/>
          <w:szCs w:val="20"/>
          <w:color w:val="auto"/>
        </w:rPr>
      </w:pPr>
    </w:p>
    <w:p>
      <w:pPr>
        <w:ind w:right="520" w:firstLine="539"/>
        <w:spacing w:after="0" w:line="273" w:lineRule="auto"/>
        <w:rPr>
          <w:sz w:val="20"/>
          <w:szCs w:val="20"/>
          <w:color w:val="auto"/>
        </w:rPr>
      </w:pPr>
      <w:r>
        <w:rPr>
          <w:rFonts w:ascii="Arial" w:cs="Arial" w:eastAsia="Arial" w:hAnsi="Arial"/>
          <w:sz w:val="16"/>
          <w:szCs w:val="16"/>
          <w:i w:val="1"/>
          <w:iCs w:val="1"/>
          <w:color w:val="auto"/>
        </w:rPr>
        <w:t xml:space="preserve">Additional Consent Rights: </w:t>
      </w:r>
      <w:r>
        <w:rPr>
          <w:rFonts w:ascii="Arial" w:cs="Arial" w:eastAsia="Arial" w:hAnsi="Arial"/>
          <w:sz w:val="16"/>
          <w:szCs w:val="16"/>
          <w:color w:val="auto"/>
        </w:rPr>
        <w:t>Until the Investors cease to hold specified amounts of Series B Preferred Stock, we shall not, without the prior consent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consummate or effect Change of Control transactions, other than (a) a transaction not approved by the Board prior to the consummation thereof or (b) a Qualifying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Warrants</w:t>
      </w:r>
    </w:p>
    <w:p>
      <w:pPr>
        <w:spacing w:after="0" w:line="112" w:lineRule="exact"/>
        <w:rPr>
          <w:sz w:val="20"/>
          <w:szCs w:val="20"/>
          <w:color w:val="auto"/>
        </w:rPr>
      </w:pPr>
    </w:p>
    <w:p>
      <w:pPr>
        <w:ind w:firstLine="539"/>
        <w:spacing w:after="0" w:line="285" w:lineRule="auto"/>
        <w:rPr>
          <w:sz w:val="20"/>
          <w:szCs w:val="20"/>
          <w:color w:val="auto"/>
        </w:rPr>
      </w:pPr>
      <w:r>
        <w:rPr>
          <w:rFonts w:ascii="Arial" w:cs="Arial" w:eastAsia="Arial" w:hAnsi="Arial"/>
          <w:sz w:val="15"/>
          <w:szCs w:val="15"/>
          <w:color w:val="auto"/>
        </w:rPr>
        <w:t>The Warrants issued at the closing are exercisable, in full or in part, at any time prior to the seventh anniversary of their issuance, at an exercise price of $12.00 per share, subject to customary anti-dilution adjustments in the event of future below market issuances, stock splits, stock dividends, combinations or similar events set forth in the Warrants. Unless and until the Stockholder Approval is obtained, the holders shall not have the right to acquire shares of common stock in a manner that would violate Nasdaq Marketplace Rule 5635. In addition, certain other ownership limitations apply to any holder of a Warrant. The Warrant may be exercised for cash or on a cashless basis, based on an exercise price equal to the closing sale price on the immediately preceding trading day. In connection with a Change of Control transaction, any unexercised Warrants will be, under certain circumstances, deemed to have been exercised on a cashless basis. Warrant holders are entitled to</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547"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participate in any dividend or other distribution by the Company to holders of shares of its common stock, on an as-exercised basis.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Registration Rights Agreement</w:t>
      </w:r>
    </w:p>
    <w:p>
      <w:pPr>
        <w:spacing w:after="0" w:line="112" w:lineRule="exact"/>
        <w:rPr>
          <w:sz w:val="20"/>
          <w:szCs w:val="20"/>
          <w:color w:val="auto"/>
        </w:rPr>
      </w:pPr>
    </w:p>
    <w:p>
      <w:pPr>
        <w:ind w:right="40" w:firstLine="539"/>
        <w:spacing w:after="0" w:line="268" w:lineRule="auto"/>
        <w:rPr>
          <w:sz w:val="20"/>
          <w:szCs w:val="20"/>
          <w:color w:val="auto"/>
        </w:rPr>
      </w:pPr>
      <w:r>
        <w:rPr>
          <w:rFonts w:ascii="Arial" w:cs="Arial" w:eastAsia="Arial" w:hAnsi="Arial"/>
          <w:sz w:val="16"/>
          <w:szCs w:val="16"/>
          <w:color w:val="auto"/>
        </w:rPr>
        <w:t>In connection with the closing of the Financing Transaction, the Company also entered into a Registration Rights Agreement, dated December 11, 2019, with the Investors (the “Registration Rights Agreement”), under which the Investors are granted certain customary registration rights with respect to their shares of common stock, including those underlying the Series B Preferred Stock and Warrants, shares of Series B Preferred Stock and the Warrants. The Registration Rights Agreement contains other customary terms and conditions, including mutual indemnifications by the Company and each Investor.</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Dilutive Impact of this Proposal</w:t>
      </w:r>
    </w:p>
    <w:p>
      <w:pPr>
        <w:spacing w:after="0" w:line="116" w:lineRule="exact"/>
        <w:rPr>
          <w:sz w:val="20"/>
          <w:szCs w:val="20"/>
          <w:color w:val="auto"/>
        </w:rPr>
      </w:pPr>
    </w:p>
    <w:p>
      <w:pPr>
        <w:ind w:right="600" w:firstLine="539"/>
        <w:spacing w:after="0" w:line="325" w:lineRule="auto"/>
        <w:rPr>
          <w:sz w:val="20"/>
          <w:szCs w:val="20"/>
          <w:color w:val="auto"/>
        </w:rPr>
      </w:pPr>
      <w:r>
        <w:rPr>
          <w:rFonts w:ascii="Arial" w:cs="Arial" w:eastAsia="Arial" w:hAnsi="Arial"/>
          <w:sz w:val="15"/>
          <w:szCs w:val="15"/>
          <w:color w:val="auto"/>
        </w:rPr>
        <w:t>The issuance of the shares of our common stock which are the subject of this proposal will result in an increase in the number of shares of common stock outstanding. This will result in a decrease to the respective ownership and voting percentage interests of stockholders prior to such issuance.</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Required Vote</w:t>
      </w:r>
    </w:p>
    <w:p>
      <w:pPr>
        <w:spacing w:after="0" w:line="116" w:lineRule="exact"/>
        <w:rPr>
          <w:sz w:val="20"/>
          <w:szCs w:val="20"/>
          <w:color w:val="auto"/>
        </w:rPr>
      </w:pPr>
    </w:p>
    <w:p>
      <w:pPr>
        <w:ind w:right="100" w:firstLine="539"/>
        <w:spacing w:after="0" w:line="289" w:lineRule="auto"/>
        <w:rPr>
          <w:sz w:val="20"/>
          <w:szCs w:val="20"/>
          <w:color w:val="auto"/>
        </w:rPr>
      </w:pPr>
      <w:r>
        <w:rPr>
          <w:rFonts w:ascii="Arial" w:cs="Arial" w:eastAsia="Arial" w:hAnsi="Arial"/>
          <w:sz w:val="16"/>
          <w:szCs w:val="16"/>
          <w:color w:val="auto"/>
        </w:rPr>
        <w:t>This proposal must be approved by the affirmative vote of a majority of the votes cast on the proposal. Abstentions and broker non-votes will have no impact on the vote for this proposal.</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 if this Proposal is Not Approved</w:t>
      </w:r>
    </w:p>
    <w:p>
      <w:pPr>
        <w:spacing w:after="0" w:line="116" w:lineRule="exact"/>
        <w:rPr>
          <w:sz w:val="20"/>
          <w:szCs w:val="20"/>
          <w:color w:val="auto"/>
        </w:rPr>
      </w:pPr>
    </w:p>
    <w:p>
      <w:pPr>
        <w:ind w:firstLine="539"/>
        <w:spacing w:after="0" w:line="291" w:lineRule="auto"/>
        <w:rPr>
          <w:sz w:val="20"/>
          <w:szCs w:val="20"/>
          <w:color w:val="auto"/>
        </w:rPr>
      </w:pPr>
      <w:r>
        <w:rPr>
          <w:rFonts w:ascii="Arial" w:cs="Arial" w:eastAsia="Arial" w:hAnsi="Arial"/>
          <w:sz w:val="15"/>
          <w:szCs w:val="15"/>
          <w:color w:val="auto"/>
        </w:rPr>
        <w:t>If we do not obtain Stockholder Approval for this proposal, conversions or redemptions of the Series B Preferred Stock and exercises of the Warrants for shares of our common stock in excess of the thresholds set forth in Nasdaq Marketplace Rules 5635(b) and 5635(d) will not be permitted. Further, if we fail to obtain Stockholder Approval for this proposal, the Series B dividends shall increase by a rate of one percent (1.0%) to be 11.625% per annum. Accordingly, we believe that the benefits of the Financing Transaction would be materially diminished if we do not obtain Stockholder Approval for this proposal at the Annual Meeting.</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the reasons stated above, our Board of Directors believes that approval of this proposal is in our best interests and the best interests of our stockholders.</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PROPOSAL III: ADVISORY (NON-BINDING) VOTE TO APPROVE THE COMPENSATION OF OUR NAMED EXECUTIVE OFFICERS</w:t>
      </w:r>
    </w:p>
    <w:p>
      <w:pPr>
        <w:spacing w:after="0" w:line="116" w:lineRule="exact"/>
        <w:rPr>
          <w:sz w:val="20"/>
          <w:szCs w:val="20"/>
          <w:color w:val="auto"/>
        </w:rPr>
      </w:pPr>
    </w:p>
    <w:p>
      <w:pPr>
        <w:ind w:right="40" w:firstLine="539"/>
        <w:spacing w:after="0" w:line="264" w:lineRule="auto"/>
        <w:rPr>
          <w:sz w:val="20"/>
          <w:szCs w:val="20"/>
          <w:color w:val="auto"/>
        </w:rPr>
      </w:pPr>
      <w:r>
        <w:rPr>
          <w:rFonts w:ascii="Arial" w:cs="Arial" w:eastAsia="Arial" w:hAnsi="Arial"/>
          <w:sz w:val="16"/>
          <w:szCs w:val="16"/>
          <w:color w:val="auto"/>
        </w:rPr>
        <w:t>At the 2017 annual meeting of stockholders, our stockholders expressed their strong preference for an annual advisory (non-binding) vote to approve executive compensation. Accordingly, the Board determined that, every year until the next vote on the frequency of such advisory vote, we will hold a vote to approve the executive compensation of our named executive officers on an advisory basis.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82" w:lineRule="exact"/>
        <w:rPr>
          <w:sz w:val="20"/>
          <w:szCs w:val="20"/>
          <w:color w:val="auto"/>
        </w:rPr>
      </w:pPr>
    </w:p>
    <w:p>
      <w:pPr>
        <w:ind w:left="880" w:hanging="325"/>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attracting and retaining qualified and dedicated executives who are essential to our long-term success;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providing compensation packages that are competitive with the compensation arrangements offered by comparable companies;</w:t>
      </w:r>
    </w:p>
    <w:p>
      <w:pPr>
        <w:spacing w:after="0" w:line="124" w:lineRule="exact"/>
        <w:rPr>
          <w:rFonts w:ascii="Arial" w:cs="Arial" w:eastAsia="Arial" w:hAnsi="Arial"/>
          <w:sz w:val="16"/>
          <w:szCs w:val="16"/>
          <w:color w:val="auto"/>
        </w:rPr>
      </w:pPr>
    </w:p>
    <w:p>
      <w:pPr>
        <w:ind w:left="880" w:hanging="325"/>
        <w:spacing w:after="0"/>
        <w:tabs>
          <w:tab w:leader="none" w:pos="8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tying a significant portion of an executive officer’s compensation to attainment of specific financial performance goals and the individual’s performance; and</w:t>
      </w:r>
    </w:p>
    <w:p>
      <w:pPr>
        <w:spacing w:after="0" w:line="136" w:lineRule="exact"/>
        <w:rPr>
          <w:rFonts w:ascii="Arial" w:cs="Arial" w:eastAsia="Arial" w:hAnsi="Arial"/>
          <w:sz w:val="15"/>
          <w:szCs w:val="15"/>
          <w:color w:val="auto"/>
        </w:rPr>
      </w:pPr>
    </w:p>
    <w:p>
      <w:pPr>
        <w:ind w:left="880" w:right="80" w:hanging="325"/>
        <w:spacing w:after="0" w:line="289"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directly aligning the interests of management with the interests of the stockholders through stock-based compensation arrangements, including performance share units that vest in three years only if certain performance measures are attained over the period.</w:t>
      </w:r>
    </w:p>
    <w:p>
      <w:pPr>
        <w:spacing w:after="0" w:line="150" w:lineRule="exact"/>
        <w:rPr>
          <w:sz w:val="20"/>
          <w:szCs w:val="20"/>
          <w:color w:val="auto"/>
        </w:rPr>
      </w:pPr>
    </w:p>
    <w:p>
      <w:pPr>
        <w:ind w:right="160" w:firstLine="539"/>
        <w:spacing w:after="0" w:line="268" w:lineRule="auto"/>
        <w:rPr>
          <w:sz w:val="20"/>
          <w:szCs w:val="20"/>
          <w:color w:val="auto"/>
        </w:rPr>
      </w:pPr>
      <w:r>
        <w:rPr>
          <w:rFonts w:ascii="Arial" w:cs="Arial" w:eastAsia="Arial" w:hAnsi="Arial"/>
          <w:sz w:val="16"/>
          <w:szCs w:val="16"/>
          <w:color w:val="auto"/>
        </w:rPr>
        <w:t>Stockholders are urged to read the “Compensation Discussion and Analysis” beginning on page 20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31 through 36, which provide detailed information on the compensation of our named executive officers.</w:t>
      </w:r>
    </w:p>
    <w:p>
      <w:pPr>
        <w:spacing w:after="0" w:line="166" w:lineRule="exact"/>
        <w:rPr>
          <w:sz w:val="20"/>
          <w:szCs w:val="20"/>
          <w:color w:val="auto"/>
        </w:rPr>
      </w:pPr>
    </w:p>
    <w:p>
      <w:pPr>
        <w:ind w:right="40" w:firstLine="539"/>
        <w:spacing w:after="0" w:line="289" w:lineRule="auto"/>
        <w:rPr>
          <w:sz w:val="20"/>
          <w:szCs w:val="20"/>
          <w:color w:val="auto"/>
        </w:rPr>
      </w:pPr>
      <w:r>
        <w:rPr>
          <w:rFonts w:ascii="Arial" w:cs="Arial" w:eastAsia="Arial" w:hAnsi="Arial"/>
          <w:sz w:val="16"/>
          <w:szCs w:val="16"/>
          <w:color w:val="auto"/>
        </w:rPr>
        <w:t>In accordance with Section 14A of the Exchange Act and as a matter of good corporate governance, the Company is asking stockholders to approve the following advisory resolution at the Annual Meeting:</w:t>
      </w:r>
    </w:p>
    <w:p>
      <w:pPr>
        <w:spacing w:after="0" w:line="51" w:lineRule="exact"/>
        <w:rPr>
          <w:sz w:val="20"/>
          <w:szCs w:val="20"/>
          <w:color w:val="auto"/>
        </w:rPr>
      </w:pPr>
    </w:p>
    <w:p>
      <w:pPr>
        <w:ind w:left="820" w:right="60"/>
        <w:spacing w:after="0" w:line="273" w:lineRule="auto"/>
        <w:rPr>
          <w:sz w:val="20"/>
          <w:szCs w:val="20"/>
          <w:color w:val="auto"/>
        </w:rPr>
      </w:pPr>
      <w:r>
        <w:rPr>
          <w:rFonts w:ascii="Arial" w:cs="Arial" w:eastAsia="Arial" w:hAnsi="Arial"/>
          <w:sz w:val="16"/>
          <w:szCs w:val="16"/>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2020 Meeting of Stockholders.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BOARD RECOMMENDS A VOTE “FOR” THIS PROPOSAL.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5" w:lineRule="exact"/>
        <w:rPr>
          <w:sz w:val="20"/>
          <w:szCs w:val="20"/>
          <w:color w:val="auto"/>
        </w:rPr>
      </w:pPr>
    </w:p>
    <w:p>
      <w:pPr>
        <w:ind w:firstLine="792"/>
        <w:spacing w:after="0" w:line="268" w:lineRule="auto"/>
        <w:rPr>
          <w:sz w:val="20"/>
          <w:szCs w:val="20"/>
          <w:color w:val="auto"/>
        </w:rPr>
      </w:pPr>
      <w:r>
        <w:rPr>
          <w:rFonts w:ascii="Arial" w:cs="Arial" w:eastAsia="Arial" w:hAnsi="Arial"/>
          <w:sz w:val="16"/>
          <w:szCs w:val="16"/>
          <w:color w:val="auto"/>
        </w:rPr>
        <w:t>This Compensation Discussion and Analysis describes the Company’s overall philosophy and approach to the compensation of its executive officers. Over the last two fiscal years, the Company has experienced significant transformation to its executive leadership team including changes in the chief executive and chief financial officer roles; however, the basic principles used to guide executive compensation decisions such as the overall philosophy, governance practices, and decision-making processes remained constant year over year.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Summary</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Cost Reduction and Cash Saving Actions</w:t>
      </w:r>
    </w:p>
    <w:p>
      <w:pPr>
        <w:spacing w:after="0" w:line="112" w:lineRule="exact"/>
        <w:rPr>
          <w:sz w:val="20"/>
          <w:szCs w:val="20"/>
          <w:color w:val="auto"/>
        </w:rPr>
      </w:pPr>
    </w:p>
    <w:p>
      <w:pPr>
        <w:ind w:right="120" w:firstLine="508"/>
        <w:spacing w:after="0" w:line="289" w:lineRule="auto"/>
        <w:rPr>
          <w:sz w:val="20"/>
          <w:szCs w:val="20"/>
          <w:color w:val="auto"/>
        </w:rPr>
      </w:pPr>
      <w:r>
        <w:rPr>
          <w:rFonts w:ascii="Arial" w:cs="Arial" w:eastAsia="Arial" w:hAnsi="Arial"/>
          <w:sz w:val="16"/>
          <w:szCs w:val="16"/>
          <w:color w:val="auto"/>
        </w:rPr>
        <w:t>During 2019, we focused on paying down our debt and reducing our overall leverage by improving operations and implementing several cost reduction and cash savings initiatives. These initiatives included:</w:t>
      </w:r>
    </w:p>
    <w:p>
      <w:pPr>
        <w:spacing w:after="0" w:line="150" w:lineRule="exact"/>
        <w:rPr>
          <w:sz w:val="20"/>
          <w:szCs w:val="20"/>
          <w:color w:val="auto"/>
        </w:rPr>
      </w:pPr>
    </w:p>
    <w:p>
      <w:pPr>
        <w:ind w:left="980" w:right="160" w:hanging="388"/>
        <w:spacing w:after="0" w:line="325" w:lineRule="auto"/>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 June 2019, we completed the closure of our shared services center in Johnson City, Tennessee, which allowed us to streamline services and reduce our overall costs. In September 2019, we sold our Johnson City, Tennessee building which generated approximately $4 million in cash.</w:t>
      </w:r>
    </w:p>
    <w:p>
      <w:pPr>
        <w:spacing w:after="0" w:line="125" w:lineRule="exact"/>
        <w:rPr>
          <w:rFonts w:ascii="Arial" w:cs="Arial" w:eastAsia="Arial" w:hAnsi="Arial"/>
          <w:sz w:val="15"/>
          <w:szCs w:val="15"/>
          <w:color w:val="auto"/>
        </w:rPr>
      </w:pPr>
    </w:p>
    <w:p>
      <w:pPr>
        <w:ind w:left="980" w:right="320" w:hanging="388"/>
        <w:spacing w:after="0" w:line="289"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October 21, 2019, we announced expense reduction and cash savings initiatives expected to produce approximately $32 million in annualized cash savings through the elimination of the quarterly dividend and a reduction in overall SG&amp;A costs and capital expenditures.</w:t>
      </w:r>
    </w:p>
    <w:p>
      <w:pPr>
        <w:spacing w:after="0" w:line="149" w:lineRule="exact"/>
        <w:rPr>
          <w:rFonts w:ascii="Arial" w:cs="Arial" w:eastAsia="Arial" w:hAnsi="Arial"/>
          <w:sz w:val="16"/>
          <w:szCs w:val="16"/>
          <w:color w:val="auto"/>
        </w:rPr>
      </w:pPr>
    </w:p>
    <w:p>
      <w:pPr>
        <w:ind w:left="980" w:right="20" w:hanging="388"/>
        <w:spacing w:after="0" w:line="273"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November 2019, we consolidated the senior management leadership of the Mobile Solutions and Power Solutions business groups under a single leader. This streamlined leadership structure better aligns our operational philosophy, metrics and management and will drive further cost reductions and sales efficiencies.</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Strategic Review</w:t>
      </w:r>
    </w:p>
    <w:p>
      <w:pPr>
        <w:spacing w:after="0" w:line="112" w:lineRule="exact"/>
        <w:rPr>
          <w:sz w:val="20"/>
          <w:szCs w:val="20"/>
          <w:color w:val="auto"/>
        </w:rPr>
      </w:pPr>
    </w:p>
    <w:p>
      <w:pPr>
        <w:jc w:val="both"/>
        <w:ind w:firstLine="508"/>
        <w:spacing w:after="0" w:line="273" w:lineRule="auto"/>
        <w:rPr>
          <w:sz w:val="20"/>
          <w:szCs w:val="20"/>
          <w:color w:val="auto"/>
        </w:rPr>
      </w:pPr>
      <w:r>
        <w:rPr>
          <w:rFonts w:ascii="Arial" w:cs="Arial" w:eastAsia="Arial" w:hAnsi="Arial"/>
          <w:sz w:val="16"/>
          <w:szCs w:val="16"/>
          <w:color w:val="auto"/>
        </w:rPr>
        <w:t>On November 7, 2019, we announced the commencement of a broad evaluation of operational, financial and strategic options intended to reduce our leverage and enhance shareholder value. These strategic options include further cost savings and cash generation initiatives, capital allocation opportunities and the sale of all or part of the Company.</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Liquidity Improvements and Leverage Reductions</w:t>
      </w:r>
    </w:p>
    <w:p>
      <w:pPr>
        <w:spacing w:after="0" w:line="112" w:lineRule="exact"/>
        <w:rPr>
          <w:sz w:val="20"/>
          <w:szCs w:val="20"/>
          <w:color w:val="auto"/>
        </w:rPr>
      </w:pPr>
    </w:p>
    <w:p>
      <w:pPr>
        <w:ind w:right="20" w:firstLine="508"/>
        <w:spacing w:after="0" w:line="291" w:lineRule="auto"/>
        <w:rPr>
          <w:sz w:val="20"/>
          <w:szCs w:val="20"/>
          <w:color w:val="auto"/>
        </w:rPr>
      </w:pPr>
      <w:r>
        <w:rPr>
          <w:rFonts w:ascii="Arial" w:cs="Arial" w:eastAsia="Arial" w:hAnsi="Arial"/>
          <w:sz w:val="15"/>
          <w:szCs w:val="15"/>
          <w:color w:val="auto"/>
        </w:rPr>
        <w:t>In December 2019, we issued $100 million of preferred stock to affiliates of two existing stockholders of the Company, the proceeds of which were utilized to pay down debt and further de-lever the business. This investment improved our credit profile and provided additional liquidity for fiscal year 2020. Also in December 2019, we extended the maturity date of our revolving credit facility to July 20, 2022 and of a portion of our term B debt to October, 2022. The extension of the maturities of our senior credit facilities, along with the preferred stock investment, enhances our efforts to pay down debt and improves our credit profile and liquidity.</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Shareholder Engagement</w:t>
      </w:r>
    </w:p>
    <w:p>
      <w:pPr>
        <w:spacing w:after="0" w:line="112" w:lineRule="exact"/>
        <w:rPr>
          <w:sz w:val="20"/>
          <w:szCs w:val="20"/>
          <w:color w:val="auto"/>
        </w:rPr>
      </w:pPr>
    </w:p>
    <w:p>
      <w:pPr>
        <w:ind w:right="80" w:firstLine="508"/>
        <w:spacing w:after="0" w:line="273" w:lineRule="auto"/>
        <w:rPr>
          <w:sz w:val="20"/>
          <w:szCs w:val="20"/>
          <w:color w:val="auto"/>
        </w:rPr>
      </w:pPr>
      <w:r>
        <w:rPr>
          <w:rFonts w:ascii="Arial" w:cs="Arial" w:eastAsia="Arial" w:hAnsi="Arial"/>
          <w:sz w:val="16"/>
          <w:szCs w:val="16"/>
          <w:color w:val="auto"/>
        </w:rPr>
        <w:t>In 2019, in response to input from our stockholders, we simplified the calculation of return on invested capital (ROIC) to equal (i) adjusted net operating profit after taxes, divided by (ii) total invested capital. Further, as a result of stockholder feedback, we are in the process of eliminating our classified board structure so that all of our directors will be elected on an annual basis beginning at the 2021 annual meeting.</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2019 Pay for Performance</w:t>
      </w:r>
    </w:p>
    <w:p>
      <w:pPr>
        <w:spacing w:after="0" w:line="211" w:lineRule="exact"/>
        <w:rPr>
          <w:sz w:val="20"/>
          <w:szCs w:val="20"/>
          <w:color w:val="auto"/>
        </w:rPr>
      </w:pPr>
    </w:p>
    <w:p>
      <w:pPr>
        <w:ind w:firstLine="495"/>
        <w:spacing w:after="0" w:line="262" w:lineRule="auto"/>
        <w:rPr>
          <w:sz w:val="20"/>
          <w:szCs w:val="20"/>
          <w:color w:val="auto"/>
        </w:rPr>
      </w:pPr>
      <w:r>
        <w:rPr>
          <w:rFonts w:ascii="Arial" w:cs="Arial" w:eastAsia="Arial" w:hAnsi="Arial"/>
          <w:sz w:val="16"/>
          <w:szCs w:val="16"/>
          <w:color w:val="auto"/>
        </w:rPr>
        <w:t>Our executive compensation programs are based on a strong alignment between pay and performance and designed to reward both financial and operational successes as well as actions that drive stockholder value creation. We believe our executive compensation programs are acting as intended, to properly incentivize and compensate our executive officers when our financial objectives are met and to hold our executive officers accountable when they are not. Accordingly, we did not make any changes to our programs in 2019. Despite some of the significant achievements noted above, 2019 proved to be a challenging year for the Company. Due to meaningful macro and micro economic factors in 2019, our financial performance failed to meet expectations. Accordingly, and as more fully described below, the performance metrics established for our executive incentive bonus program and for our 2017 TSR and ROIC performance stock units were not met, resulting in no payout to our Chief Executive Officer or to any of the named executive officers, or NEOs. In addition, for 2019, the Compensation Committee did not award any discretionary bonuses to the NEOs.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345" w:right="359" w:bottom="1440" w:gutter="0" w:footer="0" w:header="0"/>
        </w:sectPr>
      </w:pPr>
    </w:p>
    <w:bookmarkStart w:id="27" w:name="page28"/>
    <w:bookmarkEnd w:id="27"/>
    <w:p>
      <w:pPr>
        <w:ind w:left="500"/>
        <w:spacing w:after="0"/>
        <w:rPr>
          <w:sz w:val="20"/>
          <w:szCs w:val="20"/>
          <w:color w:val="auto"/>
        </w:rPr>
      </w:pPr>
      <w:r>
        <w:rPr>
          <w:rFonts w:ascii="Arial" w:cs="Arial" w:eastAsia="Arial" w:hAnsi="Arial"/>
          <w:sz w:val="16"/>
          <w:szCs w:val="16"/>
          <w:b w:val="1"/>
          <w:bCs w:val="1"/>
          <w:i w:val="1"/>
          <w:iCs w:val="1"/>
          <w:color w:val="auto"/>
        </w:rPr>
        <w:t>2019 Management Changes</w:t>
      </w:r>
    </w:p>
    <w:p>
      <w:pPr>
        <w:spacing w:after="0" w:line="112" w:lineRule="exact"/>
        <w:rPr>
          <w:sz w:val="20"/>
          <w:szCs w:val="20"/>
          <w:color w:val="auto"/>
        </w:rPr>
      </w:pPr>
    </w:p>
    <w:p>
      <w:pPr>
        <w:ind w:right="140" w:firstLine="495"/>
        <w:spacing w:after="0" w:line="325" w:lineRule="auto"/>
        <w:rPr>
          <w:sz w:val="20"/>
          <w:szCs w:val="20"/>
          <w:color w:val="auto"/>
        </w:rPr>
      </w:pPr>
      <w:r>
        <w:rPr>
          <w:rFonts w:ascii="Arial" w:cs="Arial" w:eastAsia="Arial" w:hAnsi="Arial"/>
          <w:sz w:val="15"/>
          <w:szCs w:val="15"/>
          <w:color w:val="auto"/>
        </w:rPr>
        <w:t>The last fiscal year was a year of significant transition for the Company as we focused on reducing our overall leverage by implementing cost reduction and cash savings initiatives and allocating our capital more strategically and efficiently. In 2019, our executive team experienced significant changes, as described below:</w:t>
      </w:r>
    </w:p>
    <w:p>
      <w:pPr>
        <w:spacing w:after="0" w:line="224" w:lineRule="exact"/>
        <w:rPr>
          <w:sz w:val="20"/>
          <w:szCs w:val="20"/>
          <w:color w:val="auto"/>
        </w:rPr>
      </w:pPr>
    </w:p>
    <w:p>
      <w:pPr>
        <w:jc w:val="both"/>
        <w:ind w:left="980" w:right="120" w:hanging="487"/>
        <w:spacing w:after="0" w:line="273"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Chief Executive Officer Transition</w:t>
      </w:r>
      <w:r>
        <w:rPr>
          <w:rFonts w:ascii="Arial" w:cs="Arial" w:eastAsia="Arial" w:hAnsi="Arial"/>
          <w:sz w:val="16"/>
          <w:szCs w:val="16"/>
          <w:color w:val="auto"/>
        </w:rPr>
        <w:t>: On September 16, 2019, the Board appointed Mr. Warren A. Veltman as President and Chief Executive Officer. Prior to September 16, 2019, Mr. Veltman served as the Executive Vice President of the Company’s Mobile Solutions group. In connection with Mr. Veltman’s appointment, Richard D. Holder stepped down as Chief Executive Officer and as a member of the Board.</w:t>
      </w:r>
    </w:p>
    <w:p>
      <w:pPr>
        <w:spacing w:after="0" w:line="162" w:lineRule="exact"/>
        <w:rPr>
          <w:rFonts w:ascii="Arial" w:cs="Arial" w:eastAsia="Arial" w:hAnsi="Arial"/>
          <w:sz w:val="16"/>
          <w:szCs w:val="16"/>
          <w:color w:val="auto"/>
        </w:rPr>
      </w:pPr>
    </w:p>
    <w:p>
      <w:pPr>
        <w:ind w:left="980" w:right="640" w:hanging="487"/>
        <w:spacing w:after="0" w:line="325" w:lineRule="auto"/>
        <w:tabs>
          <w:tab w:leader="none" w:pos="980" w:val="left"/>
        </w:tabs>
        <w:numPr>
          <w:ilvl w:val="0"/>
          <w:numId w:val="27"/>
        </w:numPr>
        <w:rPr>
          <w:rFonts w:ascii="Arial" w:cs="Arial" w:eastAsia="Arial" w:hAnsi="Arial"/>
          <w:sz w:val="15"/>
          <w:szCs w:val="15"/>
          <w:color w:val="auto"/>
        </w:rPr>
      </w:pPr>
      <w:r>
        <w:rPr>
          <w:rFonts w:ascii="Arial" w:cs="Arial" w:eastAsia="Arial" w:hAnsi="Arial"/>
          <w:sz w:val="15"/>
          <w:szCs w:val="15"/>
          <w:u w:val="single" w:color="auto"/>
          <w:color w:val="auto"/>
        </w:rPr>
        <w:t>Chief Financial Officer Transition</w:t>
      </w:r>
      <w:r>
        <w:rPr>
          <w:rFonts w:ascii="Arial" w:cs="Arial" w:eastAsia="Arial" w:hAnsi="Arial"/>
          <w:sz w:val="15"/>
          <w:szCs w:val="15"/>
          <w:color w:val="auto"/>
        </w:rPr>
        <w:t>: Effective September 23, 2019, Thomas D. DeByle was appointed as Senior Vice President and Chief Financial Officer. Thomas C. Burwell, Jr. stepped down as Senior Vice President and Chief Financial Officer of the Company, effective July 12, 2019.</w:t>
      </w:r>
    </w:p>
    <w:p>
      <w:pPr>
        <w:spacing w:after="0" w:line="125" w:lineRule="exact"/>
        <w:rPr>
          <w:rFonts w:ascii="Arial" w:cs="Arial" w:eastAsia="Arial" w:hAnsi="Arial"/>
          <w:sz w:val="15"/>
          <w:szCs w:val="15"/>
          <w:color w:val="auto"/>
        </w:rPr>
      </w:pPr>
    </w:p>
    <w:p>
      <w:pPr>
        <w:ind w:left="980" w:hanging="487"/>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Other Officer Transitions</w:t>
      </w:r>
      <w:r>
        <w:rPr>
          <w:rFonts w:ascii="Arial" w:cs="Arial" w:eastAsia="Arial" w:hAnsi="Arial"/>
          <w:sz w:val="16"/>
          <w:szCs w:val="16"/>
          <w:color w:val="auto"/>
        </w:rPr>
        <w:t>:  Mr. Christopher J. Qualters became Executive Vice President of the Company’s Life Science group on November 24,</w:t>
      </w:r>
    </w:p>
    <w:p>
      <w:pPr>
        <w:spacing w:after="0" w:line="24" w:lineRule="exact"/>
        <w:rPr>
          <w:rFonts w:ascii="Arial" w:cs="Arial" w:eastAsia="Arial" w:hAnsi="Arial"/>
          <w:sz w:val="16"/>
          <w:szCs w:val="16"/>
          <w:color w:val="auto"/>
        </w:rPr>
      </w:pPr>
    </w:p>
    <w:p>
      <w:pPr>
        <w:ind w:left="980" w:right="80"/>
        <w:spacing w:after="0" w:line="286" w:lineRule="auto"/>
        <w:rPr>
          <w:rFonts w:ascii="Arial" w:cs="Arial" w:eastAsia="Arial" w:hAnsi="Arial"/>
          <w:sz w:val="16"/>
          <w:szCs w:val="16"/>
          <w:color w:val="auto"/>
        </w:rPr>
      </w:pPr>
      <w:r>
        <w:rPr>
          <w:rFonts w:ascii="Arial" w:cs="Arial" w:eastAsia="Arial" w:hAnsi="Arial"/>
          <w:sz w:val="15"/>
          <w:szCs w:val="15"/>
          <w:color w:val="auto"/>
        </w:rPr>
        <w:t>2019. Previously, he served as the Executive Vice President of the Company’s Power Solutions group. Also on November 24, 2019, we consolidated the Executive Vice President roles of Mobile Solutions and Power Solutions under the leadership of John R. Buchan, the then Executive Vice President of Mobile Solutions. Mr. Buchan was promoted to serve as Executive Vice President of the Company’s Mobile Solutions group on September 20, 2019. Mr. J. Robert Atkinson stepped down as Executive Vice President, Life Sciences, on November 24, 2019.</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As a result of these management changes, we had eight NEOs for 2019. The following five NEOs were serving as our executive officers as of December 31,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20"/>
                <w:szCs w:val="20"/>
                <w:color w:val="auto"/>
              </w:rPr>
            </w:pPr>
          </w:p>
        </w:tc>
        <w:tc>
          <w:tcPr>
            <w:tcW w:w="5660" w:type="dxa"/>
            <w:vAlign w:val="bottom"/>
          </w:tcPr>
          <w:p>
            <w:pPr>
              <w:ind w:left="2680"/>
              <w:spacing w:after="0"/>
              <w:rPr>
                <w:sz w:val="20"/>
                <w:szCs w:val="20"/>
                <w:color w:val="auto"/>
              </w:rPr>
            </w:pPr>
            <w:r>
              <w:rPr>
                <w:rFonts w:ascii="Arial" w:cs="Arial" w:eastAsia="Arial" w:hAnsi="Arial"/>
                <w:sz w:val="16"/>
                <w:szCs w:val="16"/>
                <w:b w:val="1"/>
                <w:bCs w:val="1"/>
                <w:color w:val="auto"/>
              </w:rPr>
              <w:t>Title</w:t>
            </w:r>
          </w:p>
        </w:tc>
      </w:tr>
      <w:tr>
        <w:trPr>
          <w:trHeight w:val="182"/>
        </w:trPr>
        <w:tc>
          <w:tcPr>
            <w:tcW w:w="2000" w:type="dxa"/>
            <w:vAlign w:val="bottom"/>
            <w:tcBorders>
              <w:top w:val="single" w:sz="8" w:color="D5DCE4"/>
            </w:tcBorders>
            <w:shd w:val="clear" w:color="auto" w:fill="D5DCE4"/>
          </w:tcPr>
          <w:p>
            <w:pPr>
              <w:spacing w:after="0" w:line="182" w:lineRule="exact"/>
              <w:rPr>
                <w:sz w:val="20"/>
                <w:szCs w:val="20"/>
                <w:color w:val="auto"/>
              </w:rPr>
            </w:pPr>
            <w:r>
              <w:rPr>
                <w:rFonts w:ascii="Arial" w:cs="Arial" w:eastAsia="Arial" w:hAnsi="Arial"/>
                <w:sz w:val="16"/>
                <w:szCs w:val="16"/>
                <w:color w:val="auto"/>
              </w:rPr>
              <w:t>Warren A. Veltman</w:t>
            </w:r>
          </w:p>
        </w:tc>
        <w:tc>
          <w:tcPr>
            <w:tcW w:w="260" w:type="dxa"/>
            <w:vAlign w:val="bottom"/>
            <w:tcBorders>
              <w:top w:val="single" w:sz="8" w:color="D5DCE4"/>
            </w:tcBorders>
            <w:shd w:val="clear" w:color="auto" w:fill="D5DCE4"/>
          </w:tcPr>
          <w:p>
            <w:pPr>
              <w:spacing w:after="0"/>
              <w:rPr>
                <w:sz w:val="15"/>
                <w:szCs w:val="15"/>
                <w:color w:val="auto"/>
              </w:rPr>
            </w:pPr>
          </w:p>
        </w:tc>
        <w:tc>
          <w:tcPr>
            <w:tcW w:w="5660" w:type="dxa"/>
            <w:vAlign w:val="bottom"/>
            <w:tcBorders>
              <w:top w:val="single" w:sz="8" w:color="auto"/>
            </w:tcBorders>
            <w:shd w:val="clear" w:color="auto" w:fill="D5DCE4"/>
          </w:tcPr>
          <w:p>
            <w:pPr>
              <w:spacing w:after="0" w:line="182" w:lineRule="exact"/>
              <w:rPr>
                <w:sz w:val="20"/>
                <w:szCs w:val="20"/>
                <w:color w:val="auto"/>
              </w:rPr>
            </w:pPr>
            <w:r>
              <w:rPr>
                <w:rFonts w:ascii="Arial" w:cs="Arial" w:eastAsia="Arial" w:hAnsi="Arial"/>
                <w:sz w:val="16"/>
                <w:szCs w:val="16"/>
                <w:color w:val="auto"/>
              </w:rPr>
              <w:t>Director, President and Chief Executive Officer</w:t>
            </w: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Thomas D. DeByle</w:t>
            </w:r>
          </w:p>
        </w:tc>
        <w:tc>
          <w:tcPr>
            <w:tcW w:w="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Senior Vice President and Chief Financial Officer</w:t>
            </w:r>
          </w:p>
        </w:tc>
      </w:tr>
      <w:tr>
        <w:trPr>
          <w:trHeight w:val="211"/>
        </w:trPr>
        <w:tc>
          <w:tcPr>
            <w:tcW w:w="2000" w:type="dxa"/>
            <w:vAlign w:val="bottom"/>
            <w:shd w:val="clear" w:color="auto" w:fill="D5DCE4"/>
          </w:tcPr>
          <w:p>
            <w:pPr>
              <w:spacing w:after="0"/>
              <w:rPr>
                <w:sz w:val="20"/>
                <w:szCs w:val="20"/>
                <w:color w:val="auto"/>
              </w:rPr>
            </w:pPr>
            <w:r>
              <w:rPr>
                <w:rFonts w:ascii="Arial" w:cs="Arial" w:eastAsia="Arial" w:hAnsi="Arial"/>
                <w:sz w:val="16"/>
                <w:szCs w:val="16"/>
                <w:color w:val="auto"/>
              </w:rPr>
              <w:t>Matthew S. Heiter</w:t>
            </w:r>
          </w:p>
        </w:tc>
        <w:tc>
          <w:tcPr>
            <w:tcW w:w="260" w:type="dxa"/>
            <w:vAlign w:val="bottom"/>
            <w:shd w:val="clear" w:color="auto" w:fill="D5DCE4"/>
          </w:tcPr>
          <w:p>
            <w:pPr>
              <w:spacing w:after="0"/>
              <w:rPr>
                <w:sz w:val="18"/>
                <w:szCs w:val="18"/>
                <w:color w:val="auto"/>
              </w:rPr>
            </w:pPr>
          </w:p>
        </w:tc>
        <w:tc>
          <w:tcPr>
            <w:tcW w:w="5660" w:type="dxa"/>
            <w:vAlign w:val="bottom"/>
            <w:shd w:val="clear" w:color="auto" w:fill="D5DCE4"/>
          </w:tcPr>
          <w:p>
            <w:pPr>
              <w:spacing w:after="0"/>
              <w:rPr>
                <w:sz w:val="20"/>
                <w:szCs w:val="20"/>
                <w:color w:val="auto"/>
              </w:rPr>
            </w:pPr>
            <w:r>
              <w:rPr>
                <w:rFonts w:ascii="Arial" w:cs="Arial" w:eastAsia="Arial" w:hAnsi="Arial"/>
                <w:sz w:val="16"/>
                <w:szCs w:val="16"/>
                <w:color w:val="auto"/>
              </w:rPr>
              <w:t>Senior Vice President, General Counsel and Secretary</w:t>
            </w: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Christopher J. Qualters</w:t>
            </w:r>
          </w:p>
        </w:tc>
        <w:tc>
          <w:tcPr>
            <w:tcW w:w="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Executive Vice President — Life Sciences</w:t>
            </w:r>
          </w:p>
        </w:tc>
      </w:tr>
      <w:tr>
        <w:trPr>
          <w:trHeight w:val="211"/>
        </w:trPr>
        <w:tc>
          <w:tcPr>
            <w:tcW w:w="2000" w:type="dxa"/>
            <w:vAlign w:val="bottom"/>
            <w:shd w:val="clear" w:color="auto" w:fill="D5DCE4"/>
          </w:tcPr>
          <w:p>
            <w:pPr>
              <w:spacing w:after="0"/>
              <w:rPr>
                <w:sz w:val="20"/>
                <w:szCs w:val="20"/>
                <w:color w:val="auto"/>
              </w:rPr>
            </w:pPr>
            <w:r>
              <w:rPr>
                <w:rFonts w:ascii="Arial" w:cs="Arial" w:eastAsia="Arial" w:hAnsi="Arial"/>
                <w:sz w:val="16"/>
                <w:szCs w:val="16"/>
                <w:color w:val="auto"/>
              </w:rPr>
              <w:t>John R. Buchan</w:t>
            </w:r>
          </w:p>
        </w:tc>
        <w:tc>
          <w:tcPr>
            <w:tcW w:w="260" w:type="dxa"/>
            <w:vAlign w:val="bottom"/>
            <w:shd w:val="clear" w:color="auto" w:fill="D5DCE4"/>
          </w:tcPr>
          <w:p>
            <w:pPr>
              <w:spacing w:after="0"/>
              <w:rPr>
                <w:sz w:val="18"/>
                <w:szCs w:val="18"/>
                <w:color w:val="auto"/>
              </w:rPr>
            </w:pPr>
          </w:p>
        </w:tc>
        <w:tc>
          <w:tcPr>
            <w:tcW w:w="5660" w:type="dxa"/>
            <w:vAlign w:val="bottom"/>
            <w:shd w:val="clear" w:color="auto" w:fill="D5DCE4"/>
          </w:tcPr>
          <w:p>
            <w:pPr>
              <w:spacing w:after="0"/>
              <w:rPr>
                <w:sz w:val="20"/>
                <w:szCs w:val="20"/>
                <w:color w:val="auto"/>
              </w:rPr>
            </w:pPr>
            <w:r>
              <w:rPr>
                <w:rFonts w:ascii="Arial" w:cs="Arial" w:eastAsia="Arial" w:hAnsi="Arial"/>
                <w:sz w:val="16"/>
                <w:szCs w:val="16"/>
                <w:color w:val="auto"/>
              </w:rPr>
              <w:t>Executive Vice President — Mobile Solutions and Power Solutions</w:t>
            </w:r>
          </w:p>
        </w:tc>
      </w:tr>
    </w:tbl>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The three remaining NEOs were no longer employed by us as of December 31,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20"/>
                <w:szCs w:val="20"/>
                <w:color w:val="auto"/>
              </w:rPr>
            </w:pPr>
          </w:p>
        </w:tc>
        <w:tc>
          <w:tcPr>
            <w:tcW w:w="5660" w:type="dxa"/>
            <w:vAlign w:val="bottom"/>
            <w:tcBorders>
              <w:bottom w:val="single" w:sz="8" w:color="auto"/>
            </w:tcBorders>
          </w:tcPr>
          <w:p>
            <w:pPr>
              <w:ind w:left="2680"/>
              <w:spacing w:after="0"/>
              <w:rPr>
                <w:sz w:val="20"/>
                <w:szCs w:val="20"/>
                <w:color w:val="auto"/>
              </w:rPr>
            </w:pPr>
            <w:r>
              <w:rPr>
                <w:rFonts w:ascii="Arial" w:cs="Arial" w:eastAsia="Arial" w:hAnsi="Arial"/>
                <w:sz w:val="16"/>
                <w:szCs w:val="16"/>
                <w:b w:val="1"/>
                <w:bCs w:val="1"/>
                <w:color w:val="auto"/>
              </w:rPr>
              <w:t>Title</w:t>
            </w:r>
          </w:p>
        </w:tc>
      </w:tr>
      <w:tr>
        <w:trPr>
          <w:trHeight w:val="182"/>
        </w:trPr>
        <w:tc>
          <w:tcPr>
            <w:tcW w:w="2000" w:type="dxa"/>
            <w:vAlign w:val="bottom"/>
          </w:tcPr>
          <w:p>
            <w:pPr>
              <w:spacing w:after="0" w:line="182" w:lineRule="exact"/>
              <w:rPr>
                <w:sz w:val="20"/>
                <w:szCs w:val="20"/>
                <w:color w:val="auto"/>
              </w:rPr>
            </w:pPr>
            <w:r>
              <w:rPr>
                <w:rFonts w:ascii="Arial" w:cs="Arial" w:eastAsia="Arial" w:hAnsi="Arial"/>
                <w:sz w:val="16"/>
                <w:szCs w:val="16"/>
                <w:color w:val="auto"/>
              </w:rPr>
              <w:t>Richard D. Holder</w:t>
            </w:r>
          </w:p>
        </w:tc>
        <w:tc>
          <w:tcPr>
            <w:tcW w:w="260" w:type="dxa"/>
            <w:vAlign w:val="bottom"/>
          </w:tcPr>
          <w:p>
            <w:pPr>
              <w:spacing w:after="0"/>
              <w:rPr>
                <w:sz w:val="15"/>
                <w:szCs w:val="15"/>
                <w:color w:val="auto"/>
              </w:rPr>
            </w:pPr>
          </w:p>
        </w:tc>
        <w:tc>
          <w:tcPr>
            <w:tcW w:w="5660" w:type="dxa"/>
            <w:vAlign w:val="bottom"/>
          </w:tcPr>
          <w:p>
            <w:pPr>
              <w:spacing w:after="0" w:line="182" w:lineRule="exact"/>
              <w:rPr>
                <w:sz w:val="20"/>
                <w:szCs w:val="20"/>
                <w:color w:val="auto"/>
              </w:rPr>
            </w:pPr>
            <w:r>
              <w:rPr>
                <w:rFonts w:ascii="Arial" w:cs="Arial" w:eastAsia="Arial" w:hAnsi="Arial"/>
                <w:sz w:val="16"/>
                <w:szCs w:val="16"/>
                <w:color w:val="auto"/>
              </w:rPr>
              <w:t>Former Director, President and Chief Executive Officer</w:t>
            </w:r>
          </w:p>
        </w:tc>
      </w:tr>
      <w:tr>
        <w:trPr>
          <w:trHeight w:val="210"/>
        </w:trPr>
        <w:tc>
          <w:tcPr>
            <w:tcW w:w="2000" w:type="dxa"/>
            <w:vAlign w:val="bottom"/>
            <w:shd w:val="clear" w:color="auto" w:fill="C6D9F1"/>
          </w:tcPr>
          <w:p>
            <w:pPr>
              <w:spacing w:after="0"/>
              <w:rPr>
                <w:sz w:val="20"/>
                <w:szCs w:val="20"/>
                <w:color w:val="auto"/>
              </w:rPr>
            </w:pPr>
            <w:r>
              <w:rPr>
                <w:rFonts w:ascii="Arial" w:cs="Arial" w:eastAsia="Arial" w:hAnsi="Arial"/>
                <w:sz w:val="16"/>
                <w:szCs w:val="16"/>
                <w:color w:val="auto"/>
              </w:rPr>
              <w:t>Thomas C. Burwell, Jr.</w:t>
            </w:r>
          </w:p>
        </w:tc>
        <w:tc>
          <w:tcPr>
            <w:tcW w:w="260" w:type="dxa"/>
            <w:vAlign w:val="bottom"/>
            <w:shd w:val="clear" w:color="auto" w:fill="C6D9F1"/>
          </w:tcPr>
          <w:p>
            <w:pPr>
              <w:spacing w:after="0"/>
              <w:rPr>
                <w:sz w:val="18"/>
                <w:szCs w:val="18"/>
                <w:color w:val="auto"/>
              </w:rPr>
            </w:pPr>
          </w:p>
        </w:tc>
        <w:tc>
          <w:tcPr>
            <w:tcW w:w="5660" w:type="dxa"/>
            <w:vAlign w:val="bottom"/>
            <w:shd w:val="clear" w:color="auto" w:fill="C6D9F1"/>
          </w:tcPr>
          <w:p>
            <w:pPr>
              <w:spacing w:after="0"/>
              <w:rPr>
                <w:sz w:val="20"/>
                <w:szCs w:val="20"/>
                <w:color w:val="auto"/>
              </w:rPr>
            </w:pPr>
            <w:r>
              <w:rPr>
                <w:rFonts w:ascii="Arial" w:cs="Arial" w:eastAsia="Arial" w:hAnsi="Arial"/>
                <w:sz w:val="16"/>
                <w:szCs w:val="16"/>
                <w:color w:val="auto"/>
              </w:rPr>
              <w:t>Former Senior Vice President and Chief Financial Officer</w:t>
            </w:r>
          </w:p>
        </w:tc>
      </w:tr>
      <w:tr>
        <w:trPr>
          <w:trHeight w:val="209"/>
        </w:trPr>
        <w:tc>
          <w:tcPr>
            <w:tcW w:w="2000" w:type="dxa"/>
            <w:vAlign w:val="bottom"/>
          </w:tcPr>
          <w:p>
            <w:pPr>
              <w:spacing w:after="0"/>
              <w:rPr>
                <w:sz w:val="20"/>
                <w:szCs w:val="20"/>
                <w:color w:val="auto"/>
              </w:rPr>
            </w:pPr>
            <w:r>
              <w:rPr>
                <w:rFonts w:ascii="Arial" w:cs="Arial" w:eastAsia="Arial" w:hAnsi="Arial"/>
                <w:sz w:val="16"/>
                <w:szCs w:val="16"/>
                <w:color w:val="auto"/>
              </w:rPr>
              <w:t>J. Robert Atkinson</w:t>
            </w:r>
          </w:p>
        </w:tc>
        <w:tc>
          <w:tcPr>
            <w:tcW w:w="2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6"/>
                <w:szCs w:val="16"/>
                <w:color w:val="auto"/>
              </w:rPr>
              <w:t>Former Executive Vice President — Life Sciences</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Policies and Practices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Compensation Philosophy</w:t>
      </w:r>
    </w:p>
    <w:p>
      <w:pPr>
        <w:spacing w:after="0" w:line="112" w:lineRule="exact"/>
        <w:rPr>
          <w:sz w:val="20"/>
          <w:szCs w:val="20"/>
          <w:color w:val="auto"/>
        </w:rPr>
      </w:pPr>
    </w:p>
    <w:p>
      <w:pPr>
        <w:ind w:firstLine="507"/>
        <w:spacing w:after="0" w:line="273" w:lineRule="auto"/>
        <w:rPr>
          <w:sz w:val="20"/>
          <w:szCs w:val="20"/>
          <w:color w:val="auto"/>
        </w:rPr>
      </w:pPr>
      <w:r>
        <w:rPr>
          <w:rFonts w:ascii="Arial" w:cs="Arial" w:eastAsia="Arial" w:hAnsi="Arial"/>
          <w:sz w:val="16"/>
          <w:szCs w:val="16"/>
          <w:color w:val="auto"/>
        </w:rPr>
        <w:t>Our executive compensation program is comprised of a mix of short-term and long-term performance 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63" w:lineRule="exact"/>
        <w:rPr>
          <w:sz w:val="20"/>
          <w:szCs w:val="20"/>
          <w:color w:val="auto"/>
        </w:rPr>
      </w:pPr>
    </w:p>
    <w:p>
      <w:pPr>
        <w:ind w:right="480" w:firstLine="507"/>
        <w:spacing w:after="0" w:line="289" w:lineRule="auto"/>
        <w:rPr>
          <w:sz w:val="20"/>
          <w:szCs w:val="20"/>
          <w:color w:val="auto"/>
        </w:rPr>
      </w:pPr>
      <w:r>
        <w:rPr>
          <w:rFonts w:ascii="Arial" w:cs="Arial" w:eastAsia="Arial" w:hAnsi="Arial"/>
          <w:sz w:val="16"/>
          <w:szCs w:val="16"/>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150" w:lineRule="exact"/>
        <w:rPr>
          <w:sz w:val="20"/>
          <w:szCs w:val="20"/>
          <w:color w:val="auto"/>
        </w:rPr>
      </w:pPr>
    </w:p>
    <w:p>
      <w:pPr>
        <w:ind w:left="1300" w:hanging="400"/>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attracting and retaining qualified and dedicated executives who are essential to our long-term success;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8" w:name="page29"/>
    <w:bookmarkEnd w:id="28"/>
    <w:p>
      <w:pPr>
        <w:ind w:left="1300" w:right="640" w:hanging="400"/>
        <w:spacing w:after="0" w:line="289"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providing compensation packages that are competitive with the compensation arrangements offered by comparable companies, including our competitors;</w:t>
      </w:r>
    </w:p>
    <w:p>
      <w:pPr>
        <w:spacing w:after="0" w:line="50" w:lineRule="exact"/>
        <w:rPr>
          <w:rFonts w:ascii="Arial" w:cs="Arial" w:eastAsia="Arial" w:hAnsi="Arial"/>
          <w:sz w:val="16"/>
          <w:szCs w:val="16"/>
          <w:color w:val="auto"/>
        </w:rPr>
      </w:pPr>
    </w:p>
    <w:p>
      <w:pPr>
        <w:ind w:left="1300" w:hanging="400"/>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tying a significant portion of an executive officer’s compensation to the Company’s and the individual’s performance; and</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aligning the interests of management with the interests of our stockholders through stock-based compensation arrangements.</w:t>
      </w:r>
    </w:p>
    <w:p>
      <w:pPr>
        <w:spacing w:after="0" w:line="211" w:lineRule="exact"/>
        <w:rPr>
          <w:sz w:val="20"/>
          <w:szCs w:val="20"/>
          <w:color w:val="auto"/>
        </w:rPr>
      </w:pPr>
    </w:p>
    <w:p>
      <w:pPr>
        <w:ind w:right="80" w:firstLine="508"/>
        <w:spacing w:after="0" w:line="268" w:lineRule="auto"/>
        <w:rPr>
          <w:sz w:val="20"/>
          <w:szCs w:val="20"/>
          <w:color w:val="auto"/>
        </w:rPr>
      </w:pPr>
      <w:r>
        <w:rPr>
          <w:rFonts w:ascii="Arial" w:cs="Arial" w:eastAsia="Arial" w:hAnsi="Arial"/>
          <w:sz w:val="16"/>
          <w:szCs w:val="16"/>
          <w:color w:val="auto"/>
        </w:rPr>
        <w:t>In 2019, our NEOs received a compensation package that consisted of an annual base salary, annual incentive award opportunities and long-term equity incentive award opportunities. The components of our compensation program align the interests of our NEOs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believe our executive compensation program incorporates market best practices, creates long-term stockholder value and increases management accountability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via:</w:t>
      </w:r>
    </w:p>
    <w:p>
      <w:pPr>
        <w:spacing w:after="0" w:line="200" w:lineRule="exact"/>
        <w:rPr>
          <w:sz w:val="20"/>
          <w:szCs w:val="20"/>
          <w:color w:val="auto"/>
        </w:rPr>
      </w:pPr>
    </w:p>
    <w:p>
      <w:pPr>
        <w:ind w:left="1300" w:right="60" w:hanging="400"/>
        <w:spacing w:after="0" w:line="289"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Performance stock units, or PSUs, that vest based on our total shareholder return (TSR) ranking relative to the S&amp;P SmallCap 600 Index over a three-year performance period and require a median TSR ranking for target payout;</w:t>
      </w:r>
    </w:p>
    <w:p>
      <w:pPr>
        <w:spacing w:after="0" w:line="50" w:lineRule="exact"/>
        <w:rPr>
          <w:rFonts w:ascii="Arial" w:cs="Arial" w:eastAsia="Arial" w:hAnsi="Arial"/>
          <w:sz w:val="16"/>
          <w:szCs w:val="16"/>
          <w:color w:val="auto"/>
        </w:rPr>
      </w:pPr>
    </w:p>
    <w:p>
      <w:pPr>
        <w:ind w:left="1300" w:hanging="400"/>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PSUs that vest based on our return on invested capital (ROIC) over a three-year performance period; and</w:t>
      </w:r>
    </w:p>
    <w:p>
      <w:pPr>
        <w:spacing w:after="0" w:line="112" w:lineRule="exact"/>
        <w:rPr>
          <w:rFonts w:ascii="Arial" w:cs="Arial" w:eastAsia="Arial" w:hAnsi="Arial"/>
          <w:sz w:val="16"/>
          <w:szCs w:val="16"/>
          <w:color w:val="auto"/>
        </w:rPr>
      </w:pPr>
    </w:p>
    <w:p>
      <w:pPr>
        <w:ind w:left="1300" w:right="100" w:hanging="400"/>
        <w:spacing w:after="0" w:line="325" w:lineRule="auto"/>
        <w:tabs>
          <w:tab w:leader="none" w:pos="13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Performance metrics intended to hold our executive officers accountable for the Company’s financial performance. In 2019, the short-term incentive performance metrics established by the Compensation Committee related to net sales, adjusted earnings per share and free cash flow generation.</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highlights practices that the Company utilizes in support of our pay-for-performance philosophy: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What We Do</w:t>
      </w:r>
    </w:p>
    <w:p>
      <w:pPr>
        <w:spacing w:after="0" w:line="211" w:lineRule="exact"/>
        <w:rPr>
          <w:sz w:val="20"/>
          <w:szCs w:val="20"/>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Align executive pay with Company performance;</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 performance metrics that correlate to stockholder value creation;</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Mitigate undue risk in compensation programs;</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 meaningful vesting periods on equity awards;</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 a performance gate that must be achieved as a condition to any payout of short-term incentive compensation;</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Set maximum payout limits on all variable, performance-based compensation programs;</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Utilize an independent compensation consultant;</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reasonable post-employment/change in control provisions in employment/separation agreements;</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 executive stock ownership guidelines; and</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 an incentive compensation recoupment (clawback) policy applicable to all equity awards granted under our compensation plans.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What We Don’t Do</w:t>
      </w:r>
    </w:p>
    <w:p>
      <w:pPr>
        <w:spacing w:after="0" w:line="211" w:lineRule="exact"/>
        <w:rPr>
          <w:sz w:val="20"/>
          <w:szCs w:val="20"/>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Reprice underwater stock options;</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Exchange underwater stock options for cash;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448" w:right="359" w:bottom="1440" w:gutter="0" w:footer="0" w:header="0"/>
        </w:sectPr>
      </w:pPr>
    </w:p>
    <w:bookmarkStart w:id="29" w:name="page30"/>
    <w:bookmarkEnd w:id="29"/>
    <w:p>
      <w:pPr>
        <w:ind w:left="1300" w:hanging="400"/>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Grant multi-year guaranteed bonuses; or</w:t>
      </w:r>
    </w:p>
    <w:p>
      <w:pPr>
        <w:spacing w:after="0" w:line="211" w:lineRule="exact"/>
        <w:rPr>
          <w:rFonts w:ascii="Arial" w:cs="Arial" w:eastAsia="Arial" w:hAnsi="Arial"/>
          <w:sz w:val="16"/>
          <w:szCs w:val="16"/>
          <w:color w:val="auto"/>
        </w:rPr>
      </w:pPr>
    </w:p>
    <w:p>
      <w:pPr>
        <w:ind w:left="1300" w:hanging="400"/>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Permit hedging, pledging or short-sale transactions by our executive officers and directors.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15" w:lineRule="exact"/>
        <w:rPr>
          <w:sz w:val="20"/>
          <w:szCs w:val="20"/>
          <w:color w:val="auto"/>
        </w:rPr>
      </w:pPr>
    </w:p>
    <w:p>
      <w:pPr>
        <w:ind w:right="40" w:firstLine="396"/>
        <w:spacing w:after="0" w:line="273" w:lineRule="auto"/>
        <w:rPr>
          <w:sz w:val="20"/>
          <w:szCs w:val="20"/>
          <w:color w:val="auto"/>
        </w:rPr>
      </w:pPr>
      <w:r>
        <w:rPr>
          <w:rFonts w:ascii="Arial" w:cs="Arial" w:eastAsia="Arial" w:hAnsi="Arial"/>
          <w:sz w:val="16"/>
          <w:szCs w:val="16"/>
          <w:color w:val="auto"/>
        </w:rPr>
        <w:t>The Compensation Committee consists of four independent non-employee directors and is supported by our human resources department. As discussed below, the Compensation Committee may also retain one or more independent compensation consultants to assist it. The Compensation Committee handles a variety of compensation and organizational matters relating to our executives, including the following:</w:t>
      </w:r>
    </w:p>
    <w:p>
      <w:pPr>
        <w:spacing w:after="0" w:line="163" w:lineRule="exact"/>
        <w:rPr>
          <w:sz w:val="20"/>
          <w:szCs w:val="20"/>
          <w:color w:val="auto"/>
        </w:rPr>
      </w:pPr>
    </w:p>
    <w:p>
      <w:pPr>
        <w:ind w:left="1300" w:hanging="400"/>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reviews, approves and administers all of our executive compensation programs;</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establishes the performance objectives under our executive incentive compensation and long-term equity compensation programs;</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determines the attainment of those performance objectives and the awards to be made under our compensation programs;</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evaluates the performance of our chief executive officer and our other NEOs;</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reviews succession planning for our executives, including the position of the chief executive officer; and</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reviews proposed organization or responsibility changes at the senior executive level.</w:t>
      </w:r>
    </w:p>
    <w:p>
      <w:pPr>
        <w:spacing w:after="0" w:line="211" w:lineRule="exact"/>
        <w:rPr>
          <w:sz w:val="20"/>
          <w:szCs w:val="20"/>
          <w:color w:val="auto"/>
        </w:rPr>
      </w:pPr>
    </w:p>
    <w:p>
      <w:pPr>
        <w:ind w:firstLine="508"/>
        <w:spacing w:after="0" w:line="287" w:lineRule="auto"/>
        <w:rPr>
          <w:sz w:val="20"/>
          <w:szCs w:val="20"/>
          <w:color w:val="auto"/>
        </w:rPr>
      </w:pPr>
      <w:r>
        <w:rPr>
          <w:rFonts w:ascii="Arial" w:cs="Arial" w:eastAsia="Arial" w:hAnsi="Arial"/>
          <w:sz w:val="15"/>
          <w:szCs w:val="15"/>
          <w:color w:val="auto"/>
        </w:rPr>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has engaged Willis Towers Watson as its independent consultant since 2015. We conducted a conflict of interest assessment prior to the Compensation Committee engaging Willis Towers Watson (and on an annual basis thereafter), which verified, in the Compensation Committee’s judgment, Willis Towers Watson’s independence and that no conflicts of interest existed.</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fiscal 2019, Willis Towers Watson provided services to us in the areas of executive compensation, benefits and corporate risk and broking consulting services.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2019, we paid Willis Towers Watson the following amounts for such services:</w:t>
      </w:r>
    </w:p>
    <w:p>
      <w:pPr>
        <w:spacing w:after="0" w:line="200" w:lineRule="exact"/>
        <w:rPr>
          <w:sz w:val="20"/>
          <w:szCs w:val="20"/>
          <w:color w:val="auto"/>
        </w:rPr>
      </w:pPr>
    </w:p>
    <w:p>
      <w:pPr>
        <w:ind w:right="200" w:firstLine="508"/>
        <w:spacing w:after="0" w:line="289" w:lineRule="auto"/>
        <w:rPr>
          <w:sz w:val="20"/>
          <w:szCs w:val="20"/>
          <w:color w:val="auto"/>
        </w:rPr>
      </w:pPr>
      <w:r>
        <w:rPr>
          <w:rFonts w:ascii="Arial" w:cs="Arial" w:eastAsia="Arial" w:hAnsi="Arial"/>
          <w:sz w:val="16"/>
          <w:szCs w:val="16"/>
          <w:color w:val="auto"/>
        </w:rPr>
        <w:t>Executive Compensation Consulting Fees. Fees for executive compensation consulting services totaled approximately $60,000, including fees associated with services provided to management and the Compensation Committee.</w:t>
      </w:r>
    </w:p>
    <w:p>
      <w:pPr>
        <w:spacing w:after="0" w:line="150" w:lineRule="exact"/>
        <w:rPr>
          <w:sz w:val="20"/>
          <w:szCs w:val="20"/>
          <w:color w:val="auto"/>
        </w:rPr>
      </w:pPr>
    </w:p>
    <w:p>
      <w:pPr>
        <w:ind w:right="40" w:firstLine="508"/>
        <w:spacing w:after="0" w:line="289" w:lineRule="auto"/>
        <w:rPr>
          <w:sz w:val="20"/>
          <w:szCs w:val="20"/>
          <w:color w:val="auto"/>
        </w:rPr>
      </w:pPr>
      <w:r>
        <w:rPr>
          <w:rFonts w:ascii="Arial" w:cs="Arial" w:eastAsia="Arial" w:hAnsi="Arial"/>
          <w:sz w:val="16"/>
          <w:szCs w:val="16"/>
          <w:color w:val="auto"/>
        </w:rPr>
        <w:t>Other Consulting Fees. Fees for other consulting services totaled approximately $900,000 related to the NN, Inc. Health and Welfare Benefit Plan and Voluntary benefit offerings and Global Property, Casualty and Management Liability Insurance programs.</w:t>
      </w:r>
    </w:p>
    <w:p>
      <w:pPr>
        <w:spacing w:after="0" w:line="150" w:lineRule="exact"/>
        <w:rPr>
          <w:sz w:val="20"/>
          <w:szCs w:val="20"/>
          <w:color w:val="auto"/>
        </w:rPr>
      </w:pPr>
    </w:p>
    <w:p>
      <w:pPr>
        <w:ind w:right="60" w:firstLine="508"/>
        <w:spacing w:after="0" w:line="268" w:lineRule="auto"/>
        <w:rPr>
          <w:sz w:val="20"/>
          <w:szCs w:val="20"/>
          <w:color w:val="auto"/>
        </w:rPr>
      </w:pPr>
      <w:r>
        <w:rPr>
          <w:rFonts w:ascii="Arial" w:cs="Arial" w:eastAsia="Arial" w:hAnsi="Arial"/>
          <w:sz w:val="16"/>
          <w:szCs w:val="16"/>
          <w:color w:val="auto"/>
        </w:rPr>
        <w:t>The Compensation Committee engaged Willis Towers Watson to perform a competitive review of the Company’s executive pay programs in comparison to competitive market practices. Willis Towers Watson also advised on selecting a peer group of companies for executive compensation benchmarking, provided comparative data for the annual executive compensation review and assisted with other compensation matters as requested. Representatives from Willis Towers Watson also attend Compensation Committee meetings on request.</w:t>
      </w:r>
    </w:p>
    <w:p>
      <w:pPr>
        <w:spacing w:after="0" w:line="166" w:lineRule="exact"/>
        <w:rPr>
          <w:sz w:val="20"/>
          <w:szCs w:val="20"/>
          <w:color w:val="auto"/>
        </w:rPr>
      </w:pPr>
    </w:p>
    <w:p>
      <w:pPr>
        <w:ind w:right="40" w:firstLine="508"/>
        <w:spacing w:after="0" w:line="268" w:lineRule="auto"/>
        <w:rPr>
          <w:sz w:val="20"/>
          <w:szCs w:val="20"/>
          <w:color w:val="auto"/>
        </w:rPr>
      </w:pPr>
      <w:r>
        <w:rPr>
          <w:rFonts w:ascii="Arial" w:cs="Arial" w:eastAsia="Arial" w:hAnsi="Arial"/>
          <w:sz w:val="16"/>
          <w:szCs w:val="16"/>
          <w:color w:val="auto"/>
        </w:rPr>
        <w:t>The Company’s Human Resources Department also provides compensation data, research and analysis that the Compensation Committee may request, and our Chief Human Resources Officer, along with our CEO and our General Counsel, regularly attend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66" w:lineRule="exact"/>
        <w:rPr>
          <w:sz w:val="20"/>
          <w:szCs w:val="20"/>
          <w:color w:val="auto"/>
        </w:rPr>
      </w:pPr>
    </w:p>
    <w:p>
      <w:pPr>
        <w:ind w:right="60" w:firstLine="508"/>
        <w:spacing w:after="0" w:line="289" w:lineRule="auto"/>
        <w:rPr>
          <w:sz w:val="20"/>
          <w:szCs w:val="20"/>
          <w:color w:val="auto"/>
        </w:rPr>
      </w:pPr>
      <w:r>
        <w:rPr>
          <w:rFonts w:ascii="Arial" w:cs="Arial" w:eastAsia="Arial" w:hAnsi="Arial"/>
          <w:sz w:val="16"/>
          <w:szCs w:val="16"/>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20"/>
          </w:cols>
          <w:pgMar w:left="320" w:top="547" w:right="4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Peer Group Compensation Analysis</w:t>
      </w:r>
    </w:p>
    <w:p>
      <w:pPr>
        <w:spacing w:after="0" w:line="215" w:lineRule="exact"/>
        <w:rPr>
          <w:sz w:val="20"/>
          <w:szCs w:val="20"/>
          <w:color w:val="auto"/>
        </w:rPr>
      </w:pPr>
    </w:p>
    <w:p>
      <w:pPr>
        <w:ind w:firstLine="508"/>
        <w:spacing w:after="0" w:line="268" w:lineRule="auto"/>
        <w:rPr>
          <w:sz w:val="20"/>
          <w:szCs w:val="20"/>
          <w:color w:val="auto"/>
        </w:rPr>
      </w:pPr>
      <w:r>
        <w:rPr>
          <w:rFonts w:ascii="Arial" w:cs="Arial" w:eastAsia="Arial" w:hAnsi="Arial"/>
          <w:sz w:val="16"/>
          <w:szCs w:val="16"/>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has worked with Willis Towers Watson to develop a peer group for purposes of assessing competitive compensation practices, and periodically reviews compensation data for the peer group derived from publicly filed proxy statements.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peer group consists of the companies set forth below:</w:t>
      </w:r>
    </w:p>
    <w:p>
      <w:pPr>
        <w:spacing w:after="0" w:line="211" w:lineRule="exact"/>
        <w:rPr>
          <w:sz w:val="20"/>
          <w:szCs w:val="20"/>
          <w:color w:val="auto"/>
        </w:rPr>
      </w:pPr>
    </w:p>
    <w:tbl>
      <w:tblPr>
        <w:tblLayout w:type="fixed"/>
        <w:tblInd w:w="1780" w:type="dxa"/>
        <w:tblCellMar>
          <w:top w:w="0" w:type="dxa"/>
          <w:left w:w="0" w:type="dxa"/>
          <w:bottom w:w="0" w:type="dxa"/>
          <w:right w:w="0" w:type="dxa"/>
        </w:tblCellMar>
      </w:tblPr>
      <w:tr>
        <w:trPr>
          <w:trHeight w:val="209"/>
        </w:trPr>
        <w:tc>
          <w:tcPr>
            <w:tcW w:w="2420" w:type="dxa"/>
            <w:vAlign w:val="bottom"/>
          </w:tcPr>
          <w:p>
            <w:pPr>
              <w:spacing w:after="0"/>
              <w:rPr>
                <w:sz w:val="20"/>
                <w:szCs w:val="20"/>
                <w:color w:val="auto"/>
              </w:rPr>
            </w:pPr>
            <w:r>
              <w:rPr>
                <w:rFonts w:ascii="Arial" w:cs="Arial" w:eastAsia="Arial" w:hAnsi="Arial"/>
                <w:sz w:val="16"/>
                <w:szCs w:val="16"/>
                <w:color w:val="auto"/>
              </w:rPr>
              <w:t>Enerpac Tool Group Corporation</w:t>
            </w:r>
          </w:p>
        </w:tc>
        <w:tc>
          <w:tcPr>
            <w:tcW w:w="2960" w:type="dxa"/>
            <w:vAlign w:val="bottom"/>
          </w:tcPr>
          <w:p>
            <w:pPr>
              <w:ind w:left="240"/>
              <w:spacing w:after="0"/>
              <w:rPr>
                <w:sz w:val="20"/>
                <w:szCs w:val="20"/>
                <w:color w:val="auto"/>
              </w:rPr>
            </w:pPr>
            <w:r>
              <w:rPr>
                <w:rFonts w:ascii="Arial" w:cs="Arial" w:eastAsia="Arial" w:hAnsi="Arial"/>
                <w:sz w:val="16"/>
                <w:szCs w:val="16"/>
                <w:color w:val="auto"/>
              </w:rPr>
              <w:t>Crane Co.</w:t>
            </w:r>
          </w:p>
        </w:tc>
        <w:tc>
          <w:tcPr>
            <w:tcW w:w="1580" w:type="dxa"/>
            <w:vAlign w:val="bottom"/>
          </w:tcPr>
          <w:p>
            <w:pPr>
              <w:ind w:left="260"/>
              <w:spacing w:after="0"/>
              <w:rPr>
                <w:sz w:val="20"/>
                <w:szCs w:val="20"/>
                <w:color w:val="auto"/>
              </w:rPr>
            </w:pPr>
            <w:r>
              <w:rPr>
                <w:rFonts w:ascii="Arial" w:cs="Arial" w:eastAsia="Arial" w:hAnsi="Arial"/>
                <w:sz w:val="16"/>
                <w:szCs w:val="16"/>
                <w:color w:val="auto"/>
                <w:w w:val="93"/>
              </w:rPr>
              <w:t>Kaman Corporation</w:t>
            </w:r>
          </w:p>
        </w:tc>
      </w:tr>
      <w:tr>
        <w:trPr>
          <w:trHeight w:val="408"/>
        </w:trPr>
        <w:tc>
          <w:tcPr>
            <w:tcW w:w="2420" w:type="dxa"/>
            <w:vAlign w:val="bottom"/>
          </w:tcPr>
          <w:p>
            <w:pPr>
              <w:spacing w:after="0"/>
              <w:rPr>
                <w:sz w:val="20"/>
                <w:szCs w:val="20"/>
                <w:color w:val="auto"/>
              </w:rPr>
            </w:pPr>
            <w:r>
              <w:rPr>
                <w:rFonts w:ascii="Arial" w:cs="Arial" w:eastAsia="Arial" w:hAnsi="Arial"/>
                <w:sz w:val="16"/>
                <w:szCs w:val="16"/>
                <w:color w:val="auto"/>
              </w:rPr>
              <w:t>Albany International Corp.</w:t>
            </w:r>
          </w:p>
        </w:tc>
        <w:tc>
          <w:tcPr>
            <w:tcW w:w="2960" w:type="dxa"/>
            <w:vAlign w:val="bottom"/>
          </w:tcPr>
          <w:p>
            <w:pPr>
              <w:ind w:left="240"/>
              <w:spacing w:after="0"/>
              <w:rPr>
                <w:sz w:val="20"/>
                <w:szCs w:val="20"/>
                <w:color w:val="auto"/>
              </w:rPr>
            </w:pPr>
            <w:r>
              <w:rPr>
                <w:rFonts w:ascii="Arial" w:cs="Arial" w:eastAsia="Arial" w:hAnsi="Arial"/>
                <w:sz w:val="16"/>
                <w:szCs w:val="16"/>
                <w:color w:val="auto"/>
              </w:rPr>
              <w:t>EnPro Industries, Inc.</w:t>
            </w:r>
          </w:p>
        </w:tc>
        <w:tc>
          <w:tcPr>
            <w:tcW w:w="1580" w:type="dxa"/>
            <w:vAlign w:val="bottom"/>
          </w:tcPr>
          <w:p>
            <w:pPr>
              <w:ind w:left="260"/>
              <w:spacing w:after="0"/>
              <w:rPr>
                <w:sz w:val="20"/>
                <w:szCs w:val="20"/>
                <w:color w:val="auto"/>
              </w:rPr>
            </w:pPr>
            <w:r>
              <w:rPr>
                <w:rFonts w:ascii="Arial" w:cs="Arial" w:eastAsia="Arial" w:hAnsi="Arial"/>
                <w:sz w:val="16"/>
                <w:szCs w:val="16"/>
                <w:color w:val="auto"/>
              </w:rPr>
              <w:t>Lydall, Inc.</w:t>
            </w:r>
          </w:p>
        </w:tc>
      </w:tr>
      <w:tr>
        <w:trPr>
          <w:trHeight w:val="408"/>
        </w:trPr>
        <w:tc>
          <w:tcPr>
            <w:tcW w:w="2420" w:type="dxa"/>
            <w:vAlign w:val="bottom"/>
          </w:tcPr>
          <w:p>
            <w:pPr>
              <w:spacing w:after="0"/>
              <w:rPr>
                <w:sz w:val="20"/>
                <w:szCs w:val="20"/>
                <w:color w:val="auto"/>
              </w:rPr>
            </w:pPr>
            <w:r>
              <w:rPr>
                <w:rFonts w:ascii="Arial" w:cs="Arial" w:eastAsia="Arial" w:hAnsi="Arial"/>
                <w:sz w:val="16"/>
                <w:szCs w:val="16"/>
                <w:color w:val="auto"/>
              </w:rPr>
              <w:t>Altra Industrial Motion Corp.</w:t>
            </w:r>
          </w:p>
        </w:tc>
        <w:tc>
          <w:tcPr>
            <w:tcW w:w="2960" w:type="dxa"/>
            <w:vAlign w:val="bottom"/>
          </w:tcPr>
          <w:p>
            <w:pPr>
              <w:ind w:left="240"/>
              <w:spacing w:after="0"/>
              <w:rPr>
                <w:sz w:val="20"/>
                <w:szCs w:val="20"/>
                <w:color w:val="auto"/>
              </w:rPr>
            </w:pPr>
            <w:r>
              <w:rPr>
                <w:rFonts w:ascii="Arial" w:cs="Arial" w:eastAsia="Arial" w:hAnsi="Arial"/>
                <w:sz w:val="16"/>
                <w:szCs w:val="16"/>
                <w:color w:val="auto"/>
              </w:rPr>
              <w:t>ESCO Technologies, Inc.</w:t>
            </w:r>
          </w:p>
        </w:tc>
        <w:tc>
          <w:tcPr>
            <w:tcW w:w="1580" w:type="dxa"/>
            <w:vAlign w:val="bottom"/>
          </w:tcPr>
          <w:p>
            <w:pPr>
              <w:ind w:left="260"/>
              <w:spacing w:after="0"/>
              <w:rPr>
                <w:sz w:val="20"/>
                <w:szCs w:val="20"/>
                <w:color w:val="auto"/>
              </w:rPr>
            </w:pPr>
            <w:r>
              <w:rPr>
                <w:rFonts w:ascii="Arial" w:cs="Arial" w:eastAsia="Arial" w:hAnsi="Arial"/>
                <w:sz w:val="16"/>
                <w:szCs w:val="16"/>
                <w:color w:val="auto"/>
                <w:w w:val="98"/>
              </w:rPr>
              <w:t>RBC Bearings Inc.</w:t>
            </w:r>
          </w:p>
        </w:tc>
      </w:tr>
      <w:tr>
        <w:trPr>
          <w:trHeight w:val="408"/>
        </w:trPr>
        <w:tc>
          <w:tcPr>
            <w:tcW w:w="2420" w:type="dxa"/>
            <w:vAlign w:val="bottom"/>
          </w:tcPr>
          <w:p>
            <w:pPr>
              <w:spacing w:after="0"/>
              <w:rPr>
                <w:sz w:val="20"/>
                <w:szCs w:val="20"/>
                <w:color w:val="auto"/>
              </w:rPr>
            </w:pPr>
            <w:r>
              <w:rPr>
                <w:rFonts w:ascii="Arial" w:cs="Arial" w:eastAsia="Arial" w:hAnsi="Arial"/>
                <w:sz w:val="16"/>
                <w:szCs w:val="16"/>
                <w:color w:val="auto"/>
              </w:rPr>
              <w:t>Barnes Group, Inc.</w:t>
            </w:r>
          </w:p>
        </w:tc>
        <w:tc>
          <w:tcPr>
            <w:tcW w:w="2960" w:type="dxa"/>
            <w:vAlign w:val="bottom"/>
          </w:tcPr>
          <w:p>
            <w:pPr>
              <w:ind w:left="240"/>
              <w:spacing w:after="0"/>
              <w:rPr>
                <w:sz w:val="20"/>
                <w:szCs w:val="20"/>
                <w:color w:val="auto"/>
              </w:rPr>
            </w:pPr>
            <w:r>
              <w:rPr>
                <w:rFonts w:ascii="Arial" w:cs="Arial" w:eastAsia="Arial" w:hAnsi="Arial"/>
                <w:sz w:val="16"/>
                <w:szCs w:val="16"/>
                <w:color w:val="auto"/>
              </w:rPr>
              <w:t>HEICO Corporation</w:t>
            </w:r>
          </w:p>
        </w:tc>
        <w:tc>
          <w:tcPr>
            <w:tcW w:w="1580" w:type="dxa"/>
            <w:vAlign w:val="bottom"/>
          </w:tcPr>
          <w:p>
            <w:pPr>
              <w:ind w:left="260"/>
              <w:spacing w:after="0"/>
              <w:rPr>
                <w:sz w:val="20"/>
                <w:szCs w:val="20"/>
                <w:color w:val="auto"/>
              </w:rPr>
            </w:pPr>
            <w:r>
              <w:rPr>
                <w:rFonts w:ascii="Arial" w:cs="Arial" w:eastAsia="Arial" w:hAnsi="Arial"/>
                <w:sz w:val="16"/>
                <w:szCs w:val="16"/>
                <w:color w:val="auto"/>
              </w:rPr>
              <w:t>SPX Corporation</w:t>
            </w:r>
          </w:p>
        </w:tc>
      </w:tr>
      <w:tr>
        <w:trPr>
          <w:trHeight w:val="408"/>
        </w:trPr>
        <w:tc>
          <w:tcPr>
            <w:tcW w:w="2420" w:type="dxa"/>
            <w:vAlign w:val="bottom"/>
          </w:tcPr>
          <w:p>
            <w:pPr>
              <w:spacing w:after="0"/>
              <w:rPr>
                <w:sz w:val="20"/>
                <w:szCs w:val="20"/>
                <w:color w:val="auto"/>
              </w:rPr>
            </w:pPr>
            <w:r>
              <w:rPr>
                <w:rFonts w:ascii="Arial" w:cs="Arial" w:eastAsia="Arial" w:hAnsi="Arial"/>
                <w:sz w:val="16"/>
                <w:szCs w:val="16"/>
                <w:color w:val="auto"/>
              </w:rPr>
              <w:t>CIRCOR International, Inc.</w:t>
            </w:r>
          </w:p>
        </w:tc>
        <w:tc>
          <w:tcPr>
            <w:tcW w:w="2960" w:type="dxa"/>
            <w:vAlign w:val="bottom"/>
          </w:tcPr>
          <w:p>
            <w:pPr>
              <w:ind w:left="240"/>
              <w:spacing w:after="0"/>
              <w:rPr>
                <w:sz w:val="20"/>
                <w:szCs w:val="20"/>
                <w:color w:val="auto"/>
              </w:rPr>
            </w:pPr>
            <w:r>
              <w:rPr>
                <w:rFonts w:ascii="Arial" w:cs="Arial" w:eastAsia="Arial" w:hAnsi="Arial"/>
                <w:sz w:val="16"/>
                <w:szCs w:val="16"/>
                <w:color w:val="auto"/>
              </w:rPr>
              <w:t>John Bean Technologies Corporation</w:t>
            </w:r>
          </w:p>
        </w:tc>
        <w:tc>
          <w:tcPr>
            <w:tcW w:w="1580" w:type="dxa"/>
            <w:vAlign w:val="bottom"/>
          </w:tcPr>
          <w:p>
            <w:pPr>
              <w:ind w:left="260"/>
              <w:spacing w:after="0"/>
              <w:rPr>
                <w:sz w:val="20"/>
                <w:szCs w:val="20"/>
                <w:color w:val="auto"/>
              </w:rPr>
            </w:pPr>
            <w:r>
              <w:rPr>
                <w:rFonts w:ascii="Arial" w:cs="Arial" w:eastAsia="Arial" w:hAnsi="Arial"/>
                <w:sz w:val="16"/>
                <w:szCs w:val="16"/>
                <w:color w:val="auto"/>
                <w:w w:val="94"/>
              </w:rPr>
              <w:t>TriMas Corporation</w:t>
            </w:r>
          </w:p>
        </w:tc>
      </w:tr>
    </w:tbl>
    <w:p>
      <w:pPr>
        <w:spacing w:after="0" w:line="396" w:lineRule="exact"/>
        <w:rPr>
          <w:sz w:val="20"/>
          <w:szCs w:val="20"/>
          <w:color w:val="auto"/>
        </w:rPr>
      </w:pPr>
    </w:p>
    <w:p>
      <w:pPr>
        <w:ind w:right="20" w:firstLine="792"/>
        <w:spacing w:after="0" w:line="289" w:lineRule="auto"/>
        <w:rPr>
          <w:sz w:val="20"/>
          <w:szCs w:val="20"/>
          <w:color w:val="auto"/>
        </w:rPr>
      </w:pPr>
      <w:r>
        <w:rPr>
          <w:rFonts w:ascii="Arial" w:cs="Arial" w:eastAsia="Arial" w:hAnsi="Arial"/>
          <w:sz w:val="16"/>
          <w:szCs w:val="16"/>
          <w:color w:val="auto"/>
        </w:rPr>
        <w:t>The Compensation Committee selected companies for inclusion in this peer group based on (i) the extent to which they compete with us in one or more lines of business, for executive talent and for investors, and (ii) selected financial measures such as comparability of revenues.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Pay and Why: Elements of Compensation</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three elements of total direct compensation: base salary, annual incentive compensation and long-term equity incentive compensation.</w:t>
      </w:r>
    </w:p>
    <w:p>
      <w:pPr>
        <w:spacing w:after="0" w:line="211" w:lineRule="exact"/>
        <w:rPr>
          <w:sz w:val="20"/>
          <w:szCs w:val="20"/>
          <w:color w:val="auto"/>
        </w:rPr>
      </w:pPr>
    </w:p>
    <w:p>
      <w:pPr>
        <w:ind w:firstLine="508"/>
        <w:spacing w:after="0" w:line="300" w:lineRule="auto"/>
        <w:rPr>
          <w:sz w:val="20"/>
          <w:szCs w:val="20"/>
          <w:color w:val="auto"/>
        </w:rPr>
      </w:pPr>
      <w:r>
        <w:rPr>
          <w:rFonts w:ascii="Arial" w:cs="Arial" w:eastAsia="Arial" w:hAnsi="Arial"/>
          <w:sz w:val="15"/>
          <w:szCs w:val="15"/>
          <w:b w:val="1"/>
          <w:bCs w:val="1"/>
          <w:i w:val="1"/>
          <w:iCs w:val="1"/>
          <w:color w:val="auto"/>
        </w:rPr>
        <w:t>Base Salary</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pay base salaries to attract talented executives and to provide a fixed base of cash compensation. The salary levels for our executive officers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indicates the base salaries for 2018 and 2019, and the percentage increase from the prior year for our NEOs: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0" w:type="dxa"/>
            <w:vAlign w:val="bottom"/>
            <w:vMerge w:val="restart"/>
          </w:tcPr>
          <w:p>
            <w:pPr>
              <w:spacing w:after="0"/>
              <w:rPr>
                <w:sz w:val="20"/>
                <w:szCs w:val="20"/>
                <w:color w:val="auto"/>
              </w:rPr>
            </w:pPr>
            <w:r>
              <w:rPr>
                <w:rFonts w:ascii="Arial" w:cs="Arial" w:eastAsia="Arial" w:hAnsi="Arial"/>
                <w:sz w:val="16"/>
                <w:szCs w:val="16"/>
                <w:b w:val="1"/>
                <w:bCs w:val="1"/>
                <w:color w:val="auto"/>
              </w:rPr>
              <w:t>Name</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89"/>
              </w:rPr>
              <w:t>2018 Base</w:t>
            </w:r>
          </w:p>
        </w:tc>
        <w:tc>
          <w:tcPr>
            <w:tcW w:w="14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2019 Base</w:t>
            </w:r>
          </w:p>
        </w:tc>
        <w:tc>
          <w:tcPr>
            <w:tcW w:w="142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91"/>
              </w:rPr>
              <w:t>Salary</w:t>
            </w:r>
          </w:p>
        </w:tc>
        <w:tc>
          <w:tcPr>
            <w:tcW w:w="1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Salary</w:t>
            </w:r>
          </w:p>
        </w:tc>
        <w:tc>
          <w:tcPr>
            <w:tcW w:w="14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6D9F1"/>
          </w:tcPr>
          <w:p>
            <w:pPr>
              <w:spacing w:after="0"/>
              <w:rPr>
                <w:sz w:val="20"/>
                <w:szCs w:val="20"/>
                <w:color w:val="auto"/>
              </w:rPr>
            </w:pPr>
            <w:r>
              <w:rPr>
                <w:rFonts w:ascii="Arial" w:cs="Arial" w:eastAsia="Arial" w:hAnsi="Arial"/>
                <w:sz w:val="16"/>
                <w:szCs w:val="16"/>
                <w:color w:val="auto"/>
              </w:rPr>
              <w:t>Mr. Veltman</w:t>
            </w:r>
            <w:r>
              <w:rPr>
                <w:rFonts w:ascii="Arial" w:cs="Arial" w:eastAsia="Arial" w:hAnsi="Arial"/>
                <w:sz w:val="13"/>
                <w:szCs w:val="13"/>
                <w:color w:val="auto"/>
              </w:rPr>
              <w:t>(1)</w:t>
            </w:r>
          </w:p>
        </w:tc>
        <w:tc>
          <w:tcPr>
            <w:tcW w:w="380" w:type="dxa"/>
            <w:vAlign w:val="bottom"/>
            <w:vMerge w:val="restart"/>
            <w:shd w:val="clear" w:color="auto" w:fill="C6D9F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6D9F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6D9F1"/>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6D9F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00" w:type="dxa"/>
            <w:vAlign w:val="bottom"/>
            <w:vMerge w:val="continue"/>
            <w:shd w:val="clear" w:color="auto" w:fill="C6D9F1"/>
          </w:tcPr>
          <w:p>
            <w:pPr>
              <w:spacing w:after="0"/>
              <w:rPr>
                <w:sz w:val="15"/>
                <w:szCs w:val="15"/>
                <w:color w:val="auto"/>
              </w:rPr>
            </w:pPr>
          </w:p>
        </w:tc>
        <w:tc>
          <w:tcPr>
            <w:tcW w:w="380" w:type="dxa"/>
            <w:vAlign w:val="bottom"/>
            <w:vMerge w:val="continue"/>
            <w:shd w:val="clear" w:color="auto" w:fill="C6D9F1"/>
          </w:tcPr>
          <w:p>
            <w:pPr>
              <w:spacing w:after="0"/>
              <w:rPr>
                <w:sz w:val="15"/>
                <w:szCs w:val="15"/>
                <w:color w:val="auto"/>
              </w:rPr>
            </w:pPr>
          </w:p>
        </w:tc>
        <w:tc>
          <w:tcPr>
            <w:tcW w:w="160" w:type="dxa"/>
            <w:vAlign w:val="bottom"/>
            <w:shd w:val="clear" w:color="auto" w:fill="C6D9F1"/>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6D9F1"/>
          </w:tcPr>
          <w:p>
            <w:pPr>
              <w:jc w:val="right"/>
              <w:spacing w:after="0" w:line="182" w:lineRule="exact"/>
              <w:rPr>
                <w:sz w:val="20"/>
                <w:szCs w:val="20"/>
                <w:color w:val="auto"/>
              </w:rPr>
            </w:pPr>
            <w:r>
              <w:rPr>
                <w:rFonts w:ascii="Arial" w:cs="Arial" w:eastAsia="Arial" w:hAnsi="Arial"/>
                <w:sz w:val="16"/>
                <w:szCs w:val="16"/>
                <w:color w:val="auto"/>
              </w:rPr>
              <w:t>359,530</w:t>
            </w:r>
          </w:p>
        </w:tc>
        <w:tc>
          <w:tcPr>
            <w:tcW w:w="420" w:type="dxa"/>
            <w:vAlign w:val="bottom"/>
            <w:vMerge w:val="continue"/>
            <w:shd w:val="clear" w:color="auto" w:fill="C6D9F1"/>
          </w:tcPr>
          <w:p>
            <w:pPr>
              <w:spacing w:after="0"/>
              <w:rPr>
                <w:sz w:val="15"/>
                <w:szCs w:val="15"/>
                <w:color w:val="auto"/>
              </w:rPr>
            </w:pPr>
          </w:p>
        </w:tc>
        <w:tc>
          <w:tcPr>
            <w:tcW w:w="14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6D9F1"/>
          </w:tcPr>
          <w:p>
            <w:pPr>
              <w:jc w:val="right"/>
              <w:spacing w:after="0" w:line="182" w:lineRule="exact"/>
              <w:rPr>
                <w:sz w:val="20"/>
                <w:szCs w:val="20"/>
                <w:color w:val="auto"/>
              </w:rPr>
            </w:pPr>
            <w:r>
              <w:rPr>
                <w:rFonts w:ascii="Arial" w:cs="Arial" w:eastAsia="Arial" w:hAnsi="Arial"/>
                <w:sz w:val="16"/>
                <w:szCs w:val="16"/>
                <w:color w:val="auto"/>
              </w:rPr>
              <w:t>600,000</w:t>
            </w:r>
          </w:p>
        </w:tc>
        <w:tc>
          <w:tcPr>
            <w:tcW w:w="300" w:type="dxa"/>
            <w:vAlign w:val="bottom"/>
            <w:vMerge w:val="continue"/>
            <w:shd w:val="clear" w:color="auto" w:fill="C6D9F1"/>
          </w:tcPr>
          <w:p>
            <w:pPr>
              <w:spacing w:after="0"/>
              <w:rPr>
                <w:sz w:val="15"/>
                <w:szCs w:val="15"/>
                <w:color w:val="auto"/>
              </w:rPr>
            </w:pPr>
          </w:p>
        </w:tc>
        <w:tc>
          <w:tcPr>
            <w:tcW w:w="1420" w:type="dxa"/>
            <w:vAlign w:val="bottom"/>
            <w:gridSpan w:val="2"/>
            <w:shd w:val="clear" w:color="auto" w:fill="C6D9F1"/>
          </w:tcPr>
          <w:p>
            <w:pPr>
              <w:jc w:val="right"/>
              <w:ind w:right="100"/>
              <w:spacing w:after="0" w:line="182" w:lineRule="exact"/>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Mr. Holder</w:t>
            </w:r>
            <w:r>
              <w:rPr>
                <w:rFonts w:ascii="Arial" w:cs="Arial" w:eastAsia="Arial" w:hAnsi="Arial"/>
                <w:sz w:val="13"/>
                <w:szCs w:val="13"/>
                <w:color w:val="auto"/>
              </w:rPr>
              <w:t>(2)</w:t>
            </w:r>
          </w:p>
        </w:tc>
        <w:tc>
          <w:tcPr>
            <w:tcW w:w="5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972,000</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972,000</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1"/>
        </w:trPr>
        <w:tc>
          <w:tcPr>
            <w:tcW w:w="5200" w:type="dxa"/>
            <w:vAlign w:val="bottom"/>
            <w:shd w:val="clear" w:color="auto" w:fill="C6D9F1"/>
          </w:tcPr>
          <w:p>
            <w:pPr>
              <w:spacing w:after="0"/>
              <w:rPr>
                <w:sz w:val="20"/>
                <w:szCs w:val="20"/>
                <w:color w:val="auto"/>
              </w:rPr>
            </w:pPr>
            <w:r>
              <w:rPr>
                <w:rFonts w:ascii="Arial" w:cs="Arial" w:eastAsia="Arial" w:hAnsi="Arial"/>
                <w:sz w:val="16"/>
                <w:szCs w:val="16"/>
                <w:color w:val="auto"/>
              </w:rPr>
              <w:t>Mr. DeByle</w:t>
            </w:r>
            <w:r>
              <w:rPr>
                <w:rFonts w:ascii="Arial" w:cs="Arial" w:eastAsia="Arial" w:hAnsi="Arial"/>
                <w:sz w:val="13"/>
                <w:szCs w:val="13"/>
                <w:color w:val="auto"/>
              </w:rPr>
              <w:t>(3)</w:t>
            </w:r>
          </w:p>
        </w:tc>
        <w:tc>
          <w:tcPr>
            <w:tcW w:w="380" w:type="dxa"/>
            <w:vAlign w:val="bottom"/>
            <w:shd w:val="clear" w:color="auto" w:fill="C6D9F1"/>
          </w:tcPr>
          <w:p>
            <w:pPr>
              <w:spacing w:after="0"/>
              <w:rPr>
                <w:sz w:val="18"/>
                <w:szCs w:val="18"/>
                <w:color w:val="auto"/>
              </w:rPr>
            </w:pPr>
          </w:p>
        </w:tc>
        <w:tc>
          <w:tcPr>
            <w:tcW w:w="160" w:type="dxa"/>
            <w:vAlign w:val="bottom"/>
            <w:shd w:val="clear" w:color="auto" w:fill="C6D9F1"/>
          </w:tcPr>
          <w:p>
            <w:pPr>
              <w:spacing w:after="0"/>
              <w:rPr>
                <w:sz w:val="18"/>
                <w:szCs w:val="18"/>
                <w:color w:val="auto"/>
              </w:rPr>
            </w:pPr>
          </w:p>
        </w:tc>
        <w:tc>
          <w:tcPr>
            <w:tcW w:w="1000" w:type="dxa"/>
            <w:vAlign w:val="bottom"/>
            <w:shd w:val="clear" w:color="auto" w:fill="C6D9F1"/>
          </w:tcPr>
          <w:p>
            <w:pPr>
              <w:jc w:val="right"/>
              <w:ind w:right="398"/>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6D9F1"/>
          </w:tcPr>
          <w:p>
            <w:pPr>
              <w:spacing w:after="0"/>
              <w:rPr>
                <w:sz w:val="18"/>
                <w:szCs w:val="18"/>
                <w:color w:val="auto"/>
              </w:rPr>
            </w:pPr>
          </w:p>
        </w:tc>
        <w:tc>
          <w:tcPr>
            <w:tcW w:w="14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6D9F1"/>
          </w:tcPr>
          <w:p>
            <w:pPr>
              <w:jc w:val="right"/>
              <w:ind w:right="300"/>
              <w:spacing w:after="0"/>
              <w:rPr>
                <w:sz w:val="20"/>
                <w:szCs w:val="20"/>
                <w:color w:val="auto"/>
              </w:rPr>
            </w:pPr>
            <w:r>
              <w:rPr>
                <w:rFonts w:ascii="Arial" w:cs="Arial" w:eastAsia="Arial" w:hAnsi="Arial"/>
                <w:sz w:val="16"/>
                <w:szCs w:val="16"/>
                <w:color w:val="auto"/>
              </w:rPr>
              <w:t>515,000</w:t>
            </w:r>
          </w:p>
        </w:tc>
        <w:tc>
          <w:tcPr>
            <w:tcW w:w="1420" w:type="dxa"/>
            <w:vAlign w:val="bottom"/>
            <w:gridSpan w:val="2"/>
            <w:shd w:val="clear" w:color="auto" w:fill="C6D9F1"/>
          </w:tcPr>
          <w:p>
            <w:pPr>
              <w:jc w:val="right"/>
              <w:ind w:righ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Mr. Burwell</w:t>
            </w:r>
            <w:r>
              <w:rPr>
                <w:rFonts w:ascii="Arial" w:cs="Arial" w:eastAsia="Arial" w:hAnsi="Arial"/>
                <w:sz w:val="13"/>
                <w:szCs w:val="13"/>
                <w:color w:val="auto"/>
              </w:rPr>
              <w:t>(4)</w:t>
            </w:r>
          </w:p>
        </w:tc>
        <w:tc>
          <w:tcPr>
            <w:tcW w:w="5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382,880</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382,880</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1"/>
        </w:trPr>
        <w:tc>
          <w:tcPr>
            <w:tcW w:w="5200" w:type="dxa"/>
            <w:vAlign w:val="bottom"/>
            <w:shd w:val="clear" w:color="auto" w:fill="C6D9F1"/>
          </w:tcPr>
          <w:p>
            <w:pPr>
              <w:spacing w:after="0"/>
              <w:rPr>
                <w:sz w:val="20"/>
                <w:szCs w:val="20"/>
                <w:color w:val="auto"/>
              </w:rPr>
            </w:pPr>
            <w:r>
              <w:rPr>
                <w:rFonts w:ascii="Arial" w:cs="Arial" w:eastAsia="Arial" w:hAnsi="Arial"/>
                <w:sz w:val="16"/>
                <w:szCs w:val="16"/>
                <w:color w:val="auto"/>
              </w:rPr>
              <w:t>Mr. Heiter</w:t>
            </w:r>
          </w:p>
        </w:tc>
        <w:tc>
          <w:tcPr>
            <w:tcW w:w="540" w:type="dxa"/>
            <w:vAlign w:val="bottom"/>
            <w:gridSpan w:val="2"/>
            <w:shd w:val="clear" w:color="auto" w:fill="C6D9F1"/>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shd w:val="clear" w:color="auto" w:fill="C6D9F1"/>
          </w:tcPr>
          <w:p>
            <w:pPr>
              <w:jc w:val="right"/>
              <w:spacing w:after="0"/>
              <w:rPr>
                <w:sz w:val="20"/>
                <w:szCs w:val="20"/>
                <w:color w:val="auto"/>
              </w:rPr>
            </w:pPr>
            <w:r>
              <w:rPr>
                <w:rFonts w:ascii="Arial" w:cs="Arial" w:eastAsia="Arial" w:hAnsi="Arial"/>
                <w:sz w:val="16"/>
                <w:szCs w:val="16"/>
                <w:color w:val="auto"/>
              </w:rPr>
              <w:t>355,100</w:t>
            </w:r>
          </w:p>
        </w:tc>
        <w:tc>
          <w:tcPr>
            <w:tcW w:w="420" w:type="dxa"/>
            <w:vAlign w:val="bottom"/>
            <w:shd w:val="clear" w:color="auto" w:fill="C6D9F1"/>
          </w:tcPr>
          <w:p>
            <w:pPr>
              <w:spacing w:after="0"/>
              <w:rPr>
                <w:sz w:val="18"/>
                <w:szCs w:val="18"/>
                <w:color w:val="auto"/>
              </w:rPr>
            </w:pPr>
          </w:p>
        </w:tc>
        <w:tc>
          <w:tcPr>
            <w:tcW w:w="14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6D9F1"/>
          </w:tcPr>
          <w:p>
            <w:pPr>
              <w:jc w:val="right"/>
              <w:ind w:right="300"/>
              <w:spacing w:after="0"/>
              <w:rPr>
                <w:sz w:val="20"/>
                <w:szCs w:val="20"/>
                <w:color w:val="auto"/>
              </w:rPr>
            </w:pPr>
            <w:r>
              <w:rPr>
                <w:rFonts w:ascii="Arial" w:cs="Arial" w:eastAsia="Arial" w:hAnsi="Arial"/>
                <w:sz w:val="16"/>
                <w:szCs w:val="16"/>
                <w:color w:val="auto"/>
              </w:rPr>
              <w:t>369,304</w:t>
            </w:r>
          </w:p>
        </w:tc>
        <w:tc>
          <w:tcPr>
            <w:tcW w:w="1420" w:type="dxa"/>
            <w:vAlign w:val="bottom"/>
            <w:gridSpan w:val="2"/>
            <w:shd w:val="clear" w:color="auto" w:fill="C6D9F1"/>
          </w:tcPr>
          <w:p>
            <w:pPr>
              <w:jc w:val="right"/>
              <w:ind w:right="1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Mr. Qualters</w:t>
            </w:r>
          </w:p>
        </w:tc>
        <w:tc>
          <w:tcPr>
            <w:tcW w:w="5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305,290</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314,449</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1"/>
        </w:trPr>
        <w:tc>
          <w:tcPr>
            <w:tcW w:w="5200" w:type="dxa"/>
            <w:vAlign w:val="bottom"/>
            <w:shd w:val="clear" w:color="auto" w:fill="C6D9F1"/>
          </w:tcPr>
          <w:p>
            <w:pPr>
              <w:spacing w:after="0"/>
              <w:rPr>
                <w:sz w:val="20"/>
                <w:szCs w:val="20"/>
                <w:color w:val="auto"/>
              </w:rPr>
            </w:pPr>
            <w:r>
              <w:rPr>
                <w:rFonts w:ascii="Arial" w:cs="Arial" w:eastAsia="Arial" w:hAnsi="Arial"/>
                <w:sz w:val="16"/>
                <w:szCs w:val="16"/>
                <w:color w:val="auto"/>
              </w:rPr>
              <w:t>Mr. Buchan</w:t>
            </w:r>
          </w:p>
        </w:tc>
        <w:tc>
          <w:tcPr>
            <w:tcW w:w="540" w:type="dxa"/>
            <w:vAlign w:val="bottom"/>
            <w:gridSpan w:val="2"/>
            <w:shd w:val="clear" w:color="auto" w:fill="C6D9F1"/>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shd w:val="clear" w:color="auto" w:fill="C6D9F1"/>
          </w:tcPr>
          <w:p>
            <w:pPr>
              <w:jc w:val="right"/>
              <w:spacing w:after="0"/>
              <w:rPr>
                <w:sz w:val="20"/>
                <w:szCs w:val="20"/>
                <w:color w:val="auto"/>
              </w:rPr>
            </w:pPr>
            <w:r>
              <w:rPr>
                <w:rFonts w:ascii="Arial" w:cs="Arial" w:eastAsia="Arial" w:hAnsi="Arial"/>
                <w:sz w:val="16"/>
                <w:szCs w:val="16"/>
                <w:color w:val="auto"/>
              </w:rPr>
              <w:t>325,000</w:t>
            </w:r>
          </w:p>
        </w:tc>
        <w:tc>
          <w:tcPr>
            <w:tcW w:w="420" w:type="dxa"/>
            <w:vAlign w:val="bottom"/>
            <w:shd w:val="clear" w:color="auto" w:fill="C6D9F1"/>
          </w:tcPr>
          <w:p>
            <w:pPr>
              <w:spacing w:after="0"/>
              <w:rPr>
                <w:sz w:val="18"/>
                <w:szCs w:val="18"/>
                <w:color w:val="auto"/>
              </w:rPr>
            </w:pPr>
          </w:p>
        </w:tc>
        <w:tc>
          <w:tcPr>
            <w:tcW w:w="14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6D9F1"/>
          </w:tcPr>
          <w:p>
            <w:pPr>
              <w:jc w:val="right"/>
              <w:ind w:right="300"/>
              <w:spacing w:after="0"/>
              <w:rPr>
                <w:sz w:val="20"/>
                <w:szCs w:val="20"/>
                <w:color w:val="auto"/>
              </w:rPr>
            </w:pPr>
            <w:r>
              <w:rPr>
                <w:rFonts w:ascii="Arial" w:cs="Arial" w:eastAsia="Arial" w:hAnsi="Arial"/>
                <w:sz w:val="16"/>
                <w:szCs w:val="16"/>
                <w:color w:val="auto"/>
              </w:rPr>
              <w:t>330,000</w:t>
            </w:r>
          </w:p>
        </w:tc>
        <w:tc>
          <w:tcPr>
            <w:tcW w:w="1420" w:type="dxa"/>
            <w:vAlign w:val="bottom"/>
            <w:gridSpan w:val="2"/>
            <w:shd w:val="clear" w:color="auto" w:fill="C6D9F1"/>
          </w:tcPr>
          <w:p>
            <w:pPr>
              <w:jc w:val="right"/>
              <w:ind w:right="1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20"/>
                <w:szCs w:val="20"/>
                <w:color w:val="auto"/>
              </w:rPr>
            </w:pPr>
            <w:r>
              <w:rPr>
                <w:rFonts w:ascii="Arial" w:cs="Arial" w:eastAsia="Arial" w:hAnsi="Arial"/>
                <w:sz w:val="16"/>
                <w:szCs w:val="16"/>
                <w:color w:val="auto"/>
              </w:rPr>
              <w:t>Mr. Atkinson</w:t>
            </w:r>
            <w:r>
              <w:rPr>
                <w:rFonts w:ascii="Arial" w:cs="Arial" w:eastAsia="Arial" w:hAnsi="Arial"/>
                <w:sz w:val="13"/>
                <w:szCs w:val="13"/>
                <w:color w:val="auto"/>
              </w:rPr>
              <w:t>(5)</w:t>
            </w:r>
          </w:p>
        </w:tc>
        <w:tc>
          <w:tcPr>
            <w:tcW w:w="54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280,000</w:t>
            </w:r>
          </w:p>
        </w:tc>
        <w:tc>
          <w:tcPr>
            <w:tcW w:w="4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322,000</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______________________</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780" w:right="380" w:hanging="386"/>
        <w:spacing w:after="0" w:line="289"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September 2019, Mr. Veltman’s salary was increased from his 2019 base salary of $364,923 to $600,000 when he was appointed President and Chief Executive Officer.</w:t>
      </w:r>
    </w:p>
    <w:p>
      <w:pPr>
        <w:spacing w:after="0" w:line="50" w:lineRule="exact"/>
        <w:rPr>
          <w:rFonts w:ascii="Arial" w:cs="Arial" w:eastAsia="Arial" w:hAnsi="Arial"/>
          <w:sz w:val="16"/>
          <w:szCs w:val="16"/>
          <w:color w:val="auto"/>
        </w:rPr>
      </w:pPr>
    </w:p>
    <w:p>
      <w:pPr>
        <w:ind w:left="780" w:hanging="38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Holder departed the Company effective as of September 13, 2019.</w:t>
      </w:r>
    </w:p>
    <w:p>
      <w:pPr>
        <w:spacing w:after="0" w:line="24" w:lineRule="exact"/>
        <w:rPr>
          <w:rFonts w:ascii="Arial" w:cs="Arial" w:eastAsia="Arial" w:hAnsi="Arial"/>
          <w:sz w:val="16"/>
          <w:szCs w:val="16"/>
          <w:color w:val="auto"/>
        </w:rPr>
      </w:pPr>
    </w:p>
    <w:p>
      <w:pPr>
        <w:ind w:left="780" w:hanging="38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DeByle joined the Company effective as of September 23, 2019.</w:t>
      </w:r>
    </w:p>
    <w:p>
      <w:pPr>
        <w:spacing w:after="0" w:line="101" w:lineRule="exact"/>
        <w:rPr>
          <w:rFonts w:ascii="Arial" w:cs="Arial" w:eastAsia="Arial" w:hAnsi="Arial"/>
          <w:sz w:val="16"/>
          <w:szCs w:val="16"/>
          <w:color w:val="auto"/>
        </w:rPr>
      </w:pPr>
    </w:p>
    <w:p>
      <w:pPr>
        <w:ind w:left="780" w:hanging="38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Burwell departed the Company effective as of July 12, 2019.</w:t>
      </w:r>
    </w:p>
    <w:p>
      <w:pPr>
        <w:spacing w:after="0" w:line="112" w:lineRule="exact"/>
        <w:rPr>
          <w:rFonts w:ascii="Arial" w:cs="Arial" w:eastAsia="Arial" w:hAnsi="Arial"/>
          <w:sz w:val="16"/>
          <w:szCs w:val="16"/>
          <w:color w:val="auto"/>
        </w:rPr>
      </w:pPr>
    </w:p>
    <w:p>
      <w:pPr>
        <w:ind w:left="780" w:hanging="38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Atkinson departed the Company effective as of November 22, 2019.</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40"/>
          </w:cols>
          <w:pgMar w:left="320" w:top="642" w:right="439" w:bottom="1440" w:gutter="0" w:footer="0" w:header="0"/>
        </w:sectPr>
      </w:pPr>
    </w:p>
    <w:bookmarkStart w:id="31" w:name="page32"/>
    <w:bookmarkEnd w:id="31"/>
    <w:p>
      <w:pPr>
        <w:ind w:right="220" w:firstLine="508"/>
        <w:spacing w:after="0" w:line="268" w:lineRule="auto"/>
        <w:rPr>
          <w:sz w:val="20"/>
          <w:szCs w:val="20"/>
          <w:color w:val="auto"/>
        </w:rPr>
      </w:pPr>
      <w:r>
        <w:rPr>
          <w:rFonts w:ascii="Arial" w:cs="Arial" w:eastAsia="Arial" w:hAnsi="Arial"/>
          <w:sz w:val="16"/>
          <w:szCs w:val="16"/>
          <w:b w:val="1"/>
          <w:bCs w:val="1"/>
          <w:i w:val="1"/>
          <w:iCs w:val="1"/>
          <w:color w:val="auto"/>
        </w:rPr>
        <w:t>Executive Incentive Compensation (EIC)</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pay annual incentives to drive the achievement of key business results and to recognize individuals based on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contributions to those results. The Compensation Committee believes that this feature of compensation motivates executive officers to realize difficult, yet attainable, annual goals. Each fiscal year, the Compensation Committee establishes objectives for the upcoming fiscal year which are tied to achieving our strategic plan. These objectives are within the following categories:</w:t>
      </w:r>
    </w:p>
    <w:p>
      <w:pPr>
        <w:spacing w:after="0" w:line="162" w:lineRule="exact"/>
        <w:rPr>
          <w:sz w:val="20"/>
          <w:szCs w:val="20"/>
          <w:color w:val="auto"/>
        </w:rPr>
      </w:pPr>
    </w:p>
    <w:p>
      <w:pPr>
        <w:ind w:left="1300" w:hanging="400"/>
        <w:spacing w:after="0"/>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Financial Goals</w:t>
      </w:r>
      <w:r>
        <w:rPr>
          <w:rFonts w:ascii="Arial" w:cs="Arial" w:eastAsia="Arial" w:hAnsi="Arial"/>
          <w:sz w:val="16"/>
          <w:szCs w:val="16"/>
          <w:color w:val="auto"/>
        </w:rPr>
        <w:t>: Achieve our annual business plan;</w:t>
      </w:r>
    </w:p>
    <w:p>
      <w:pPr>
        <w:spacing w:after="0" w:line="112" w:lineRule="exact"/>
        <w:rPr>
          <w:rFonts w:ascii="Arial" w:cs="Arial" w:eastAsia="Arial" w:hAnsi="Arial"/>
          <w:sz w:val="16"/>
          <w:szCs w:val="16"/>
          <w:color w:val="auto"/>
        </w:rPr>
      </w:pPr>
    </w:p>
    <w:p>
      <w:pPr>
        <w:ind w:left="1300" w:hanging="400"/>
        <w:spacing w:after="0"/>
        <w:tabs>
          <w:tab w:leader="none" w:pos="1300" w:val="left"/>
        </w:tabs>
        <w:numPr>
          <w:ilvl w:val="0"/>
          <w:numId w:val="36"/>
        </w:numPr>
        <w:rPr>
          <w:rFonts w:ascii="Arial" w:cs="Arial" w:eastAsia="Arial" w:hAnsi="Arial"/>
          <w:sz w:val="15"/>
          <w:szCs w:val="15"/>
          <w:color w:val="auto"/>
        </w:rPr>
      </w:pPr>
      <w:r>
        <w:rPr>
          <w:rFonts w:ascii="Arial" w:cs="Arial" w:eastAsia="Arial" w:hAnsi="Arial"/>
          <w:sz w:val="15"/>
          <w:szCs w:val="15"/>
          <w:b w:val="1"/>
          <w:bCs w:val="1"/>
          <w:color w:val="auto"/>
        </w:rPr>
        <w:t>Operational Excellence</w:t>
      </w:r>
      <w:r>
        <w:rPr>
          <w:rFonts w:ascii="Arial" w:cs="Arial" w:eastAsia="Arial" w:hAnsi="Arial"/>
          <w:sz w:val="15"/>
          <w:szCs w:val="15"/>
          <w:color w:val="auto"/>
        </w:rPr>
        <w:t>: Attain excellence in workplace safety; maintain and improve product quality; improve on-time delivery of products; and</w:t>
      </w:r>
    </w:p>
    <w:p>
      <w:pPr>
        <w:spacing w:after="0" w:line="123" w:lineRule="exact"/>
        <w:rPr>
          <w:rFonts w:ascii="Arial" w:cs="Arial" w:eastAsia="Arial" w:hAnsi="Arial"/>
          <w:sz w:val="15"/>
          <w:szCs w:val="15"/>
          <w:color w:val="auto"/>
        </w:rPr>
      </w:pPr>
    </w:p>
    <w:p>
      <w:pPr>
        <w:ind w:left="1300" w:right="160" w:hanging="400"/>
        <w:spacing w:after="0" w:line="295"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Functional Excellence</w:t>
      </w:r>
      <w:r>
        <w:rPr>
          <w:rFonts w:ascii="Arial" w:cs="Arial" w:eastAsia="Arial" w:hAnsi="Arial"/>
          <w:sz w:val="16"/>
          <w:szCs w:val="16"/>
          <w:color w:val="auto"/>
        </w:rPr>
        <w:t>: Attract and develop talent; remediate previously identified material weaknesses in internal controls; reduce net debt leverage;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successfully source, execute and integrate acquisitions.</w:t>
      </w:r>
    </w:p>
    <w:p>
      <w:pPr>
        <w:spacing w:after="0" w:line="144" w:lineRule="exact"/>
        <w:rPr>
          <w:sz w:val="20"/>
          <w:szCs w:val="20"/>
          <w:color w:val="auto"/>
        </w:rPr>
      </w:pPr>
    </w:p>
    <w:p>
      <w:pPr>
        <w:ind w:right="180" w:firstLine="539"/>
        <w:spacing w:after="0" w:line="270" w:lineRule="auto"/>
        <w:rPr>
          <w:sz w:val="20"/>
          <w:szCs w:val="20"/>
          <w:color w:val="auto"/>
        </w:rPr>
      </w:pPr>
      <w:r>
        <w:rPr>
          <w:rFonts w:ascii="Arial" w:cs="Arial" w:eastAsia="Arial" w:hAnsi="Arial"/>
          <w:sz w:val="16"/>
          <w:szCs w:val="16"/>
          <w:color w:val="auto"/>
        </w:rPr>
        <w:t>In 2019, the Compensation Committee established Company Financial Goals (Company adjusted earnings per share, free cash flow generation and net sales) and Financial Goals for each of the business groups (group adjusted operating margin, group free cash flow and group net sales). For all of our NEOs, attainment of their respective Financial Goals was weighted at 75%, and attainment of operational and functional goals were weighted at 25%, in the aggregate. The operational and functional goals related to attaining excellence with respect to safety, product quality and delivery improvements, remediation of previously identified material weaknesses in internal controls, reduction of net debt leverage, improvements to the NN Operating System, deployment of a manufacturing enterprise software platform within the business groups, and successfully integrating acquisitions.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provide our executive officers with targeted executive incentive compensation of 50% to 100% of base salary, as shown in the table below. In 2019,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established the following targeted award levels for our NEOs:</w:t>
      </w:r>
    </w:p>
    <w:p>
      <w:pPr>
        <w:spacing w:after="0" w:line="196" w:lineRule="exact"/>
        <w:rPr>
          <w:sz w:val="20"/>
          <w:szCs w:val="20"/>
          <w:color w:val="auto"/>
        </w:rPr>
      </w:pPr>
    </w:p>
    <w:tbl>
      <w:tblPr>
        <w:tblLayout w:type="fixed"/>
        <w:tblInd w:w="1900" w:type="dxa"/>
        <w:tblCellMar>
          <w:top w:w="0" w:type="dxa"/>
          <w:left w:w="0" w:type="dxa"/>
          <w:bottom w:w="0" w:type="dxa"/>
          <w:right w:w="0" w:type="dxa"/>
        </w:tblCellMar>
      </w:tblPr>
      <w:tr>
        <w:trPr>
          <w:trHeight w:val="198"/>
        </w:trPr>
        <w:tc>
          <w:tcPr>
            <w:tcW w:w="4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Target Award</w:t>
            </w:r>
          </w:p>
        </w:tc>
      </w:tr>
      <w:tr>
        <w:trPr>
          <w:trHeight w:val="198"/>
        </w:trPr>
        <w:tc>
          <w:tcPr>
            <w:tcW w:w="4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5"/>
              </w:rPr>
              <w:t>Opportunity as a % of</w:t>
            </w:r>
          </w:p>
        </w:tc>
      </w:tr>
      <w:tr>
        <w:trPr>
          <w:trHeight w:val="213"/>
        </w:trPr>
        <w:tc>
          <w:tcPr>
            <w:tcW w:w="55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Base Salary</w:t>
            </w:r>
          </w:p>
        </w:tc>
      </w:tr>
      <w:tr>
        <w:trPr>
          <w:trHeight w:val="191"/>
        </w:trPr>
        <w:tc>
          <w:tcPr>
            <w:tcW w:w="474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Mr. Veltman</w:t>
            </w:r>
          </w:p>
        </w:tc>
        <w:tc>
          <w:tcPr>
            <w:tcW w:w="800" w:type="dxa"/>
            <w:vAlign w:val="bottom"/>
            <w:tcBorders>
              <w:top w:val="single" w:sz="8" w:color="C6D9F1"/>
            </w:tcBorders>
            <w:shd w:val="clear" w:color="auto" w:fill="C6D9F1"/>
          </w:tcPr>
          <w:p>
            <w:pPr>
              <w:spacing w:after="0"/>
              <w:rPr>
                <w:sz w:val="16"/>
                <w:szCs w:val="16"/>
                <w:color w:val="auto"/>
              </w:rPr>
            </w:pPr>
          </w:p>
        </w:tc>
        <w:tc>
          <w:tcPr>
            <w:tcW w:w="190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90%</w:t>
            </w:r>
          </w:p>
        </w:tc>
      </w:tr>
      <w:tr>
        <w:trPr>
          <w:trHeight w:val="198"/>
        </w:trPr>
        <w:tc>
          <w:tcPr>
            <w:tcW w:w="5540" w:type="dxa"/>
            <w:vAlign w:val="bottom"/>
            <w:gridSpan w:val="2"/>
          </w:tcPr>
          <w:p>
            <w:pPr>
              <w:spacing w:after="0"/>
              <w:rPr>
                <w:sz w:val="20"/>
                <w:szCs w:val="20"/>
                <w:color w:val="auto"/>
              </w:rPr>
            </w:pPr>
            <w:r>
              <w:rPr>
                <w:rFonts w:ascii="Arial" w:cs="Arial" w:eastAsia="Arial" w:hAnsi="Arial"/>
                <w:sz w:val="16"/>
                <w:szCs w:val="16"/>
                <w:color w:val="auto"/>
              </w:rPr>
              <w:t>Mr. Holder</w:t>
            </w:r>
          </w:p>
        </w:tc>
        <w:tc>
          <w:tcPr>
            <w:tcW w:w="19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98"/>
        </w:trPr>
        <w:tc>
          <w:tcPr>
            <w:tcW w:w="55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Mr. DeByle</w:t>
            </w:r>
          </w:p>
        </w:tc>
        <w:tc>
          <w:tcPr>
            <w:tcW w:w="1900" w:type="dxa"/>
            <w:vAlign w:val="bottom"/>
            <w:shd w:val="clear" w:color="auto" w:fill="C6D9F1"/>
          </w:tcPr>
          <w:p>
            <w:pPr>
              <w:jc w:val="right"/>
              <w:spacing w:after="0"/>
              <w:rPr>
                <w:sz w:val="20"/>
                <w:szCs w:val="20"/>
                <w:color w:val="auto"/>
              </w:rPr>
            </w:pPr>
            <w:r>
              <w:rPr>
                <w:rFonts w:ascii="Arial" w:cs="Arial" w:eastAsia="Arial" w:hAnsi="Arial"/>
                <w:sz w:val="16"/>
                <w:szCs w:val="16"/>
                <w:color w:val="auto"/>
              </w:rPr>
              <w:t>70%</w:t>
            </w:r>
          </w:p>
        </w:tc>
      </w:tr>
      <w:tr>
        <w:trPr>
          <w:trHeight w:val="198"/>
        </w:trPr>
        <w:tc>
          <w:tcPr>
            <w:tcW w:w="5540" w:type="dxa"/>
            <w:vAlign w:val="bottom"/>
            <w:gridSpan w:val="2"/>
          </w:tcPr>
          <w:p>
            <w:pPr>
              <w:spacing w:after="0"/>
              <w:rPr>
                <w:sz w:val="20"/>
                <w:szCs w:val="20"/>
                <w:color w:val="auto"/>
              </w:rPr>
            </w:pPr>
            <w:r>
              <w:rPr>
                <w:rFonts w:ascii="Arial" w:cs="Arial" w:eastAsia="Arial" w:hAnsi="Arial"/>
                <w:sz w:val="16"/>
                <w:szCs w:val="16"/>
                <w:color w:val="auto"/>
              </w:rPr>
              <w:t>Mr. Heiter</w:t>
            </w:r>
          </w:p>
        </w:tc>
        <w:tc>
          <w:tcPr>
            <w:tcW w:w="1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8"/>
        </w:trPr>
        <w:tc>
          <w:tcPr>
            <w:tcW w:w="55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Mr. Qualters</w:t>
            </w:r>
          </w:p>
        </w:tc>
        <w:tc>
          <w:tcPr>
            <w:tcW w:w="1900" w:type="dxa"/>
            <w:vAlign w:val="bottom"/>
            <w:shd w:val="clear" w:color="auto" w:fill="C6D9F1"/>
          </w:tcPr>
          <w:p>
            <w:pPr>
              <w:jc w:val="right"/>
              <w:spacing w:after="0"/>
              <w:rPr>
                <w:sz w:val="20"/>
                <w:szCs w:val="20"/>
                <w:color w:val="auto"/>
              </w:rPr>
            </w:pPr>
            <w:r>
              <w:rPr>
                <w:rFonts w:ascii="Arial" w:cs="Arial" w:eastAsia="Arial" w:hAnsi="Arial"/>
                <w:sz w:val="16"/>
                <w:szCs w:val="16"/>
                <w:color w:val="auto"/>
              </w:rPr>
              <w:t>50%</w:t>
            </w:r>
          </w:p>
        </w:tc>
      </w:tr>
      <w:tr>
        <w:trPr>
          <w:trHeight w:val="198"/>
        </w:trPr>
        <w:tc>
          <w:tcPr>
            <w:tcW w:w="5540" w:type="dxa"/>
            <w:vAlign w:val="bottom"/>
            <w:gridSpan w:val="2"/>
          </w:tcPr>
          <w:p>
            <w:pPr>
              <w:spacing w:after="0"/>
              <w:rPr>
                <w:sz w:val="20"/>
                <w:szCs w:val="20"/>
                <w:color w:val="auto"/>
              </w:rPr>
            </w:pPr>
            <w:r>
              <w:rPr>
                <w:rFonts w:ascii="Arial" w:cs="Arial" w:eastAsia="Arial" w:hAnsi="Arial"/>
                <w:sz w:val="16"/>
                <w:szCs w:val="16"/>
                <w:color w:val="auto"/>
              </w:rPr>
              <w:t>Mr. Buchan</w:t>
            </w:r>
          </w:p>
        </w:tc>
        <w:tc>
          <w:tcPr>
            <w:tcW w:w="19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8"/>
        </w:trPr>
        <w:tc>
          <w:tcPr>
            <w:tcW w:w="5540" w:type="dxa"/>
            <w:vAlign w:val="bottom"/>
            <w:gridSpan w:val="2"/>
            <w:shd w:val="clear" w:color="auto" w:fill="C6D9F1"/>
          </w:tcPr>
          <w:p>
            <w:pPr>
              <w:spacing w:after="0"/>
              <w:rPr>
                <w:sz w:val="20"/>
                <w:szCs w:val="20"/>
                <w:color w:val="auto"/>
              </w:rPr>
            </w:pPr>
            <w:r>
              <w:rPr>
                <w:rFonts w:ascii="Arial" w:cs="Arial" w:eastAsia="Arial" w:hAnsi="Arial"/>
                <w:sz w:val="16"/>
                <w:szCs w:val="16"/>
                <w:color w:val="auto"/>
              </w:rPr>
              <w:t>Mr. Atkinson</w:t>
            </w:r>
          </w:p>
        </w:tc>
        <w:tc>
          <w:tcPr>
            <w:tcW w:w="1900" w:type="dxa"/>
            <w:vAlign w:val="bottom"/>
            <w:shd w:val="clear" w:color="auto" w:fill="C6D9F1"/>
          </w:tcPr>
          <w:p>
            <w:pPr>
              <w:jc w:val="right"/>
              <w:spacing w:after="0"/>
              <w:rPr>
                <w:sz w:val="20"/>
                <w:szCs w:val="20"/>
                <w:color w:val="auto"/>
              </w:rPr>
            </w:pPr>
            <w:r>
              <w:rPr>
                <w:rFonts w:ascii="Arial" w:cs="Arial" w:eastAsia="Arial" w:hAnsi="Arial"/>
                <w:sz w:val="16"/>
                <w:szCs w:val="16"/>
                <w:color w:val="auto"/>
              </w:rPr>
              <w:t>50%</w:t>
            </w:r>
          </w:p>
        </w:tc>
      </w:tr>
    </w:tbl>
    <w:p>
      <w:pPr>
        <w:spacing w:after="0" w:line="383" w:lineRule="exact"/>
        <w:rPr>
          <w:sz w:val="20"/>
          <w:szCs w:val="20"/>
          <w:color w:val="auto"/>
        </w:rPr>
      </w:pPr>
    </w:p>
    <w:p>
      <w:pPr>
        <w:ind w:right="200" w:firstLine="508"/>
        <w:spacing w:after="0" w:line="291" w:lineRule="auto"/>
        <w:rPr>
          <w:sz w:val="20"/>
          <w:szCs w:val="20"/>
          <w:color w:val="auto"/>
        </w:rPr>
      </w:pPr>
      <w:r>
        <w:rPr>
          <w:rFonts w:ascii="Arial" w:cs="Arial" w:eastAsia="Arial" w:hAnsi="Arial"/>
          <w:sz w:val="15"/>
          <w:szCs w:val="15"/>
          <w:color w:val="auto"/>
        </w:rPr>
        <w:t>With respect to the approach used by the Compensation Committee to establish the threshold, target and maximum performance goals, the Committee considered multiple factors that included, but were not limited to, historical performance, budget performance for fiscal 2019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challenging, yet attainable, when the goals are set.</w:t>
      </w:r>
    </w:p>
    <w:p>
      <w:pPr>
        <w:spacing w:after="0" w:line="151" w:lineRule="exact"/>
        <w:rPr>
          <w:sz w:val="20"/>
          <w:szCs w:val="20"/>
          <w:color w:val="auto"/>
        </w:rPr>
      </w:pPr>
    </w:p>
    <w:p>
      <w:pPr>
        <w:ind w:right="260" w:firstLine="508"/>
        <w:spacing w:after="0" w:line="268" w:lineRule="auto"/>
        <w:rPr>
          <w:sz w:val="20"/>
          <w:szCs w:val="20"/>
          <w:color w:val="auto"/>
        </w:rPr>
      </w:pPr>
      <w:r>
        <w:rPr>
          <w:rFonts w:ascii="Arial" w:cs="Arial" w:eastAsia="Arial" w:hAnsi="Arial"/>
          <w:sz w:val="16"/>
          <w:szCs w:val="16"/>
          <w:color w:val="auto"/>
        </w:rPr>
        <w:t>In addition, the Compensation Committee established a performance gate for 2019 of Company adjusted earnings per share of $0.94. If the Company did not achieve at least $0.94 adjusted earnings per share for 2019, no payout under this program would be made. For 2019, the specific Company and business group financial goals, weighting of the goals and actual achievement by the Company, the Life Sciences, the Mobile Solutions and the Power Solutions groups in relation to the performance levels previously set by the Compensation Committee is reflected in the following tables: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0" w:type="dxa"/>
            <w:vAlign w:val="bottom"/>
            <w:vMerge w:val="restart"/>
          </w:tcPr>
          <w:p>
            <w:pPr>
              <w:spacing w:after="0"/>
              <w:rPr>
                <w:sz w:val="20"/>
                <w:szCs w:val="20"/>
                <w:color w:val="auto"/>
              </w:rPr>
            </w:pPr>
            <w:r>
              <w:rPr>
                <w:rFonts w:ascii="Arial" w:cs="Arial" w:eastAsia="Arial" w:hAnsi="Arial"/>
                <w:sz w:val="13"/>
                <w:szCs w:val="13"/>
                <w:b w:val="1"/>
                <w:bCs w:val="1"/>
                <w:color w:val="auto"/>
              </w:rPr>
              <w:t>Weight</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right"/>
              <w:ind w:right="120"/>
              <w:spacing w:after="0"/>
              <w:rPr>
                <w:sz w:val="20"/>
                <w:szCs w:val="20"/>
                <w:color w:val="auto"/>
              </w:rPr>
            </w:pPr>
            <w:r>
              <w:rPr>
                <w:rFonts w:ascii="Arial" w:cs="Arial" w:eastAsia="Arial" w:hAnsi="Arial"/>
                <w:sz w:val="13"/>
                <w:szCs w:val="13"/>
                <w:b w:val="1"/>
                <w:bCs w:val="1"/>
                <w:color w:val="auto"/>
                <w:w w:val="90"/>
              </w:rPr>
              <w:t>Company Performance Levels</w:t>
            </w:r>
          </w:p>
        </w:tc>
        <w:tc>
          <w:tcPr>
            <w:tcW w:w="10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10"/>
        </w:trPr>
        <w:tc>
          <w:tcPr>
            <w:tcW w:w="5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00" w:type="dxa"/>
            <w:vAlign w:val="bottom"/>
          </w:tcPr>
          <w:p>
            <w:pPr>
              <w:spacing w:after="0" w:line="148" w:lineRule="exact"/>
              <w:rPr>
                <w:sz w:val="20"/>
                <w:szCs w:val="20"/>
                <w:color w:val="auto"/>
              </w:rPr>
            </w:pPr>
            <w:r>
              <w:rPr>
                <w:rFonts w:ascii="Arial" w:cs="Arial" w:eastAsia="Arial" w:hAnsi="Arial"/>
                <w:sz w:val="13"/>
                <w:szCs w:val="13"/>
                <w:b w:val="1"/>
                <w:bCs w:val="1"/>
                <w:color w:val="auto"/>
              </w:rPr>
              <w:t>by Goal</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1"/>
              </w:rPr>
              <w:t>Company Financial Goals</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2"/>
              </w:rPr>
              <w:t>Threshold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00"/>
              <w:spacing w:after="0" w:line="148"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40"/>
              <w:spacing w:after="0" w:line="148" w:lineRule="exact"/>
              <w:rPr>
                <w:sz w:val="20"/>
                <w:szCs w:val="20"/>
                <w:color w:val="auto"/>
              </w:rPr>
            </w:pPr>
            <w:r>
              <w:rPr>
                <w:rFonts w:ascii="Arial" w:cs="Arial" w:eastAsia="Arial" w:hAnsi="Arial"/>
                <w:sz w:val="13"/>
                <w:szCs w:val="13"/>
                <w:b w:val="1"/>
                <w:bCs w:val="1"/>
                <w:color w:val="auto"/>
                <w:w w:val="99"/>
              </w:rPr>
              <w:t>Maximum</w:t>
            </w:r>
          </w:p>
        </w:tc>
        <w:tc>
          <w:tcPr>
            <w:tcW w:w="100" w:type="dxa"/>
            <w:vAlign w:val="bottom"/>
          </w:tcPr>
          <w:p>
            <w:pPr>
              <w:spacing w:after="0"/>
              <w:rPr>
                <w:sz w:val="13"/>
                <w:szCs w:val="13"/>
                <w:color w:val="auto"/>
              </w:rPr>
            </w:pPr>
          </w:p>
        </w:tc>
        <w:tc>
          <w:tcPr>
            <w:tcW w:w="11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Results</w:t>
            </w:r>
          </w:p>
        </w:tc>
        <w:tc>
          <w:tcPr>
            <w:tcW w:w="0" w:type="dxa"/>
            <w:vAlign w:val="bottom"/>
          </w:tcPr>
          <w:p>
            <w:pPr>
              <w:spacing w:after="0"/>
              <w:rPr>
                <w:sz w:val="1"/>
                <w:szCs w:val="1"/>
                <w:color w:val="auto"/>
              </w:rPr>
            </w:pPr>
          </w:p>
        </w:tc>
      </w:tr>
      <w:tr>
        <w:trPr>
          <w:trHeight w:val="148"/>
        </w:trPr>
        <w:tc>
          <w:tcPr>
            <w:tcW w:w="500" w:type="dxa"/>
            <w:vAlign w:val="bottom"/>
            <w:tcBorders>
              <w:top w:val="single" w:sz="8" w:color="auto"/>
              <w:bottom w:val="single" w:sz="8" w:color="C6D9F1"/>
            </w:tcBorders>
          </w:tcPr>
          <w:p>
            <w:pPr>
              <w:spacing w:after="0"/>
              <w:rPr>
                <w:sz w:val="12"/>
                <w:szCs w:val="12"/>
                <w:color w:val="auto"/>
              </w:rPr>
            </w:pPr>
          </w:p>
        </w:tc>
        <w:tc>
          <w:tcPr>
            <w:tcW w:w="240" w:type="dxa"/>
            <w:vAlign w:val="bottom"/>
            <w:tcBorders>
              <w:top w:val="single" w:sz="8" w:color="auto"/>
              <w:bottom w:val="single" w:sz="8" w:color="C6D9F1"/>
            </w:tcBorders>
          </w:tcPr>
          <w:p>
            <w:pPr>
              <w:spacing w:after="0"/>
              <w:rPr>
                <w:sz w:val="12"/>
                <w:szCs w:val="12"/>
                <w:color w:val="auto"/>
              </w:rPr>
            </w:pPr>
          </w:p>
        </w:tc>
        <w:tc>
          <w:tcPr>
            <w:tcW w:w="400" w:type="dxa"/>
            <w:vAlign w:val="bottom"/>
            <w:tcBorders>
              <w:bottom w:val="single" w:sz="8" w:color="C6D9F1"/>
            </w:tcBorders>
          </w:tcPr>
          <w:p>
            <w:pPr>
              <w:spacing w:after="0"/>
              <w:rPr>
                <w:sz w:val="12"/>
                <w:szCs w:val="12"/>
                <w:color w:val="auto"/>
              </w:rPr>
            </w:pPr>
          </w:p>
        </w:tc>
        <w:tc>
          <w:tcPr>
            <w:tcW w:w="5920" w:type="dxa"/>
            <w:vAlign w:val="bottom"/>
            <w:tcBorders>
              <w:top w:val="single" w:sz="8" w:color="auto"/>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2"/>
              </w:rPr>
              <w:t>Payout Level</w:t>
            </w:r>
          </w:p>
        </w:tc>
        <w:tc>
          <w:tcPr>
            <w:tcW w:w="100" w:type="dxa"/>
            <w:vAlign w:val="bottom"/>
            <w:tcBorders>
              <w:bottom w:val="single" w:sz="8" w:color="C6D9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04"/>
              <w:spacing w:after="0" w:line="148" w:lineRule="exact"/>
              <w:rPr>
                <w:sz w:val="20"/>
                <w:szCs w:val="20"/>
                <w:color w:val="auto"/>
              </w:rPr>
            </w:pPr>
            <w:r>
              <w:rPr>
                <w:rFonts w:ascii="Arial" w:cs="Arial" w:eastAsia="Arial" w:hAnsi="Arial"/>
                <w:sz w:val="13"/>
                <w:szCs w:val="13"/>
                <w:b w:val="1"/>
                <w:bCs w:val="1"/>
                <w:color w:val="auto"/>
              </w:rPr>
              <w:t>50%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6"/>
              <w:spacing w:after="0" w:line="148" w:lineRule="exact"/>
              <w:rPr>
                <w:sz w:val="20"/>
                <w:szCs w:val="20"/>
                <w:color w:val="auto"/>
              </w:rPr>
            </w:pPr>
            <w:r>
              <w:rPr>
                <w:rFonts w:ascii="Arial" w:cs="Arial" w:eastAsia="Arial" w:hAnsi="Arial"/>
                <w:sz w:val="13"/>
                <w:szCs w:val="13"/>
                <w:b w:val="1"/>
                <w:bCs w:val="1"/>
                <w:color w:val="auto"/>
              </w:rPr>
              <w:t>100%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8" w:lineRule="exact"/>
              <w:rPr>
                <w:sz w:val="20"/>
                <w:szCs w:val="20"/>
                <w:color w:val="auto"/>
              </w:rPr>
            </w:pPr>
            <w:r>
              <w:rPr>
                <w:rFonts w:ascii="Arial" w:cs="Arial" w:eastAsia="Arial" w:hAnsi="Arial"/>
                <w:sz w:val="13"/>
                <w:szCs w:val="13"/>
                <w:b w:val="1"/>
                <w:bCs w:val="1"/>
                <w:color w:val="auto"/>
              </w:rPr>
              <w:t>150%</w:t>
            </w:r>
          </w:p>
        </w:tc>
        <w:tc>
          <w:tcPr>
            <w:tcW w:w="80" w:type="dxa"/>
            <w:vAlign w:val="bottom"/>
            <w:tcBorders>
              <w:bottom w:val="single" w:sz="8" w:color="C6D9F1"/>
            </w:tcBorders>
          </w:tcPr>
          <w:p>
            <w:pPr>
              <w:spacing w:after="0"/>
              <w:rPr>
                <w:sz w:val="12"/>
                <w:szCs w:val="12"/>
                <w:color w:val="auto"/>
              </w:rPr>
            </w:pPr>
          </w:p>
        </w:tc>
        <w:tc>
          <w:tcPr>
            <w:tcW w:w="100" w:type="dxa"/>
            <w:vAlign w:val="bottom"/>
            <w:tcBorders>
              <w:bottom w:val="single" w:sz="8" w:color="C6D9F1"/>
            </w:tcBorders>
          </w:tcPr>
          <w:p>
            <w:pPr>
              <w:spacing w:after="0"/>
              <w:rPr>
                <w:sz w:val="12"/>
                <w:szCs w:val="12"/>
                <w:color w:val="auto"/>
              </w:rPr>
            </w:pPr>
          </w:p>
        </w:tc>
        <w:tc>
          <w:tcPr>
            <w:tcW w:w="840" w:type="dxa"/>
            <w:vAlign w:val="bottom"/>
            <w:tcBorders>
              <w:top w:val="single" w:sz="8" w:color="auto"/>
              <w:bottom w:val="single" w:sz="8" w:color="C6D9F1"/>
            </w:tcBorders>
          </w:tcPr>
          <w:p>
            <w:pPr>
              <w:spacing w:after="0"/>
              <w:rPr>
                <w:sz w:val="12"/>
                <w:szCs w:val="12"/>
                <w:color w:val="auto"/>
              </w:rPr>
            </w:pPr>
          </w:p>
        </w:tc>
        <w:tc>
          <w:tcPr>
            <w:tcW w:w="340" w:type="dxa"/>
            <w:vAlign w:val="bottom"/>
            <w:tcBorders>
              <w:bottom w:val="single" w:sz="8" w:color="C6D9F1"/>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0" w:type="dxa"/>
            <w:vAlign w:val="bottom"/>
            <w:shd w:val="clear" w:color="auto" w:fill="C6D9F1"/>
          </w:tcPr>
          <w:p>
            <w:pPr>
              <w:spacing w:after="0"/>
              <w:rPr>
                <w:sz w:val="16"/>
                <w:szCs w:val="16"/>
                <w:color w:val="auto"/>
              </w:rPr>
            </w:pPr>
          </w:p>
        </w:tc>
        <w:tc>
          <w:tcPr>
            <w:tcW w:w="64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40 %</w:t>
            </w:r>
          </w:p>
        </w:tc>
        <w:tc>
          <w:tcPr>
            <w:tcW w:w="5920" w:type="dxa"/>
            <w:vAlign w:val="bottom"/>
            <w:shd w:val="clear" w:color="auto" w:fill="C6D9F1"/>
          </w:tcPr>
          <w:p>
            <w:pPr>
              <w:spacing w:after="0" w:line="190" w:lineRule="exact"/>
              <w:rPr>
                <w:sz w:val="20"/>
                <w:szCs w:val="20"/>
                <w:color w:val="auto"/>
              </w:rPr>
            </w:pPr>
            <w:r>
              <w:rPr>
                <w:rFonts w:ascii="Arial" w:cs="Arial" w:eastAsia="Arial" w:hAnsi="Arial"/>
                <w:sz w:val="16"/>
                <w:szCs w:val="16"/>
                <w:color w:val="auto"/>
              </w:rPr>
              <w:t>NN, Inc. Adjusted EPS</w:t>
            </w:r>
            <w:r>
              <w:rPr>
                <w:rFonts w:ascii="Arial" w:cs="Arial" w:eastAsia="Arial" w:hAnsi="Arial"/>
                <w:sz w:val="22"/>
                <w:szCs w:val="22"/>
                <w:color w:val="auto"/>
                <w:vertAlign w:val="superscript"/>
              </w:rPr>
              <w:t>(1)(2)</w:t>
            </w:r>
          </w:p>
        </w:tc>
        <w:tc>
          <w:tcPr>
            <w:tcW w:w="100" w:type="dxa"/>
            <w:vAlign w:val="bottom"/>
            <w:shd w:val="clear" w:color="auto" w:fill="C6D9F1"/>
          </w:tcPr>
          <w:p>
            <w:pPr>
              <w:spacing w:after="0"/>
              <w:rPr>
                <w:sz w:val="16"/>
                <w:szCs w:val="16"/>
                <w:color w:val="auto"/>
              </w:rPr>
            </w:pPr>
          </w:p>
        </w:tc>
        <w:tc>
          <w:tcPr>
            <w:tcW w:w="10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0.94</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00" w:type="dxa"/>
            <w:vAlign w:val="bottom"/>
            <w:shd w:val="clear" w:color="auto" w:fill="C6D9F1"/>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1.42</w:t>
            </w:r>
          </w:p>
        </w:tc>
        <w:tc>
          <w:tcPr>
            <w:tcW w:w="80" w:type="dxa"/>
            <w:vAlign w:val="bottom"/>
            <w:shd w:val="clear" w:color="auto" w:fill="C6D9F1"/>
          </w:tcPr>
          <w:p>
            <w:pPr>
              <w:spacing w:after="0"/>
              <w:rPr>
                <w:sz w:val="16"/>
                <w:szCs w:val="16"/>
                <w:color w:val="auto"/>
              </w:rPr>
            </w:pPr>
          </w:p>
        </w:tc>
        <w:tc>
          <w:tcPr>
            <w:tcW w:w="940" w:type="dxa"/>
            <w:vAlign w:val="bottom"/>
            <w:gridSpan w:val="2"/>
            <w:shd w:val="clear" w:color="auto" w:fill="C6D9F1"/>
          </w:tcPr>
          <w:p>
            <w:pPr>
              <w:ind w:left="100"/>
              <w:spacing w:after="0"/>
              <w:rPr>
                <w:sz w:val="20"/>
                <w:szCs w:val="20"/>
                <w:color w:val="auto"/>
              </w:rPr>
            </w:pPr>
            <w:r>
              <w:rPr>
                <w:rFonts w:ascii="Arial" w:cs="Arial" w:eastAsia="Arial" w:hAnsi="Arial"/>
                <w:sz w:val="16"/>
                <w:szCs w:val="16"/>
                <w:color w:val="auto"/>
              </w:rPr>
              <w:t>$ 0.83</w:t>
            </w:r>
          </w:p>
        </w:tc>
        <w:tc>
          <w:tcPr>
            <w:tcW w:w="340" w:type="dxa"/>
            <w:vAlign w:val="bottom"/>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6660" w:type="dxa"/>
            <w:vAlign w:val="bottom"/>
            <w:gridSpan w:val="4"/>
          </w:tcPr>
          <w:p>
            <w:pPr>
              <w:ind w:left="80"/>
              <w:spacing w:after="0" w:line="198" w:lineRule="exact"/>
              <w:rPr>
                <w:sz w:val="20"/>
                <w:szCs w:val="20"/>
                <w:color w:val="auto"/>
              </w:rPr>
            </w:pPr>
            <w:r>
              <w:rPr>
                <w:rFonts w:ascii="Arial" w:cs="Arial" w:eastAsia="Arial" w:hAnsi="Arial"/>
                <w:sz w:val="16"/>
                <w:szCs w:val="16"/>
                <w:color w:val="auto"/>
              </w:rPr>
              <w:t>40 %   NN, Inc. Free Cash Flow</w:t>
            </w:r>
            <w:r>
              <w:rPr>
                <w:rFonts w:ascii="Arial" w:cs="Arial" w:eastAsia="Arial" w:hAnsi="Arial"/>
                <w:sz w:val="22"/>
                <w:szCs w:val="22"/>
                <w:color w:val="auto"/>
                <w:vertAlign w:val="superscript"/>
              </w:rPr>
              <w:t>(3)(4)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36.96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46.20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55.44</w:t>
            </w:r>
          </w:p>
        </w:tc>
        <w:tc>
          <w:tcPr>
            <w:tcW w:w="940" w:type="dxa"/>
            <w:vAlign w:val="bottom"/>
            <w:gridSpan w:val="2"/>
          </w:tcPr>
          <w:p>
            <w:pPr>
              <w:ind w:left="100"/>
              <w:spacing w:after="0"/>
              <w:rPr>
                <w:sz w:val="20"/>
                <w:szCs w:val="20"/>
                <w:color w:val="auto"/>
              </w:rPr>
            </w:pPr>
            <w:r>
              <w:rPr>
                <w:rFonts w:ascii="Arial" w:cs="Arial" w:eastAsia="Arial" w:hAnsi="Arial"/>
                <w:sz w:val="16"/>
                <w:szCs w:val="16"/>
                <w:color w:val="auto"/>
              </w:rPr>
              <w:t>$ (4.79)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0" w:type="dxa"/>
            <w:vAlign w:val="bottom"/>
            <w:shd w:val="clear" w:color="auto" w:fill="C6D9F1"/>
          </w:tcPr>
          <w:p>
            <w:pPr>
              <w:spacing w:after="0"/>
              <w:rPr>
                <w:sz w:val="17"/>
                <w:szCs w:val="17"/>
                <w:color w:val="auto"/>
              </w:rPr>
            </w:pPr>
          </w:p>
        </w:tc>
        <w:tc>
          <w:tcPr>
            <w:tcW w:w="6660" w:type="dxa"/>
            <w:vAlign w:val="bottom"/>
            <w:gridSpan w:val="4"/>
            <w:shd w:val="clear" w:color="auto" w:fill="C6D9F1"/>
          </w:tcPr>
          <w:p>
            <w:pPr>
              <w:ind w:left="80"/>
              <w:spacing w:after="0" w:line="198" w:lineRule="exact"/>
              <w:rPr>
                <w:sz w:val="20"/>
                <w:szCs w:val="20"/>
                <w:color w:val="auto"/>
              </w:rPr>
            </w:pPr>
            <w:r>
              <w:rPr>
                <w:rFonts w:ascii="Arial" w:cs="Arial" w:eastAsia="Arial" w:hAnsi="Arial"/>
                <w:sz w:val="16"/>
                <w:szCs w:val="16"/>
                <w:color w:val="auto"/>
              </w:rPr>
              <w:t>20 %   NN, Inc. Net Sales</w:t>
            </w:r>
            <w:r>
              <w:rPr>
                <w:rFonts w:ascii="Arial" w:cs="Arial" w:eastAsia="Arial" w:hAnsi="Arial"/>
                <w:sz w:val="22"/>
                <w:szCs w:val="22"/>
                <w:color w:val="auto"/>
                <w:vertAlign w:val="superscript"/>
              </w:rPr>
              <w:t>(4)</w:t>
            </w:r>
          </w:p>
        </w:tc>
        <w:tc>
          <w:tcPr>
            <w:tcW w:w="10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712.00</w:t>
            </w:r>
          </w:p>
        </w:tc>
        <w:tc>
          <w:tcPr>
            <w:tcW w:w="18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890.00</w:t>
            </w:r>
          </w:p>
        </w:tc>
        <w:tc>
          <w:tcPr>
            <w:tcW w:w="20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1,068.00</w:t>
            </w:r>
          </w:p>
        </w:tc>
        <w:tc>
          <w:tcPr>
            <w:tcW w:w="940" w:type="dxa"/>
            <w:vAlign w:val="bottom"/>
            <w:gridSpan w:val="2"/>
            <w:shd w:val="clear" w:color="auto" w:fill="C6D9F1"/>
          </w:tcPr>
          <w:p>
            <w:pPr>
              <w:ind w:left="100"/>
              <w:spacing w:after="0"/>
              <w:rPr>
                <w:sz w:val="20"/>
                <w:szCs w:val="20"/>
                <w:color w:val="auto"/>
              </w:rPr>
            </w:pPr>
            <w:r>
              <w:rPr>
                <w:rFonts w:ascii="Arial" w:cs="Arial" w:eastAsia="Arial" w:hAnsi="Arial"/>
                <w:sz w:val="16"/>
                <w:szCs w:val="16"/>
                <w:color w:val="auto"/>
              </w:rPr>
              <w:t>$ 847.45</w:t>
            </w:r>
          </w:p>
        </w:tc>
        <w:tc>
          <w:tcPr>
            <w:tcW w:w="34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40"/>
          </w:cols>
          <w:pgMar w:left="320" w:top="646"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9"/>
        </w:trPr>
        <w:tc>
          <w:tcPr>
            <w:tcW w:w="1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Weight</w:t>
            </w:r>
          </w:p>
        </w:tc>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7"/>
          </w:tcPr>
          <w:p>
            <w:pPr>
              <w:jc w:val="right"/>
              <w:ind w:right="140"/>
              <w:spacing w:after="0"/>
              <w:rPr>
                <w:sz w:val="20"/>
                <w:szCs w:val="20"/>
                <w:color w:val="auto"/>
              </w:rPr>
            </w:pPr>
            <w:r>
              <w:rPr>
                <w:rFonts w:ascii="Arial" w:cs="Arial" w:eastAsia="Arial" w:hAnsi="Arial"/>
                <w:sz w:val="13"/>
                <w:szCs w:val="13"/>
                <w:b w:val="1"/>
                <w:bCs w:val="1"/>
                <w:color w:val="auto"/>
                <w:w w:val="95"/>
              </w:rPr>
              <w:t>LS Group Performance Levels</w:t>
            </w:r>
          </w:p>
        </w:tc>
        <w:tc>
          <w:tcPr>
            <w:tcW w:w="8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10"/>
        </w:trPr>
        <w:tc>
          <w:tcPr>
            <w:tcW w:w="1140" w:type="dxa"/>
            <w:vAlign w:val="bottom"/>
            <w:gridSpan w:val="2"/>
            <w:vMerge w:val="continue"/>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by Goal</w:t>
            </w:r>
          </w:p>
        </w:tc>
        <w:tc>
          <w:tcPr>
            <w:tcW w:w="602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0"/>
              </w:rPr>
              <w:t>Life Sciences Group Financial Goals</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2"/>
              </w:rPr>
              <w:t>Threshold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line="148"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6"/>
              </w:rPr>
              <w:t>Maximum</w:t>
            </w:r>
          </w:p>
        </w:tc>
        <w:tc>
          <w:tcPr>
            <w:tcW w:w="80" w:type="dxa"/>
            <w:vAlign w:val="bottom"/>
          </w:tcPr>
          <w:p>
            <w:pPr>
              <w:spacing w:after="0"/>
              <w:rPr>
                <w:sz w:val="13"/>
                <w:szCs w:val="13"/>
                <w:color w:val="auto"/>
              </w:rPr>
            </w:pPr>
          </w:p>
        </w:tc>
        <w:tc>
          <w:tcPr>
            <w:tcW w:w="11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Results</w:t>
            </w:r>
          </w:p>
        </w:tc>
        <w:tc>
          <w:tcPr>
            <w:tcW w:w="0" w:type="dxa"/>
            <w:vAlign w:val="bottom"/>
          </w:tcPr>
          <w:p>
            <w:pPr>
              <w:spacing w:after="0"/>
              <w:rPr>
                <w:sz w:val="1"/>
                <w:szCs w:val="1"/>
                <w:color w:val="auto"/>
              </w:rPr>
            </w:pPr>
          </w:p>
        </w:tc>
      </w:tr>
      <w:tr>
        <w:trPr>
          <w:trHeight w:val="148"/>
        </w:trPr>
        <w:tc>
          <w:tcPr>
            <w:tcW w:w="740" w:type="dxa"/>
            <w:vAlign w:val="bottom"/>
            <w:tcBorders>
              <w:top w:val="single" w:sz="8" w:color="auto"/>
              <w:bottom w:val="single" w:sz="8" w:color="C6D9F1"/>
            </w:tcBorders>
          </w:tcPr>
          <w:p>
            <w:pPr>
              <w:spacing w:after="0"/>
              <w:rPr>
                <w:sz w:val="12"/>
                <w:szCs w:val="12"/>
                <w:color w:val="auto"/>
              </w:rPr>
            </w:pPr>
          </w:p>
        </w:tc>
        <w:tc>
          <w:tcPr>
            <w:tcW w:w="400" w:type="dxa"/>
            <w:vAlign w:val="bottom"/>
            <w:tcBorders>
              <w:bottom w:val="single" w:sz="8" w:color="C6D9F1"/>
            </w:tcBorders>
          </w:tcPr>
          <w:p>
            <w:pPr>
              <w:spacing w:after="0"/>
              <w:rPr>
                <w:sz w:val="12"/>
                <w:szCs w:val="12"/>
                <w:color w:val="auto"/>
              </w:rPr>
            </w:pPr>
          </w:p>
        </w:tc>
        <w:tc>
          <w:tcPr>
            <w:tcW w:w="5920" w:type="dxa"/>
            <w:vAlign w:val="bottom"/>
            <w:tcBorders>
              <w:top w:val="single" w:sz="8" w:color="auto"/>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2"/>
              </w:rPr>
              <w:t>Payout Level</w:t>
            </w:r>
          </w:p>
        </w:tc>
        <w:tc>
          <w:tcPr>
            <w:tcW w:w="100" w:type="dxa"/>
            <w:vAlign w:val="bottom"/>
            <w:tcBorders>
              <w:bottom w:val="single" w:sz="8" w:color="C6D9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4"/>
              <w:spacing w:after="0" w:line="148" w:lineRule="exact"/>
              <w:rPr>
                <w:sz w:val="20"/>
                <w:szCs w:val="20"/>
                <w:color w:val="auto"/>
              </w:rPr>
            </w:pPr>
            <w:r>
              <w:rPr>
                <w:rFonts w:ascii="Arial" w:cs="Arial" w:eastAsia="Arial" w:hAnsi="Arial"/>
                <w:sz w:val="13"/>
                <w:szCs w:val="13"/>
                <w:b w:val="1"/>
                <w:bCs w:val="1"/>
                <w:color w:val="auto"/>
                <w:w w:val="99"/>
              </w:rPr>
              <w:t>50%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8" w:lineRule="exact"/>
              <w:rPr>
                <w:sz w:val="20"/>
                <w:szCs w:val="20"/>
                <w:color w:val="auto"/>
              </w:rPr>
            </w:pPr>
            <w:r>
              <w:rPr>
                <w:rFonts w:ascii="Arial" w:cs="Arial" w:eastAsia="Arial" w:hAnsi="Arial"/>
                <w:sz w:val="13"/>
                <w:szCs w:val="13"/>
                <w:b w:val="1"/>
                <w:bCs w:val="1"/>
                <w:color w:val="auto"/>
              </w:rPr>
              <w:t>100%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44"/>
              <w:spacing w:after="0" w:line="148" w:lineRule="exact"/>
              <w:rPr>
                <w:sz w:val="20"/>
                <w:szCs w:val="20"/>
                <w:color w:val="auto"/>
              </w:rPr>
            </w:pPr>
            <w:r>
              <w:rPr>
                <w:rFonts w:ascii="Arial" w:cs="Arial" w:eastAsia="Arial" w:hAnsi="Arial"/>
                <w:sz w:val="13"/>
                <w:szCs w:val="13"/>
                <w:b w:val="1"/>
                <w:bCs w:val="1"/>
                <w:color w:val="auto"/>
              </w:rPr>
              <w:t>150%</w:t>
            </w:r>
          </w:p>
        </w:tc>
        <w:tc>
          <w:tcPr>
            <w:tcW w:w="10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840" w:type="dxa"/>
            <w:vAlign w:val="bottom"/>
            <w:tcBorders>
              <w:top w:val="single" w:sz="8" w:color="auto"/>
              <w:bottom w:val="single" w:sz="8" w:color="C6D9F1"/>
            </w:tcBorders>
          </w:tcPr>
          <w:p>
            <w:pPr>
              <w:spacing w:after="0"/>
              <w:rPr>
                <w:sz w:val="12"/>
                <w:szCs w:val="12"/>
                <w:color w:val="auto"/>
              </w:rPr>
            </w:pPr>
          </w:p>
        </w:tc>
        <w:tc>
          <w:tcPr>
            <w:tcW w:w="340" w:type="dxa"/>
            <w:vAlign w:val="bottom"/>
            <w:tcBorders>
              <w:bottom w:val="single" w:sz="8" w:color="C6D9F1"/>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40 %</w:t>
            </w:r>
          </w:p>
        </w:tc>
        <w:tc>
          <w:tcPr>
            <w:tcW w:w="5920" w:type="dxa"/>
            <w:vAlign w:val="bottom"/>
            <w:shd w:val="clear" w:color="auto" w:fill="C6D9F1"/>
          </w:tcPr>
          <w:p>
            <w:pPr>
              <w:spacing w:after="0" w:line="190" w:lineRule="exact"/>
              <w:rPr>
                <w:sz w:val="20"/>
                <w:szCs w:val="20"/>
                <w:color w:val="auto"/>
              </w:rPr>
            </w:pPr>
            <w:r>
              <w:rPr>
                <w:rFonts w:ascii="Arial" w:cs="Arial" w:eastAsia="Arial" w:hAnsi="Arial"/>
                <w:sz w:val="16"/>
                <w:szCs w:val="16"/>
                <w:color w:val="auto"/>
              </w:rPr>
              <w:t>Group Adjusted Operating Margin</w:t>
            </w:r>
            <w:r>
              <w:rPr>
                <w:rFonts w:ascii="Arial" w:cs="Arial" w:eastAsia="Arial" w:hAnsi="Arial"/>
                <w:sz w:val="22"/>
                <w:szCs w:val="22"/>
                <w:color w:val="auto"/>
                <w:vertAlign w:val="superscript"/>
              </w:rPr>
              <w:t>(5)</w:t>
            </w:r>
          </w:p>
        </w:tc>
        <w:tc>
          <w:tcPr>
            <w:tcW w:w="100" w:type="dxa"/>
            <w:vAlign w:val="bottom"/>
            <w:shd w:val="clear" w:color="auto" w:fill="C6D9F1"/>
          </w:tcPr>
          <w:p>
            <w:pPr>
              <w:spacing w:after="0"/>
              <w:rPr>
                <w:sz w:val="16"/>
                <w:szCs w:val="16"/>
                <w:color w:val="auto"/>
              </w:rPr>
            </w:pPr>
          </w:p>
        </w:tc>
        <w:tc>
          <w:tcPr>
            <w:tcW w:w="100" w:type="dxa"/>
            <w:vAlign w:val="bottom"/>
            <w:shd w:val="clear" w:color="auto" w:fill="C6D9F1"/>
          </w:tcPr>
          <w:p>
            <w:pPr>
              <w:spacing w:after="0"/>
              <w:rPr>
                <w:sz w:val="16"/>
                <w:szCs w:val="16"/>
                <w:color w:val="auto"/>
              </w:rPr>
            </w:pPr>
          </w:p>
        </w:tc>
        <w:tc>
          <w:tcPr>
            <w:tcW w:w="7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7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6D9F1"/>
          </w:tcPr>
          <w:p>
            <w:pPr>
              <w:spacing w:after="0"/>
              <w:rPr>
                <w:sz w:val="16"/>
                <w:szCs w:val="16"/>
                <w:color w:val="auto"/>
              </w:rPr>
            </w:pP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21.10%</w:t>
            </w:r>
          </w:p>
        </w:tc>
        <w:tc>
          <w:tcPr>
            <w:tcW w:w="340" w:type="dxa"/>
            <w:vAlign w:val="bottom"/>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60" w:type="dxa"/>
            <w:vAlign w:val="bottom"/>
            <w:gridSpan w:val="4"/>
          </w:tcPr>
          <w:p>
            <w:pPr>
              <w:ind w:left="580"/>
              <w:spacing w:after="0" w:line="198" w:lineRule="exact"/>
              <w:rPr>
                <w:sz w:val="20"/>
                <w:szCs w:val="20"/>
                <w:color w:val="auto"/>
              </w:rPr>
            </w:pPr>
            <w:r>
              <w:rPr>
                <w:rFonts w:ascii="Arial" w:cs="Arial" w:eastAsia="Arial" w:hAnsi="Arial"/>
                <w:sz w:val="16"/>
                <w:szCs w:val="16"/>
                <w:color w:val="auto"/>
              </w:rPr>
              <w:t>40 %   Group Free Cash Flow</w:t>
            </w:r>
            <w:r>
              <w:rPr>
                <w:rFonts w:ascii="Arial" w:cs="Arial" w:eastAsia="Arial" w:hAnsi="Arial"/>
                <w:sz w:val="22"/>
                <w:szCs w:val="22"/>
                <w:color w:val="auto"/>
                <w:vertAlign w:val="superscript"/>
              </w:rPr>
              <w:t>(3)(4)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31.52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39.40</w:t>
            </w: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47.28</w:t>
            </w:r>
          </w:p>
        </w:tc>
        <w:tc>
          <w:tcPr>
            <w:tcW w:w="920" w:type="dxa"/>
            <w:vAlign w:val="bottom"/>
            <w:gridSpan w:val="2"/>
          </w:tcPr>
          <w:p>
            <w:pPr>
              <w:ind w:left="80"/>
              <w:spacing w:after="0"/>
              <w:rPr>
                <w:sz w:val="20"/>
                <w:szCs w:val="20"/>
                <w:color w:val="auto"/>
              </w:rPr>
            </w:pPr>
            <w:r>
              <w:rPr>
                <w:rFonts w:ascii="Arial" w:cs="Arial" w:eastAsia="Arial" w:hAnsi="Arial"/>
                <w:sz w:val="16"/>
                <w:szCs w:val="16"/>
                <w:color w:val="auto"/>
              </w:rPr>
              <w:t>$50.75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20 %</w:t>
            </w:r>
          </w:p>
        </w:tc>
        <w:tc>
          <w:tcPr>
            <w:tcW w:w="6020" w:type="dxa"/>
            <w:vAlign w:val="bottom"/>
            <w:gridSpan w:val="2"/>
            <w:shd w:val="clear" w:color="auto" w:fill="C6D9F1"/>
          </w:tcPr>
          <w:p>
            <w:pPr>
              <w:spacing w:after="0" w:line="198" w:lineRule="exact"/>
              <w:rPr>
                <w:sz w:val="20"/>
                <w:szCs w:val="20"/>
                <w:color w:val="auto"/>
              </w:rPr>
            </w:pPr>
            <w:r>
              <w:rPr>
                <w:rFonts w:ascii="Arial" w:cs="Arial" w:eastAsia="Arial" w:hAnsi="Arial"/>
                <w:sz w:val="16"/>
                <w:szCs w:val="16"/>
                <w:color w:val="auto"/>
              </w:rPr>
              <w:t>Group Net Sales</w:t>
            </w:r>
            <w:r>
              <w:rPr>
                <w:rFonts w:ascii="Arial" w:cs="Arial" w:eastAsia="Arial" w:hAnsi="Arial"/>
                <w:sz w:val="22"/>
                <w:szCs w:val="22"/>
                <w:color w:val="auto"/>
                <w:vertAlign w:val="superscript"/>
              </w:rPr>
              <w:t>(4)</w:t>
            </w:r>
          </w:p>
        </w:tc>
        <w:tc>
          <w:tcPr>
            <w:tcW w:w="10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275.04</w:t>
            </w:r>
          </w:p>
        </w:tc>
        <w:tc>
          <w:tcPr>
            <w:tcW w:w="20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343.80</w:t>
            </w:r>
          </w:p>
        </w:tc>
        <w:tc>
          <w:tcPr>
            <w:tcW w:w="200" w:type="dxa"/>
            <w:vAlign w:val="bottom"/>
            <w:gridSpan w:val="2"/>
            <w:shd w:val="clear" w:color="auto" w:fill="C6D9F1"/>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6D9F1"/>
          </w:tcPr>
          <w:p>
            <w:pPr>
              <w:jc w:val="right"/>
              <w:ind w:right="100"/>
              <w:spacing w:after="0"/>
              <w:rPr>
                <w:sz w:val="20"/>
                <w:szCs w:val="20"/>
                <w:color w:val="auto"/>
              </w:rPr>
            </w:pPr>
            <w:r>
              <w:rPr>
                <w:rFonts w:ascii="Arial" w:cs="Arial" w:eastAsia="Arial" w:hAnsi="Arial"/>
                <w:sz w:val="16"/>
                <w:szCs w:val="16"/>
                <w:color w:val="auto"/>
              </w:rPr>
              <w:t>412.56</w:t>
            </w: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$359.73</w:t>
            </w:r>
          </w:p>
        </w:tc>
        <w:tc>
          <w:tcPr>
            <w:tcW w:w="34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Weight</w:t>
            </w: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7"/>
          </w:tcPr>
          <w:p>
            <w:pPr>
              <w:jc w:val="right"/>
              <w:ind w:right="120"/>
              <w:spacing w:after="0"/>
              <w:rPr>
                <w:sz w:val="20"/>
                <w:szCs w:val="20"/>
                <w:color w:val="auto"/>
              </w:rPr>
            </w:pPr>
            <w:r>
              <w:rPr>
                <w:rFonts w:ascii="Arial" w:cs="Arial" w:eastAsia="Arial" w:hAnsi="Arial"/>
                <w:sz w:val="13"/>
                <w:szCs w:val="13"/>
                <w:b w:val="1"/>
                <w:bCs w:val="1"/>
                <w:color w:val="auto"/>
                <w:w w:val="95"/>
              </w:rPr>
              <w:t>MS Group Performance Levels</w:t>
            </w:r>
          </w:p>
        </w:tc>
        <w:tc>
          <w:tcPr>
            <w:tcW w:w="80" w:type="dxa"/>
            <w:vAlign w:val="bottom"/>
          </w:tcPr>
          <w:p>
            <w:pPr>
              <w:spacing w:after="0"/>
              <w:rPr>
                <w:sz w:val="24"/>
                <w:szCs w:val="2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10"/>
        </w:trPr>
        <w:tc>
          <w:tcPr>
            <w:tcW w:w="1140" w:type="dxa"/>
            <w:vAlign w:val="bottom"/>
            <w:gridSpan w:val="2"/>
            <w:vMerge w:val="continue"/>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by Goal</w:t>
            </w:r>
          </w:p>
        </w:tc>
        <w:tc>
          <w:tcPr>
            <w:tcW w:w="60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1"/>
              </w:rPr>
              <w:t>Mobile Solutions Group Financial Goals</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2"/>
              </w:rPr>
              <w:t>Threshold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line="148"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6"/>
              </w:rPr>
              <w:t>Maximum</w:t>
            </w:r>
          </w:p>
        </w:tc>
        <w:tc>
          <w:tcPr>
            <w:tcW w:w="80" w:type="dxa"/>
            <w:vAlign w:val="bottom"/>
          </w:tcPr>
          <w:p>
            <w:pPr>
              <w:spacing w:after="0"/>
              <w:rPr>
                <w:sz w:val="13"/>
                <w:szCs w:val="13"/>
                <w:color w:val="auto"/>
              </w:rPr>
            </w:pPr>
          </w:p>
        </w:tc>
        <w:tc>
          <w:tcPr>
            <w:tcW w:w="11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Results</w:t>
            </w:r>
          </w:p>
        </w:tc>
        <w:tc>
          <w:tcPr>
            <w:tcW w:w="0" w:type="dxa"/>
            <w:vAlign w:val="bottom"/>
          </w:tcPr>
          <w:p>
            <w:pPr>
              <w:spacing w:after="0"/>
              <w:rPr>
                <w:sz w:val="1"/>
                <w:szCs w:val="1"/>
                <w:color w:val="auto"/>
              </w:rPr>
            </w:pPr>
          </w:p>
        </w:tc>
      </w:tr>
      <w:tr>
        <w:trPr>
          <w:trHeight w:val="148"/>
        </w:trPr>
        <w:tc>
          <w:tcPr>
            <w:tcW w:w="740" w:type="dxa"/>
            <w:vAlign w:val="bottom"/>
            <w:tcBorders>
              <w:top w:val="single" w:sz="8" w:color="auto"/>
              <w:bottom w:val="single" w:sz="8" w:color="C6D9F1"/>
            </w:tcBorders>
          </w:tcPr>
          <w:p>
            <w:pPr>
              <w:spacing w:after="0"/>
              <w:rPr>
                <w:sz w:val="12"/>
                <w:szCs w:val="12"/>
                <w:color w:val="auto"/>
              </w:rPr>
            </w:pPr>
          </w:p>
        </w:tc>
        <w:tc>
          <w:tcPr>
            <w:tcW w:w="400" w:type="dxa"/>
            <w:vAlign w:val="bottom"/>
            <w:tcBorders>
              <w:bottom w:val="single" w:sz="8" w:color="C6D9F1"/>
            </w:tcBorders>
          </w:tcPr>
          <w:p>
            <w:pPr>
              <w:spacing w:after="0"/>
              <w:rPr>
                <w:sz w:val="12"/>
                <w:szCs w:val="12"/>
                <w:color w:val="auto"/>
              </w:rPr>
            </w:pPr>
          </w:p>
        </w:tc>
        <w:tc>
          <w:tcPr>
            <w:tcW w:w="5920" w:type="dxa"/>
            <w:vAlign w:val="bottom"/>
            <w:tcBorders>
              <w:top w:val="single" w:sz="8" w:color="auto"/>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2"/>
              </w:rPr>
              <w:t>Payout Level</w:t>
            </w:r>
          </w:p>
        </w:tc>
        <w:tc>
          <w:tcPr>
            <w:tcW w:w="100" w:type="dxa"/>
            <w:vAlign w:val="bottom"/>
            <w:tcBorders>
              <w:bottom w:val="single" w:sz="8" w:color="C6D9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4"/>
              <w:spacing w:after="0" w:line="148" w:lineRule="exact"/>
              <w:rPr>
                <w:sz w:val="20"/>
                <w:szCs w:val="20"/>
                <w:color w:val="auto"/>
              </w:rPr>
            </w:pPr>
            <w:r>
              <w:rPr>
                <w:rFonts w:ascii="Arial" w:cs="Arial" w:eastAsia="Arial" w:hAnsi="Arial"/>
                <w:sz w:val="13"/>
                <w:szCs w:val="13"/>
                <w:b w:val="1"/>
                <w:bCs w:val="1"/>
                <w:color w:val="auto"/>
                <w:w w:val="99"/>
              </w:rPr>
              <w:t>50%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8" w:lineRule="exact"/>
              <w:rPr>
                <w:sz w:val="20"/>
                <w:szCs w:val="20"/>
                <w:color w:val="auto"/>
              </w:rPr>
            </w:pPr>
            <w:r>
              <w:rPr>
                <w:rFonts w:ascii="Arial" w:cs="Arial" w:eastAsia="Arial" w:hAnsi="Arial"/>
                <w:sz w:val="13"/>
                <w:szCs w:val="13"/>
                <w:b w:val="1"/>
                <w:bCs w:val="1"/>
                <w:color w:val="auto"/>
              </w:rPr>
              <w:t>100%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44"/>
              <w:spacing w:after="0" w:line="148" w:lineRule="exact"/>
              <w:rPr>
                <w:sz w:val="20"/>
                <w:szCs w:val="20"/>
                <w:color w:val="auto"/>
              </w:rPr>
            </w:pPr>
            <w:r>
              <w:rPr>
                <w:rFonts w:ascii="Arial" w:cs="Arial" w:eastAsia="Arial" w:hAnsi="Arial"/>
                <w:sz w:val="13"/>
                <w:szCs w:val="13"/>
                <w:b w:val="1"/>
                <w:bCs w:val="1"/>
                <w:color w:val="auto"/>
              </w:rPr>
              <w:t>150%</w:t>
            </w:r>
          </w:p>
        </w:tc>
        <w:tc>
          <w:tcPr>
            <w:tcW w:w="10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840" w:type="dxa"/>
            <w:vAlign w:val="bottom"/>
            <w:tcBorders>
              <w:top w:val="single" w:sz="8" w:color="auto"/>
              <w:bottom w:val="single" w:sz="8" w:color="C6D9F1"/>
            </w:tcBorders>
          </w:tcPr>
          <w:p>
            <w:pPr>
              <w:spacing w:after="0"/>
              <w:rPr>
                <w:sz w:val="12"/>
                <w:szCs w:val="12"/>
                <w:color w:val="auto"/>
              </w:rPr>
            </w:pPr>
          </w:p>
        </w:tc>
        <w:tc>
          <w:tcPr>
            <w:tcW w:w="340" w:type="dxa"/>
            <w:vAlign w:val="bottom"/>
            <w:tcBorders>
              <w:bottom w:val="single" w:sz="8" w:color="C6D9F1"/>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40 %</w:t>
            </w:r>
          </w:p>
        </w:tc>
        <w:tc>
          <w:tcPr>
            <w:tcW w:w="5920" w:type="dxa"/>
            <w:vAlign w:val="bottom"/>
            <w:shd w:val="clear" w:color="auto" w:fill="C6D9F1"/>
          </w:tcPr>
          <w:p>
            <w:pPr>
              <w:spacing w:after="0"/>
              <w:rPr>
                <w:sz w:val="20"/>
                <w:szCs w:val="20"/>
                <w:color w:val="auto"/>
              </w:rPr>
            </w:pPr>
            <w:r>
              <w:rPr>
                <w:rFonts w:ascii="Arial" w:cs="Arial" w:eastAsia="Arial" w:hAnsi="Arial"/>
                <w:sz w:val="16"/>
                <w:szCs w:val="16"/>
                <w:color w:val="auto"/>
              </w:rPr>
              <w:t>Group Adjusted Operating Margin (inclusive of JV)</w:t>
            </w:r>
          </w:p>
        </w:tc>
        <w:tc>
          <w:tcPr>
            <w:tcW w:w="100" w:type="dxa"/>
            <w:vAlign w:val="bottom"/>
            <w:shd w:val="clear" w:color="auto" w:fill="C6D9F1"/>
          </w:tcPr>
          <w:p>
            <w:pPr>
              <w:spacing w:after="0"/>
              <w:rPr>
                <w:sz w:val="16"/>
                <w:szCs w:val="16"/>
                <w:color w:val="auto"/>
              </w:rPr>
            </w:pPr>
          </w:p>
        </w:tc>
        <w:tc>
          <w:tcPr>
            <w:tcW w:w="100" w:type="dxa"/>
            <w:vAlign w:val="bottom"/>
            <w:shd w:val="clear" w:color="auto" w:fill="C6D9F1"/>
          </w:tcPr>
          <w:p>
            <w:pPr>
              <w:spacing w:after="0"/>
              <w:rPr>
                <w:sz w:val="16"/>
                <w:szCs w:val="16"/>
                <w:color w:val="auto"/>
              </w:rPr>
            </w:pPr>
          </w:p>
        </w:tc>
        <w:tc>
          <w:tcPr>
            <w:tcW w:w="7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7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6D9F1"/>
          </w:tcPr>
          <w:p>
            <w:pPr>
              <w:spacing w:after="0"/>
              <w:rPr>
                <w:sz w:val="16"/>
                <w:szCs w:val="16"/>
                <w:color w:val="auto"/>
              </w:rPr>
            </w:pP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6.60%</w:t>
            </w:r>
          </w:p>
        </w:tc>
        <w:tc>
          <w:tcPr>
            <w:tcW w:w="340" w:type="dxa"/>
            <w:vAlign w:val="bottom"/>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60" w:type="dxa"/>
            <w:vAlign w:val="bottom"/>
            <w:gridSpan w:val="4"/>
          </w:tcPr>
          <w:p>
            <w:pPr>
              <w:ind w:left="580"/>
              <w:spacing w:after="0" w:line="198" w:lineRule="exact"/>
              <w:rPr>
                <w:sz w:val="20"/>
                <w:szCs w:val="20"/>
                <w:color w:val="auto"/>
              </w:rPr>
            </w:pPr>
            <w:r>
              <w:rPr>
                <w:rFonts w:ascii="Arial" w:cs="Arial" w:eastAsia="Arial" w:hAnsi="Arial"/>
                <w:sz w:val="16"/>
                <w:szCs w:val="16"/>
                <w:color w:val="auto"/>
              </w:rPr>
              <w:t>40 %   Group Free Cash Flow</w:t>
            </w:r>
            <w:r>
              <w:rPr>
                <w:rFonts w:ascii="Arial" w:cs="Arial" w:eastAsia="Arial" w:hAnsi="Arial"/>
                <w:sz w:val="22"/>
                <w:szCs w:val="22"/>
                <w:color w:val="auto"/>
                <w:vertAlign w:val="superscript"/>
              </w:rPr>
              <w:t>(3)(4)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18.16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22.70</w:t>
            </w: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27.24</w:t>
            </w:r>
          </w:p>
        </w:tc>
        <w:tc>
          <w:tcPr>
            <w:tcW w:w="920" w:type="dxa"/>
            <w:vAlign w:val="bottom"/>
            <w:gridSpan w:val="2"/>
          </w:tcPr>
          <w:p>
            <w:pPr>
              <w:ind w:left="80"/>
              <w:spacing w:after="0"/>
              <w:rPr>
                <w:sz w:val="20"/>
                <w:szCs w:val="20"/>
                <w:color w:val="auto"/>
              </w:rPr>
            </w:pPr>
            <w:r>
              <w:rPr>
                <w:rFonts w:ascii="Arial" w:cs="Arial" w:eastAsia="Arial" w:hAnsi="Arial"/>
                <w:sz w:val="16"/>
                <w:szCs w:val="16"/>
                <w:color w:val="auto"/>
              </w:rPr>
              <w:t>$1.26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20 %</w:t>
            </w:r>
          </w:p>
        </w:tc>
        <w:tc>
          <w:tcPr>
            <w:tcW w:w="6020" w:type="dxa"/>
            <w:vAlign w:val="bottom"/>
            <w:gridSpan w:val="2"/>
            <w:shd w:val="clear" w:color="auto" w:fill="C6D9F1"/>
          </w:tcPr>
          <w:p>
            <w:pPr>
              <w:spacing w:after="0" w:line="198" w:lineRule="exact"/>
              <w:rPr>
                <w:sz w:val="20"/>
                <w:szCs w:val="20"/>
                <w:color w:val="auto"/>
              </w:rPr>
            </w:pPr>
            <w:r>
              <w:rPr>
                <w:rFonts w:ascii="Arial" w:cs="Arial" w:eastAsia="Arial" w:hAnsi="Arial"/>
                <w:sz w:val="16"/>
                <w:szCs w:val="16"/>
                <w:color w:val="auto"/>
              </w:rPr>
              <w:t>Group Net Sales</w:t>
            </w:r>
            <w:r>
              <w:rPr>
                <w:rFonts w:ascii="Arial" w:cs="Arial" w:eastAsia="Arial" w:hAnsi="Arial"/>
                <w:sz w:val="22"/>
                <w:szCs w:val="22"/>
                <w:color w:val="auto"/>
                <w:vertAlign w:val="superscript"/>
              </w:rPr>
              <w:t>(4)</w:t>
            </w:r>
          </w:p>
        </w:tc>
        <w:tc>
          <w:tcPr>
            <w:tcW w:w="10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282.64</w:t>
            </w:r>
          </w:p>
        </w:tc>
        <w:tc>
          <w:tcPr>
            <w:tcW w:w="20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353.30</w:t>
            </w:r>
          </w:p>
        </w:tc>
        <w:tc>
          <w:tcPr>
            <w:tcW w:w="200" w:type="dxa"/>
            <w:vAlign w:val="bottom"/>
            <w:gridSpan w:val="2"/>
            <w:shd w:val="clear" w:color="auto" w:fill="C6D9F1"/>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6D9F1"/>
          </w:tcPr>
          <w:p>
            <w:pPr>
              <w:jc w:val="right"/>
              <w:ind w:right="100"/>
              <w:spacing w:after="0"/>
              <w:rPr>
                <w:sz w:val="20"/>
                <w:szCs w:val="20"/>
                <w:color w:val="auto"/>
              </w:rPr>
            </w:pPr>
            <w:r>
              <w:rPr>
                <w:rFonts w:ascii="Arial" w:cs="Arial" w:eastAsia="Arial" w:hAnsi="Arial"/>
                <w:sz w:val="16"/>
                <w:szCs w:val="16"/>
                <w:color w:val="auto"/>
              </w:rPr>
              <w:t>423.96</w:t>
            </w: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$ 297.75</w:t>
            </w:r>
          </w:p>
        </w:tc>
        <w:tc>
          <w:tcPr>
            <w:tcW w:w="34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11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Weight</w:t>
            </w: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91"/>
              </w:rPr>
              <w:t>PS Group Performance Levels</w:t>
            </w:r>
          </w:p>
        </w:tc>
        <w:tc>
          <w:tcPr>
            <w:tcW w:w="80" w:type="dxa"/>
            <w:vAlign w:val="bottom"/>
          </w:tcPr>
          <w:p>
            <w:pPr>
              <w:spacing w:after="0"/>
              <w:rPr>
                <w:sz w:val="24"/>
                <w:szCs w:val="2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10"/>
        </w:trPr>
        <w:tc>
          <w:tcPr>
            <w:tcW w:w="1140" w:type="dxa"/>
            <w:vAlign w:val="bottom"/>
            <w:gridSpan w:val="2"/>
            <w:vMerge w:val="continue"/>
          </w:tcPr>
          <w:p>
            <w:pPr>
              <w:spacing w:after="0"/>
              <w:rPr>
                <w:sz w:val="9"/>
                <w:szCs w:val="9"/>
                <w:color w:val="auto"/>
              </w:rPr>
            </w:pPr>
          </w:p>
        </w:tc>
        <w:tc>
          <w:tcPr>
            <w:tcW w:w="5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by Goal</w:t>
            </w:r>
          </w:p>
        </w:tc>
        <w:tc>
          <w:tcPr>
            <w:tcW w:w="602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w w:val="90"/>
              </w:rPr>
              <w:t>Power Solutions Group Financial Goals</w:t>
            </w: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48" w:lineRule="exact"/>
              <w:rPr>
                <w:sz w:val="20"/>
                <w:szCs w:val="20"/>
                <w:color w:val="auto"/>
              </w:rPr>
            </w:pPr>
            <w:r>
              <w:rPr>
                <w:rFonts w:ascii="Arial" w:cs="Arial" w:eastAsia="Arial" w:hAnsi="Arial"/>
                <w:sz w:val="13"/>
                <w:szCs w:val="13"/>
                <w:b w:val="1"/>
                <w:bCs w:val="1"/>
                <w:color w:val="auto"/>
                <w:w w:val="92"/>
              </w:rPr>
              <w:t>Threshold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line="148" w:lineRule="exact"/>
              <w:rPr>
                <w:sz w:val="20"/>
                <w:szCs w:val="20"/>
                <w:color w:val="auto"/>
              </w:rPr>
            </w:pPr>
            <w:r>
              <w:rPr>
                <w:rFonts w:ascii="Arial" w:cs="Arial" w:eastAsia="Arial" w:hAnsi="Arial"/>
                <w:sz w:val="13"/>
                <w:szCs w:val="13"/>
                <w:b w:val="1"/>
                <w:bCs w:val="1"/>
                <w:color w:val="auto"/>
              </w:rPr>
              <w:t>Target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6"/>
              </w:rPr>
              <w:t>Maximum</w:t>
            </w:r>
          </w:p>
        </w:tc>
        <w:tc>
          <w:tcPr>
            <w:tcW w:w="80" w:type="dxa"/>
            <w:vAlign w:val="bottom"/>
          </w:tcPr>
          <w:p>
            <w:pPr>
              <w:spacing w:after="0"/>
              <w:rPr>
                <w:sz w:val="13"/>
                <w:szCs w:val="13"/>
                <w:color w:val="auto"/>
              </w:rPr>
            </w:pPr>
          </w:p>
        </w:tc>
        <w:tc>
          <w:tcPr>
            <w:tcW w:w="118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auto"/>
              </w:rPr>
              <w:t>Results</w:t>
            </w:r>
          </w:p>
        </w:tc>
        <w:tc>
          <w:tcPr>
            <w:tcW w:w="0" w:type="dxa"/>
            <w:vAlign w:val="bottom"/>
          </w:tcPr>
          <w:p>
            <w:pPr>
              <w:spacing w:after="0"/>
              <w:rPr>
                <w:sz w:val="1"/>
                <w:szCs w:val="1"/>
                <w:color w:val="auto"/>
              </w:rPr>
            </w:pPr>
          </w:p>
        </w:tc>
      </w:tr>
      <w:tr>
        <w:trPr>
          <w:trHeight w:val="148"/>
        </w:trPr>
        <w:tc>
          <w:tcPr>
            <w:tcW w:w="740" w:type="dxa"/>
            <w:vAlign w:val="bottom"/>
            <w:tcBorders>
              <w:top w:val="single" w:sz="8" w:color="auto"/>
              <w:bottom w:val="single" w:sz="8" w:color="C6D9F1"/>
            </w:tcBorders>
          </w:tcPr>
          <w:p>
            <w:pPr>
              <w:spacing w:after="0"/>
              <w:rPr>
                <w:sz w:val="12"/>
                <w:szCs w:val="12"/>
                <w:color w:val="auto"/>
              </w:rPr>
            </w:pPr>
          </w:p>
        </w:tc>
        <w:tc>
          <w:tcPr>
            <w:tcW w:w="400" w:type="dxa"/>
            <w:vAlign w:val="bottom"/>
            <w:tcBorders>
              <w:bottom w:val="single" w:sz="8" w:color="C6D9F1"/>
            </w:tcBorders>
          </w:tcPr>
          <w:p>
            <w:pPr>
              <w:spacing w:after="0"/>
              <w:rPr>
                <w:sz w:val="12"/>
                <w:szCs w:val="12"/>
                <w:color w:val="auto"/>
              </w:rPr>
            </w:pPr>
          </w:p>
        </w:tc>
        <w:tc>
          <w:tcPr>
            <w:tcW w:w="5920" w:type="dxa"/>
            <w:vAlign w:val="bottom"/>
            <w:tcBorders>
              <w:top w:val="single" w:sz="8" w:color="auto"/>
              <w:bottom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2"/>
              </w:rPr>
              <w:t>Payout Level</w:t>
            </w:r>
          </w:p>
        </w:tc>
        <w:tc>
          <w:tcPr>
            <w:tcW w:w="100" w:type="dxa"/>
            <w:vAlign w:val="bottom"/>
            <w:tcBorders>
              <w:bottom w:val="single" w:sz="8" w:color="C6D9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24"/>
              <w:spacing w:after="0" w:line="148" w:lineRule="exact"/>
              <w:rPr>
                <w:sz w:val="20"/>
                <w:szCs w:val="20"/>
                <w:color w:val="auto"/>
              </w:rPr>
            </w:pPr>
            <w:r>
              <w:rPr>
                <w:rFonts w:ascii="Arial" w:cs="Arial" w:eastAsia="Arial" w:hAnsi="Arial"/>
                <w:sz w:val="13"/>
                <w:szCs w:val="13"/>
                <w:b w:val="1"/>
                <w:bCs w:val="1"/>
                <w:color w:val="auto"/>
                <w:w w:val="99"/>
              </w:rPr>
              <w:t>50%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8" w:lineRule="exact"/>
              <w:rPr>
                <w:sz w:val="20"/>
                <w:szCs w:val="20"/>
                <w:color w:val="auto"/>
              </w:rPr>
            </w:pPr>
            <w:r>
              <w:rPr>
                <w:rFonts w:ascii="Arial" w:cs="Arial" w:eastAsia="Arial" w:hAnsi="Arial"/>
                <w:sz w:val="13"/>
                <w:szCs w:val="13"/>
                <w:b w:val="1"/>
                <w:bCs w:val="1"/>
                <w:color w:val="auto"/>
              </w:rPr>
              <w:t>100%</w:t>
            </w:r>
          </w:p>
        </w:tc>
        <w:tc>
          <w:tcPr>
            <w:tcW w:w="8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44"/>
              <w:spacing w:after="0" w:line="148" w:lineRule="exact"/>
              <w:rPr>
                <w:sz w:val="20"/>
                <w:szCs w:val="20"/>
                <w:color w:val="auto"/>
              </w:rPr>
            </w:pPr>
            <w:r>
              <w:rPr>
                <w:rFonts w:ascii="Arial" w:cs="Arial" w:eastAsia="Arial" w:hAnsi="Arial"/>
                <w:sz w:val="13"/>
                <w:szCs w:val="13"/>
                <w:b w:val="1"/>
                <w:bCs w:val="1"/>
                <w:color w:val="auto"/>
              </w:rPr>
              <w:t>150%</w:t>
            </w:r>
          </w:p>
        </w:tc>
        <w:tc>
          <w:tcPr>
            <w:tcW w:w="100" w:type="dxa"/>
            <w:vAlign w:val="bottom"/>
            <w:tcBorders>
              <w:bottom w:val="single" w:sz="8" w:color="C6D9F1"/>
            </w:tcBorders>
          </w:tcPr>
          <w:p>
            <w:pPr>
              <w:spacing w:after="0"/>
              <w:rPr>
                <w:sz w:val="12"/>
                <w:szCs w:val="12"/>
                <w:color w:val="auto"/>
              </w:rPr>
            </w:pPr>
          </w:p>
        </w:tc>
        <w:tc>
          <w:tcPr>
            <w:tcW w:w="80" w:type="dxa"/>
            <w:vAlign w:val="bottom"/>
            <w:tcBorders>
              <w:bottom w:val="single" w:sz="8" w:color="C6D9F1"/>
            </w:tcBorders>
          </w:tcPr>
          <w:p>
            <w:pPr>
              <w:spacing w:after="0"/>
              <w:rPr>
                <w:sz w:val="12"/>
                <w:szCs w:val="12"/>
                <w:color w:val="auto"/>
              </w:rPr>
            </w:pPr>
          </w:p>
        </w:tc>
        <w:tc>
          <w:tcPr>
            <w:tcW w:w="840" w:type="dxa"/>
            <w:vAlign w:val="bottom"/>
            <w:tcBorders>
              <w:top w:val="single" w:sz="8" w:color="auto"/>
              <w:bottom w:val="single" w:sz="8" w:color="C6D9F1"/>
            </w:tcBorders>
          </w:tcPr>
          <w:p>
            <w:pPr>
              <w:spacing w:after="0"/>
              <w:rPr>
                <w:sz w:val="12"/>
                <w:szCs w:val="12"/>
                <w:color w:val="auto"/>
              </w:rPr>
            </w:pPr>
          </w:p>
        </w:tc>
        <w:tc>
          <w:tcPr>
            <w:tcW w:w="340" w:type="dxa"/>
            <w:vAlign w:val="bottom"/>
            <w:tcBorders>
              <w:bottom w:val="single" w:sz="8" w:color="C6D9F1"/>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40 %</w:t>
            </w:r>
          </w:p>
        </w:tc>
        <w:tc>
          <w:tcPr>
            <w:tcW w:w="5920" w:type="dxa"/>
            <w:vAlign w:val="bottom"/>
            <w:shd w:val="clear" w:color="auto" w:fill="C6D9F1"/>
          </w:tcPr>
          <w:p>
            <w:pPr>
              <w:spacing w:after="0"/>
              <w:rPr>
                <w:sz w:val="20"/>
                <w:szCs w:val="20"/>
                <w:color w:val="auto"/>
              </w:rPr>
            </w:pPr>
            <w:r>
              <w:rPr>
                <w:rFonts w:ascii="Arial" w:cs="Arial" w:eastAsia="Arial" w:hAnsi="Arial"/>
                <w:sz w:val="16"/>
                <w:szCs w:val="16"/>
                <w:color w:val="auto"/>
              </w:rPr>
              <w:t>Group Adjusted Operating Margin</w:t>
            </w:r>
          </w:p>
        </w:tc>
        <w:tc>
          <w:tcPr>
            <w:tcW w:w="100" w:type="dxa"/>
            <w:vAlign w:val="bottom"/>
            <w:shd w:val="clear" w:color="auto" w:fill="C6D9F1"/>
          </w:tcPr>
          <w:p>
            <w:pPr>
              <w:spacing w:after="0"/>
              <w:rPr>
                <w:sz w:val="16"/>
                <w:szCs w:val="16"/>
                <w:color w:val="auto"/>
              </w:rPr>
            </w:pPr>
          </w:p>
        </w:tc>
        <w:tc>
          <w:tcPr>
            <w:tcW w:w="100" w:type="dxa"/>
            <w:vAlign w:val="bottom"/>
            <w:shd w:val="clear" w:color="auto" w:fill="C6D9F1"/>
          </w:tcPr>
          <w:p>
            <w:pPr>
              <w:spacing w:after="0"/>
              <w:rPr>
                <w:sz w:val="16"/>
                <w:szCs w:val="16"/>
                <w:color w:val="auto"/>
              </w:rPr>
            </w:pPr>
          </w:p>
        </w:tc>
        <w:tc>
          <w:tcPr>
            <w:tcW w:w="7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15.0%</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18.8%</w:t>
            </w:r>
          </w:p>
        </w:tc>
        <w:tc>
          <w:tcPr>
            <w:tcW w:w="80" w:type="dxa"/>
            <w:vAlign w:val="bottom"/>
            <w:shd w:val="clear" w:color="auto" w:fill="C6D9F1"/>
          </w:tcPr>
          <w:p>
            <w:pPr>
              <w:spacing w:after="0"/>
              <w:rPr>
                <w:sz w:val="16"/>
                <w:szCs w:val="16"/>
                <w:color w:val="auto"/>
              </w:rPr>
            </w:pPr>
          </w:p>
        </w:tc>
        <w:tc>
          <w:tcPr>
            <w:tcW w:w="80" w:type="dxa"/>
            <w:vAlign w:val="bottom"/>
            <w:shd w:val="clear" w:color="auto" w:fill="C6D9F1"/>
          </w:tcPr>
          <w:p>
            <w:pPr>
              <w:spacing w:after="0"/>
              <w:rPr>
                <w:sz w:val="16"/>
                <w:szCs w:val="16"/>
                <w:color w:val="auto"/>
              </w:rPr>
            </w:pPr>
          </w:p>
        </w:tc>
        <w:tc>
          <w:tcPr>
            <w:tcW w:w="120" w:type="dxa"/>
            <w:vAlign w:val="bottom"/>
            <w:shd w:val="clear" w:color="auto" w:fill="C6D9F1"/>
          </w:tcPr>
          <w:p>
            <w:pPr>
              <w:spacing w:after="0"/>
              <w:rPr>
                <w:sz w:val="16"/>
                <w:szCs w:val="16"/>
                <w:color w:val="auto"/>
              </w:rPr>
            </w:pPr>
          </w:p>
        </w:tc>
        <w:tc>
          <w:tcPr>
            <w:tcW w:w="7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6D9F1"/>
          </w:tcPr>
          <w:p>
            <w:pPr>
              <w:spacing w:after="0"/>
              <w:rPr>
                <w:sz w:val="16"/>
                <w:szCs w:val="16"/>
                <w:color w:val="auto"/>
              </w:rPr>
            </w:pP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17.10%</w:t>
            </w:r>
          </w:p>
        </w:tc>
        <w:tc>
          <w:tcPr>
            <w:tcW w:w="340" w:type="dxa"/>
            <w:vAlign w:val="bottom"/>
            <w:shd w:val="clear" w:color="auto" w:fill="C6D9F1"/>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60" w:type="dxa"/>
            <w:vAlign w:val="bottom"/>
            <w:gridSpan w:val="4"/>
          </w:tcPr>
          <w:p>
            <w:pPr>
              <w:ind w:left="580"/>
              <w:spacing w:after="0" w:line="198" w:lineRule="exact"/>
              <w:rPr>
                <w:sz w:val="20"/>
                <w:szCs w:val="20"/>
                <w:color w:val="auto"/>
              </w:rPr>
            </w:pPr>
            <w:r>
              <w:rPr>
                <w:rFonts w:ascii="Arial" w:cs="Arial" w:eastAsia="Arial" w:hAnsi="Arial"/>
                <w:sz w:val="16"/>
                <w:szCs w:val="16"/>
                <w:color w:val="auto"/>
              </w:rPr>
              <w:t>40 %   Group Free Cash Flow</w:t>
            </w:r>
            <w:r>
              <w:rPr>
                <w:rFonts w:ascii="Arial" w:cs="Arial" w:eastAsia="Arial" w:hAnsi="Arial"/>
                <w:sz w:val="22"/>
                <w:szCs w:val="22"/>
                <w:color w:val="auto"/>
                <w:vertAlign w:val="superscript"/>
              </w:rPr>
              <w:t>(3)(4)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21.04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26.30</w:t>
            </w: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31.56</w:t>
            </w:r>
          </w:p>
        </w:tc>
        <w:tc>
          <w:tcPr>
            <w:tcW w:w="920" w:type="dxa"/>
            <w:vAlign w:val="bottom"/>
            <w:gridSpan w:val="2"/>
          </w:tcPr>
          <w:p>
            <w:pPr>
              <w:ind w:left="80"/>
              <w:spacing w:after="0"/>
              <w:rPr>
                <w:sz w:val="20"/>
                <w:szCs w:val="20"/>
                <w:color w:val="auto"/>
              </w:rPr>
            </w:pPr>
            <w:r>
              <w:rPr>
                <w:rFonts w:ascii="Arial" w:cs="Arial" w:eastAsia="Arial" w:hAnsi="Arial"/>
                <w:sz w:val="16"/>
                <w:szCs w:val="16"/>
                <w:color w:val="auto"/>
              </w:rPr>
              <w:t>$23.62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gridSpan w:val="2"/>
            <w:shd w:val="clear" w:color="auto" w:fill="C6D9F1"/>
          </w:tcPr>
          <w:p>
            <w:pPr>
              <w:ind w:left="580"/>
              <w:spacing w:after="0"/>
              <w:rPr>
                <w:sz w:val="20"/>
                <w:szCs w:val="20"/>
                <w:color w:val="auto"/>
              </w:rPr>
            </w:pPr>
            <w:r>
              <w:rPr>
                <w:rFonts w:ascii="Arial" w:cs="Arial" w:eastAsia="Arial" w:hAnsi="Arial"/>
                <w:sz w:val="16"/>
                <w:szCs w:val="16"/>
                <w:color w:val="auto"/>
              </w:rPr>
              <w:t>20 %</w:t>
            </w:r>
          </w:p>
        </w:tc>
        <w:tc>
          <w:tcPr>
            <w:tcW w:w="6020" w:type="dxa"/>
            <w:vAlign w:val="bottom"/>
            <w:gridSpan w:val="2"/>
            <w:shd w:val="clear" w:color="auto" w:fill="C6D9F1"/>
          </w:tcPr>
          <w:p>
            <w:pPr>
              <w:spacing w:after="0" w:line="198" w:lineRule="exact"/>
              <w:rPr>
                <w:sz w:val="20"/>
                <w:szCs w:val="20"/>
                <w:color w:val="auto"/>
              </w:rPr>
            </w:pPr>
            <w:r>
              <w:rPr>
                <w:rFonts w:ascii="Arial" w:cs="Arial" w:eastAsia="Arial" w:hAnsi="Arial"/>
                <w:sz w:val="16"/>
                <w:szCs w:val="16"/>
                <w:color w:val="auto"/>
              </w:rPr>
              <w:t>Group Net Sales</w:t>
            </w:r>
            <w:r>
              <w:rPr>
                <w:rFonts w:ascii="Arial" w:cs="Arial" w:eastAsia="Arial" w:hAnsi="Arial"/>
                <w:sz w:val="22"/>
                <w:szCs w:val="22"/>
                <w:color w:val="auto"/>
                <w:vertAlign w:val="superscript"/>
              </w:rPr>
              <w:t>(4)</w:t>
            </w:r>
          </w:p>
        </w:tc>
        <w:tc>
          <w:tcPr>
            <w:tcW w:w="100" w:type="dxa"/>
            <w:vAlign w:val="bottom"/>
            <w:shd w:val="clear" w:color="auto" w:fill="C6D9F1"/>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168.80</w:t>
            </w:r>
          </w:p>
        </w:tc>
        <w:tc>
          <w:tcPr>
            <w:tcW w:w="200" w:type="dxa"/>
            <w:vAlign w:val="bottom"/>
            <w:gridSpan w:val="2"/>
            <w:shd w:val="clear" w:color="auto" w:fill="C6D9F1"/>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6D9F1"/>
          </w:tcPr>
          <w:p>
            <w:pPr>
              <w:jc w:val="right"/>
              <w:ind w:right="80"/>
              <w:spacing w:after="0"/>
              <w:rPr>
                <w:sz w:val="20"/>
                <w:szCs w:val="20"/>
                <w:color w:val="auto"/>
              </w:rPr>
            </w:pPr>
            <w:r>
              <w:rPr>
                <w:rFonts w:ascii="Arial" w:cs="Arial" w:eastAsia="Arial" w:hAnsi="Arial"/>
                <w:sz w:val="16"/>
                <w:szCs w:val="16"/>
                <w:color w:val="auto"/>
              </w:rPr>
              <w:t>211.00</w:t>
            </w:r>
          </w:p>
        </w:tc>
        <w:tc>
          <w:tcPr>
            <w:tcW w:w="200" w:type="dxa"/>
            <w:vAlign w:val="bottom"/>
            <w:gridSpan w:val="2"/>
            <w:shd w:val="clear" w:color="auto" w:fill="C6D9F1"/>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6D9F1"/>
          </w:tcPr>
          <w:p>
            <w:pPr>
              <w:jc w:val="right"/>
              <w:ind w:right="100"/>
              <w:spacing w:after="0"/>
              <w:rPr>
                <w:sz w:val="20"/>
                <w:szCs w:val="20"/>
                <w:color w:val="auto"/>
              </w:rPr>
            </w:pPr>
            <w:r>
              <w:rPr>
                <w:rFonts w:ascii="Arial" w:cs="Arial" w:eastAsia="Arial" w:hAnsi="Arial"/>
                <w:sz w:val="16"/>
                <w:szCs w:val="16"/>
                <w:color w:val="auto"/>
              </w:rPr>
              <w:t>253.20</w:t>
            </w:r>
          </w:p>
        </w:tc>
        <w:tc>
          <w:tcPr>
            <w:tcW w:w="920" w:type="dxa"/>
            <w:vAlign w:val="bottom"/>
            <w:gridSpan w:val="2"/>
            <w:shd w:val="clear" w:color="auto" w:fill="C6D9F1"/>
          </w:tcPr>
          <w:p>
            <w:pPr>
              <w:ind w:left="80"/>
              <w:spacing w:after="0"/>
              <w:rPr>
                <w:sz w:val="20"/>
                <w:szCs w:val="20"/>
                <w:color w:val="auto"/>
              </w:rPr>
            </w:pPr>
            <w:r>
              <w:rPr>
                <w:rFonts w:ascii="Arial" w:cs="Arial" w:eastAsia="Arial" w:hAnsi="Arial"/>
                <w:sz w:val="16"/>
                <w:szCs w:val="16"/>
                <w:color w:val="auto"/>
              </w:rPr>
              <w:t>$ 192.10</w:t>
            </w:r>
          </w:p>
        </w:tc>
        <w:tc>
          <w:tcPr>
            <w:tcW w:w="340" w:type="dxa"/>
            <w:vAlign w:val="bottom"/>
            <w:shd w:val="clear" w:color="auto" w:fill="C6D9F1"/>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11" w:lineRule="exact"/>
        <w:rPr>
          <w:sz w:val="20"/>
          <w:szCs w:val="20"/>
          <w:color w:val="auto"/>
        </w:rPr>
      </w:pPr>
    </w:p>
    <w:p>
      <w:pPr>
        <w:ind w:left="780" w:hanging="386"/>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the Company does not attain the threshold performance for Adjusted Earnings per Share, no payout under the program is made.</w:t>
      </w:r>
    </w:p>
    <w:p>
      <w:pPr>
        <w:spacing w:after="0" w:line="24" w:lineRule="exact"/>
        <w:rPr>
          <w:rFonts w:ascii="Arial" w:cs="Arial" w:eastAsia="Arial" w:hAnsi="Arial"/>
          <w:sz w:val="16"/>
          <w:szCs w:val="16"/>
          <w:color w:val="auto"/>
        </w:rPr>
      </w:pPr>
    </w:p>
    <w:p>
      <w:pPr>
        <w:ind w:left="780" w:right="100" w:hanging="386"/>
        <w:spacing w:after="0" w:line="274" w:lineRule="auto"/>
        <w:tabs>
          <w:tab w:leader="none" w:pos="7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Adjusted earnings per share represents GAAP net income, adjusted to exclude the tax-affected effects of restructuring and impairment charges (related to plant closures and other charges incurred to implement our strategic goals, that do not necessarily represent a major strategic shift in operations), charges related to acquisition and integration costs, amortization of intangibles costs for fair value step-up in values related to acquisitions and amortization of deferred financing costs, and foreign exchange gain (loss) on inter-company loans divided by total shares of common stock outstanding. We believe this performance measure provides meaningful supplemental information regarding our core operational performance.</w:t>
      </w:r>
    </w:p>
    <w:p>
      <w:pPr>
        <w:spacing w:after="0" w:line="3" w:lineRule="exact"/>
        <w:rPr>
          <w:rFonts w:ascii="Arial" w:cs="Arial" w:eastAsia="Arial" w:hAnsi="Arial"/>
          <w:sz w:val="15"/>
          <w:szCs w:val="15"/>
          <w:color w:val="auto"/>
        </w:rPr>
      </w:pPr>
    </w:p>
    <w:p>
      <w:pPr>
        <w:ind w:left="780" w:right="760" w:hanging="386"/>
        <w:spacing w:after="0" w:line="257"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Free Cash Flow represents GAAP net cash provided by operating activities less capital expenditures. We believe this performance measure provides meaningful supplemental information regarding our core operational performance.</w:t>
      </w:r>
    </w:p>
    <w:p>
      <w:pPr>
        <w:spacing w:after="0" w:line="1" w:lineRule="exact"/>
        <w:rPr>
          <w:rFonts w:ascii="Arial" w:cs="Arial" w:eastAsia="Arial" w:hAnsi="Arial"/>
          <w:sz w:val="16"/>
          <w:szCs w:val="16"/>
          <w:color w:val="auto"/>
        </w:rPr>
      </w:pPr>
    </w:p>
    <w:p>
      <w:pPr>
        <w:ind w:left="780" w:hanging="386"/>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Amounts reported in millions of U.S. dollars.</w:t>
      </w:r>
    </w:p>
    <w:p>
      <w:pPr>
        <w:spacing w:after="0" w:line="13" w:lineRule="exact"/>
        <w:rPr>
          <w:rFonts w:ascii="Arial" w:cs="Arial" w:eastAsia="Arial" w:hAnsi="Arial"/>
          <w:sz w:val="16"/>
          <w:szCs w:val="16"/>
          <w:color w:val="auto"/>
        </w:rPr>
      </w:pPr>
    </w:p>
    <w:p>
      <w:pPr>
        <w:ind w:left="780" w:hanging="386"/>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Adjusted operating margin represents Non-GAAP adjusted earnings divided by GAAP net sales.</w:t>
      </w:r>
    </w:p>
    <w:p>
      <w:pPr>
        <w:spacing w:after="0" w:line="200" w:lineRule="exact"/>
        <w:rPr>
          <w:sz w:val="20"/>
          <w:szCs w:val="20"/>
          <w:color w:val="auto"/>
        </w:rPr>
      </w:pPr>
    </w:p>
    <w:p>
      <w:pPr>
        <w:ind w:right="360" w:firstLine="495"/>
        <w:spacing w:after="0" w:line="289" w:lineRule="auto"/>
        <w:rPr>
          <w:sz w:val="20"/>
          <w:szCs w:val="20"/>
          <w:color w:val="auto"/>
        </w:rPr>
      </w:pPr>
      <w:r>
        <w:rPr>
          <w:rFonts w:ascii="Arial" w:cs="Arial" w:eastAsia="Arial" w:hAnsi="Arial"/>
          <w:sz w:val="16"/>
          <w:szCs w:val="16"/>
          <w:color w:val="auto"/>
        </w:rPr>
        <w:t>In March 2020, the Compensation Committee met to consider the payment of executive incentive compensation. Because the Company’s adjusted earnings per share was below the threshold amount, no payout under this program was made.</w:t>
      </w:r>
    </w:p>
    <w:p>
      <w:pPr>
        <w:spacing w:after="0" w:line="248" w:lineRule="exact"/>
        <w:rPr>
          <w:sz w:val="20"/>
          <w:szCs w:val="20"/>
          <w:color w:val="auto"/>
        </w:rPr>
      </w:pPr>
    </w:p>
    <w:p>
      <w:pPr>
        <w:ind w:right="120" w:firstLine="508"/>
        <w:spacing w:after="0" w:line="265" w:lineRule="auto"/>
        <w:rPr>
          <w:sz w:val="20"/>
          <w:szCs w:val="20"/>
          <w:color w:val="auto"/>
        </w:rPr>
      </w:pPr>
      <w:r>
        <w:rPr>
          <w:rFonts w:ascii="Arial" w:cs="Arial" w:eastAsia="Arial" w:hAnsi="Arial"/>
          <w:sz w:val="16"/>
          <w:szCs w:val="16"/>
          <w:b w:val="1"/>
          <w:bCs w:val="1"/>
          <w:i w:val="1"/>
          <w:iCs w:val="1"/>
          <w:color w:val="auto"/>
        </w:rPr>
        <w:t>Long-Term Incentive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performance-based long-term incentive compensation to certain employees, including our NEOs, to directly tie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interests of these individuals to the interests of our stockholders. In addition, this program allows us to provide competitive pay packages to attract and retain a highly talented management team. In March 2015, our Board established stock ownership guidelines of five times annual base salary for our Chief Executive Officer, three times annual base salary for our other executive officers and three times the annual cash retainer for directors, which acts to further align the interests of our directors and executive officers with those of our stockholders.</w:t>
      </w:r>
    </w:p>
    <w:p>
      <w:pPr>
        <w:spacing w:after="0" w:line="170" w:lineRule="exact"/>
        <w:rPr>
          <w:sz w:val="20"/>
          <w:szCs w:val="20"/>
          <w:color w:val="auto"/>
        </w:rPr>
      </w:pPr>
    </w:p>
    <w:p>
      <w:pPr>
        <w:ind w:right="120" w:firstLine="508"/>
        <w:spacing w:after="0" w:line="264" w:lineRule="auto"/>
        <w:rPr>
          <w:sz w:val="20"/>
          <w:szCs w:val="20"/>
          <w:color w:val="auto"/>
        </w:rPr>
      </w:pPr>
      <w:r>
        <w:rPr>
          <w:rFonts w:ascii="Arial" w:cs="Arial" w:eastAsia="Arial" w:hAnsi="Arial"/>
          <w:sz w:val="16"/>
          <w:szCs w:val="16"/>
          <w:color w:val="auto"/>
        </w:rPr>
        <w:t>In 2015, we significantly enhanced our executive compensation program by including in our long-term incentive compensation program performance stock units, or PSUs, that vest based on our total shareholder return, or the TSR Awards, relative to the S&amp;P SmallCap 600 Index, and on our return on invested capital, or the ROIC Awards, over a three-year performance period (Performance Period). In addition, our NEOs receive long-term incentive compensation in the form of shares of restricted stock. Such long-term incentive compensation is based on the NEO’s target opportunity as a percentage of base salary and is equally allocated one-third each among TSR Awards, ROIC Awards and restricted stock awards. Our long-term incentive compensation is designed to directly align the interests of executives to the interests of our stockholders and to drive long-term stockholder value.</w:t>
      </w:r>
    </w:p>
    <w:p>
      <w:pPr>
        <w:spacing w:after="0" w:line="169" w:lineRule="exact"/>
        <w:rPr>
          <w:sz w:val="20"/>
          <w:szCs w:val="20"/>
          <w:color w:val="auto"/>
        </w:rPr>
      </w:pPr>
    </w:p>
    <w:p>
      <w:pPr>
        <w:ind w:right="660" w:firstLine="508"/>
        <w:spacing w:after="0" w:line="289" w:lineRule="auto"/>
        <w:rPr>
          <w:sz w:val="20"/>
          <w:szCs w:val="20"/>
          <w:color w:val="auto"/>
        </w:rPr>
      </w:pPr>
      <w:r>
        <w:rPr>
          <w:rFonts w:ascii="Arial" w:cs="Arial" w:eastAsia="Arial" w:hAnsi="Arial"/>
          <w:sz w:val="16"/>
          <w:szCs w:val="16"/>
          <w:color w:val="auto"/>
        </w:rPr>
        <w:t>The Compensation Committee chose the S&amp;P SmallCap 600 Index as a relative TSR comparison group because it is a broad and stable index group that is comprised of companies with similar market capitalizations as ours. TSR is calculated by</w:t>
      </w:r>
    </w:p>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40"/>
          </w:cols>
          <w:pgMar w:left="320" w:top="342" w:right="239" w:bottom="1440" w:gutter="0" w:footer="0" w:header="0"/>
        </w:sectPr>
      </w:pPr>
    </w:p>
    <w:bookmarkStart w:id="33" w:name="page34"/>
    <w:bookmarkEnd w:id="33"/>
    <w:p>
      <w:pPr>
        <w:jc w:val="both"/>
        <w:ind w:right="180"/>
        <w:spacing w:after="0" w:line="273" w:lineRule="auto"/>
        <w:rPr>
          <w:sz w:val="20"/>
          <w:szCs w:val="20"/>
          <w:color w:val="auto"/>
        </w:rPr>
      </w:pPr>
      <w:r>
        <w:rPr>
          <w:rFonts w:ascii="Arial" w:cs="Arial" w:eastAsia="Arial" w:hAnsi="Arial"/>
          <w:sz w:val="16"/>
          <w:szCs w:val="16"/>
          <w:color w:val="auto"/>
        </w:rPr>
        <w:t xml:space="preserve">taking a total of share price appreciation plus dividends over the three-year period compared to our share price at the beginning of the period. </w:t>
      </w:r>
      <w:r>
        <w:rPr>
          <w:rFonts w:ascii="Arial" w:cs="Arial" w:eastAsia="Arial" w:hAnsi="Arial"/>
          <w:sz w:val="16"/>
          <w:szCs w:val="16"/>
          <w:color w:val="231F20"/>
        </w:rPr>
        <w:t>The performance metrics</w:t>
      </w:r>
      <w:r>
        <w:rPr>
          <w:rFonts w:ascii="Arial" w:cs="Arial" w:eastAsia="Arial" w:hAnsi="Arial"/>
          <w:sz w:val="16"/>
          <w:szCs w:val="16"/>
          <w:color w:val="auto"/>
        </w:rPr>
        <w:t xml:space="preserve"> </w:t>
      </w:r>
      <w:r>
        <w:rPr>
          <w:rFonts w:ascii="Arial" w:cs="Arial" w:eastAsia="Arial" w:hAnsi="Arial"/>
          <w:sz w:val="16"/>
          <w:szCs w:val="16"/>
          <w:color w:val="231F20"/>
        </w:rPr>
        <w:t>and corresponding payouts for TSR Awards are based on our ranking within the S&amp;P SmallCap 600 for all performance cycles that are currently outstanding, and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8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140" w:type="dxa"/>
            <w:vAlign w:val="bottom"/>
          </w:tcPr>
          <w:p>
            <w:pPr>
              <w:spacing w:after="0"/>
              <w:rPr>
                <w:sz w:val="18"/>
                <w:szCs w:val="18"/>
                <w:color w:val="auto"/>
              </w:rPr>
            </w:pPr>
          </w:p>
        </w:tc>
        <w:tc>
          <w:tcPr>
            <w:tcW w:w="1640" w:type="dxa"/>
            <w:vAlign w:val="bottom"/>
            <w:gridSpan w:val="2"/>
          </w:tcPr>
          <w:p>
            <w:pPr>
              <w:ind w:left="560"/>
              <w:spacing w:after="0"/>
              <w:rPr>
                <w:sz w:val="20"/>
                <w:szCs w:val="20"/>
                <w:color w:val="auto"/>
              </w:rPr>
            </w:pPr>
            <w:r>
              <w:rPr>
                <w:rFonts w:ascii="Arial" w:cs="Arial" w:eastAsia="Arial" w:hAnsi="Arial"/>
                <w:sz w:val="16"/>
                <w:szCs w:val="16"/>
                <w:b w:val="1"/>
                <w:bCs w:val="1"/>
                <w:color w:val="auto"/>
              </w:rPr>
              <w:t>Payout</w:t>
            </w:r>
          </w:p>
        </w:tc>
      </w:tr>
      <w:tr>
        <w:trPr>
          <w:trHeight w:val="191"/>
        </w:trPr>
        <w:tc>
          <w:tcPr>
            <w:tcW w:w="2080" w:type="dxa"/>
            <w:vAlign w:val="bottom"/>
          </w:tcPr>
          <w:p>
            <w:pPr>
              <w:spacing w:after="0"/>
              <w:rPr>
                <w:sz w:val="16"/>
                <w:szCs w:val="16"/>
                <w:color w:val="auto"/>
              </w:rPr>
            </w:pPr>
          </w:p>
        </w:tc>
        <w:tc>
          <w:tcPr>
            <w:tcW w:w="532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Threshold - At 35</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shd w:val="clear" w:color="auto" w:fill="C6D9F1"/>
          </w:tcPr>
          <w:p>
            <w:pPr>
              <w:spacing w:after="0"/>
              <w:rPr>
                <w:sz w:val="16"/>
                <w:szCs w:val="16"/>
                <w:color w:val="auto"/>
              </w:rPr>
            </w:pPr>
          </w:p>
        </w:tc>
        <w:tc>
          <w:tcPr>
            <w:tcW w:w="162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50% of target</w:t>
            </w:r>
          </w:p>
        </w:tc>
        <w:tc>
          <w:tcPr>
            <w:tcW w:w="20" w:type="dxa"/>
            <w:vAlign w:val="bottom"/>
          </w:tcPr>
          <w:p>
            <w:pPr>
              <w:spacing w:after="0"/>
              <w:rPr>
                <w:sz w:val="16"/>
                <w:szCs w:val="16"/>
                <w:color w:val="auto"/>
              </w:rPr>
            </w:pPr>
          </w:p>
        </w:tc>
      </w:tr>
      <w:tr>
        <w:trPr>
          <w:trHeight w:val="198"/>
        </w:trPr>
        <w:tc>
          <w:tcPr>
            <w:tcW w:w="208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Target - At 50</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 of target</w:t>
            </w:r>
          </w:p>
        </w:tc>
        <w:tc>
          <w:tcPr>
            <w:tcW w:w="20" w:type="dxa"/>
            <w:vAlign w:val="bottom"/>
          </w:tcPr>
          <w:p>
            <w:pPr>
              <w:spacing w:after="0"/>
              <w:rPr>
                <w:sz w:val="17"/>
                <w:szCs w:val="17"/>
                <w:color w:val="auto"/>
              </w:rPr>
            </w:pPr>
          </w:p>
        </w:tc>
      </w:tr>
      <w:tr>
        <w:trPr>
          <w:trHeight w:val="198"/>
        </w:trPr>
        <w:tc>
          <w:tcPr>
            <w:tcW w:w="2080" w:type="dxa"/>
            <w:vAlign w:val="bottom"/>
          </w:tcPr>
          <w:p>
            <w:pPr>
              <w:spacing w:after="0"/>
              <w:rPr>
                <w:sz w:val="17"/>
                <w:szCs w:val="17"/>
                <w:color w:val="auto"/>
              </w:rPr>
            </w:pPr>
          </w:p>
        </w:tc>
        <w:tc>
          <w:tcPr>
            <w:tcW w:w="5320" w:type="dxa"/>
            <w:vAlign w:val="bottom"/>
            <w:shd w:val="clear" w:color="auto" w:fill="C6D9F1"/>
          </w:tcPr>
          <w:p>
            <w:pPr>
              <w:spacing w:after="0"/>
              <w:rPr>
                <w:sz w:val="20"/>
                <w:szCs w:val="20"/>
                <w:color w:val="auto"/>
              </w:rPr>
            </w:pPr>
            <w:r>
              <w:rPr>
                <w:rFonts w:ascii="Arial" w:cs="Arial" w:eastAsia="Arial" w:hAnsi="Arial"/>
                <w:sz w:val="16"/>
                <w:szCs w:val="16"/>
                <w:color w:val="auto"/>
              </w:rPr>
              <w:t>Maximum - At 75</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shd w:val="clear" w:color="auto" w:fill="C6D9F1"/>
          </w:tcPr>
          <w:p>
            <w:pPr>
              <w:spacing w:after="0"/>
              <w:rPr>
                <w:sz w:val="17"/>
                <w:szCs w:val="17"/>
                <w:color w:val="auto"/>
              </w:rPr>
            </w:pPr>
          </w:p>
        </w:tc>
        <w:tc>
          <w:tcPr>
            <w:tcW w:w="16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150% of target</w:t>
            </w:r>
          </w:p>
        </w:tc>
        <w:tc>
          <w:tcPr>
            <w:tcW w:w="20" w:type="dxa"/>
            <w:vAlign w:val="bottom"/>
          </w:tcPr>
          <w:p>
            <w:pPr>
              <w:spacing w:after="0"/>
              <w:rPr>
                <w:sz w:val="17"/>
                <w:szCs w:val="17"/>
                <w:color w:val="auto"/>
              </w:rPr>
            </w:pPr>
          </w:p>
        </w:tc>
      </w:tr>
      <w:tr>
        <w:trPr>
          <w:trHeight w:val="332"/>
        </w:trPr>
        <w:tc>
          <w:tcPr>
            <w:tcW w:w="7400" w:type="dxa"/>
            <w:vAlign w:val="bottom"/>
            <w:gridSpan w:val="2"/>
          </w:tcPr>
          <w:p>
            <w:pPr>
              <w:spacing w:after="0"/>
              <w:rPr>
                <w:sz w:val="20"/>
                <w:szCs w:val="20"/>
                <w:color w:val="auto"/>
              </w:rPr>
            </w:pPr>
            <w:r>
              <w:rPr>
                <w:rFonts w:ascii="Arial" w:cs="Arial" w:eastAsia="Arial" w:hAnsi="Arial"/>
                <w:sz w:val="16"/>
                <w:szCs w:val="16"/>
                <w:color w:val="auto"/>
              </w:rPr>
              <w:t>If performance is below the 35</w:t>
            </w:r>
            <w:r>
              <w:rPr>
                <w:rFonts w:ascii="Arial" w:cs="Arial" w:eastAsia="Arial" w:hAnsi="Arial"/>
                <w:sz w:val="13"/>
                <w:szCs w:val="13"/>
                <w:color w:val="auto"/>
              </w:rPr>
              <w:t>th</w:t>
            </w:r>
            <w:r>
              <w:rPr>
                <w:rFonts w:ascii="Arial" w:cs="Arial" w:eastAsia="Arial" w:hAnsi="Arial"/>
                <w:sz w:val="16"/>
                <w:szCs w:val="16"/>
                <w:color w:val="auto"/>
              </w:rPr>
              <w:t xml:space="preserve"> percentile, no award will be earned or paid as it relates to that measure.</w:t>
            </w: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87" w:lineRule="exact"/>
        <w:rPr>
          <w:sz w:val="20"/>
          <w:szCs w:val="20"/>
          <w:color w:val="auto"/>
        </w:rPr>
      </w:pPr>
    </w:p>
    <w:p>
      <w:pPr>
        <w:jc w:val="both"/>
        <w:ind w:firstLine="508"/>
        <w:spacing w:after="0" w:line="273" w:lineRule="auto"/>
        <w:rPr>
          <w:sz w:val="20"/>
          <w:szCs w:val="20"/>
          <w:color w:val="auto"/>
        </w:rPr>
      </w:pPr>
      <w:r>
        <w:rPr>
          <w:rFonts w:ascii="Arial" w:cs="Arial" w:eastAsia="Arial" w:hAnsi="Arial"/>
          <w:sz w:val="16"/>
          <w:szCs w:val="16"/>
          <w:color w:val="auto"/>
        </w:rPr>
        <w:t>In 2019, we simplified the calculation of ROIC in response to input from our stockholders to equal (i) adjusted net operating profit after taxes, divided by (ii) total invested capital. The performance metrics and corresponding payouts for ROIC Awards granted in 2019 are based on our achieving a specified average return on invested capital during the Performance Period as follows:</w:t>
      </w:r>
    </w:p>
    <w:p>
      <w:pPr>
        <w:spacing w:after="0" w:line="60"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494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8"/>
                <w:szCs w:val="18"/>
                <w:color w:val="auto"/>
              </w:rPr>
            </w:pPr>
          </w:p>
        </w:tc>
        <w:tc>
          <w:tcPr>
            <w:tcW w:w="2140" w:type="dxa"/>
            <w:vAlign w:val="bottom"/>
            <w:gridSpan w:val="2"/>
          </w:tcPr>
          <w:p>
            <w:pPr>
              <w:ind w:left="820"/>
              <w:spacing w:after="0"/>
              <w:rPr>
                <w:sz w:val="20"/>
                <w:szCs w:val="20"/>
                <w:color w:val="auto"/>
              </w:rPr>
            </w:pPr>
            <w:r>
              <w:rPr>
                <w:rFonts w:ascii="Arial" w:cs="Arial" w:eastAsia="Arial" w:hAnsi="Arial"/>
                <w:sz w:val="16"/>
                <w:szCs w:val="16"/>
                <w:b w:val="1"/>
                <w:bCs w:val="1"/>
                <w:color w:val="auto"/>
              </w:rPr>
              <w:t>Payout</w:t>
            </w:r>
          </w:p>
        </w:tc>
      </w:tr>
      <w:tr>
        <w:trPr>
          <w:trHeight w:val="191"/>
        </w:trPr>
        <w:tc>
          <w:tcPr>
            <w:tcW w:w="494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Threshold – 4.7%</w:t>
            </w:r>
          </w:p>
        </w:tc>
        <w:tc>
          <w:tcPr>
            <w:tcW w:w="240" w:type="dxa"/>
            <w:vAlign w:val="bottom"/>
            <w:shd w:val="clear" w:color="auto" w:fill="C6D9F1"/>
          </w:tcPr>
          <w:p>
            <w:pPr>
              <w:spacing w:after="0"/>
              <w:rPr>
                <w:sz w:val="16"/>
                <w:szCs w:val="16"/>
                <w:color w:val="auto"/>
              </w:rPr>
            </w:pPr>
          </w:p>
        </w:tc>
        <w:tc>
          <w:tcPr>
            <w:tcW w:w="212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35% of target</w:t>
            </w:r>
          </w:p>
        </w:tc>
        <w:tc>
          <w:tcPr>
            <w:tcW w:w="20" w:type="dxa"/>
            <w:vAlign w:val="bottom"/>
          </w:tcPr>
          <w:p>
            <w:pPr>
              <w:spacing w:after="0"/>
              <w:rPr>
                <w:sz w:val="16"/>
                <w:szCs w:val="16"/>
                <w:color w:val="auto"/>
              </w:rPr>
            </w:pPr>
          </w:p>
        </w:tc>
      </w:tr>
      <w:tr>
        <w:trPr>
          <w:trHeight w:val="198"/>
        </w:trPr>
        <w:tc>
          <w:tcPr>
            <w:tcW w:w="4940" w:type="dxa"/>
            <w:vAlign w:val="bottom"/>
          </w:tcPr>
          <w:p>
            <w:pPr>
              <w:spacing w:after="0"/>
              <w:rPr>
                <w:sz w:val="20"/>
                <w:szCs w:val="20"/>
                <w:color w:val="auto"/>
              </w:rPr>
            </w:pPr>
            <w:r>
              <w:rPr>
                <w:rFonts w:ascii="Arial" w:cs="Arial" w:eastAsia="Arial" w:hAnsi="Arial"/>
                <w:sz w:val="16"/>
                <w:szCs w:val="16"/>
                <w:color w:val="auto"/>
              </w:rPr>
              <w:t>Target – 5.8%</w:t>
            </w:r>
          </w:p>
        </w:tc>
        <w:tc>
          <w:tcPr>
            <w:tcW w:w="2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100% of target</w:t>
            </w:r>
          </w:p>
        </w:tc>
        <w:tc>
          <w:tcPr>
            <w:tcW w:w="20" w:type="dxa"/>
            <w:vAlign w:val="bottom"/>
          </w:tcPr>
          <w:p>
            <w:pPr>
              <w:spacing w:after="0"/>
              <w:rPr>
                <w:sz w:val="17"/>
                <w:szCs w:val="17"/>
                <w:color w:val="auto"/>
              </w:rPr>
            </w:pPr>
          </w:p>
        </w:tc>
      </w:tr>
      <w:tr>
        <w:trPr>
          <w:trHeight w:val="198"/>
        </w:trPr>
        <w:tc>
          <w:tcPr>
            <w:tcW w:w="4940" w:type="dxa"/>
            <w:vAlign w:val="bottom"/>
            <w:shd w:val="clear" w:color="auto" w:fill="C6D9F1"/>
          </w:tcPr>
          <w:p>
            <w:pPr>
              <w:spacing w:after="0"/>
              <w:rPr>
                <w:sz w:val="20"/>
                <w:szCs w:val="20"/>
                <w:color w:val="auto"/>
              </w:rPr>
            </w:pPr>
            <w:r>
              <w:rPr>
                <w:rFonts w:ascii="Arial" w:cs="Arial" w:eastAsia="Arial" w:hAnsi="Arial"/>
                <w:sz w:val="16"/>
                <w:szCs w:val="16"/>
                <w:color w:val="auto"/>
              </w:rPr>
              <w:t>Maximum – 7.0%</w:t>
            </w:r>
          </w:p>
        </w:tc>
        <w:tc>
          <w:tcPr>
            <w:tcW w:w="240" w:type="dxa"/>
            <w:vAlign w:val="bottom"/>
            <w:shd w:val="clear" w:color="auto" w:fill="C6D9F1"/>
          </w:tcPr>
          <w:p>
            <w:pPr>
              <w:spacing w:after="0"/>
              <w:rPr>
                <w:sz w:val="17"/>
                <w:szCs w:val="17"/>
                <w:color w:val="auto"/>
              </w:rPr>
            </w:pPr>
          </w:p>
        </w:tc>
        <w:tc>
          <w:tcPr>
            <w:tcW w:w="21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150% of target</w:t>
            </w:r>
          </w:p>
        </w:tc>
        <w:tc>
          <w:tcPr>
            <w:tcW w:w="20" w:type="dxa"/>
            <w:vAlign w:val="bottom"/>
          </w:tcPr>
          <w:p>
            <w:pPr>
              <w:spacing w:after="0"/>
              <w:rPr>
                <w:sz w:val="17"/>
                <w:szCs w:val="17"/>
                <w:color w:val="auto"/>
              </w:rPr>
            </w:pPr>
          </w:p>
        </w:tc>
      </w:tr>
    </w:tbl>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we do not achieve at least a 4.7% return on invested capital during the Performance Period, no award will be earned or paid.</w:t>
      </w:r>
    </w:p>
    <w:p>
      <w:pPr>
        <w:spacing w:after="0" w:line="211" w:lineRule="exact"/>
        <w:rPr>
          <w:sz w:val="20"/>
          <w:szCs w:val="20"/>
          <w:color w:val="auto"/>
        </w:rPr>
      </w:pPr>
    </w:p>
    <w:p>
      <w:pPr>
        <w:ind w:firstLine="508"/>
        <w:spacing w:after="0" w:line="265" w:lineRule="auto"/>
        <w:rPr>
          <w:sz w:val="20"/>
          <w:szCs w:val="20"/>
          <w:color w:val="auto"/>
        </w:rPr>
      </w:pPr>
      <w:r>
        <w:rPr>
          <w:rFonts w:ascii="Arial" w:cs="Arial" w:eastAsia="Arial" w:hAnsi="Arial"/>
          <w:sz w:val="16"/>
          <w:szCs w:val="16"/>
          <w:color w:val="auto"/>
        </w:rPr>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70" w:lineRule="exact"/>
        <w:rPr>
          <w:sz w:val="20"/>
          <w:szCs w:val="20"/>
          <w:color w:val="auto"/>
        </w:rPr>
      </w:pPr>
    </w:p>
    <w:p>
      <w:pPr>
        <w:ind w:right="180" w:firstLine="508"/>
        <w:spacing w:after="0" w:line="289" w:lineRule="auto"/>
        <w:rPr>
          <w:sz w:val="20"/>
          <w:szCs w:val="20"/>
          <w:color w:val="auto"/>
        </w:rPr>
      </w:pPr>
      <w:r>
        <w:rPr>
          <w:rFonts w:ascii="Arial" w:cs="Arial" w:eastAsia="Arial" w:hAnsi="Arial"/>
          <w:sz w:val="16"/>
          <w:szCs w:val="16"/>
          <w:color w:val="auto"/>
        </w:rPr>
        <w:t>The Restricted Stock will vest ratably over three years in accordance with historical compensation practice, subject to continued employment. Dividends will be paid on outstanding Restricted Stock during the vesting period.</w:t>
      </w:r>
    </w:p>
    <w:p>
      <w:pPr>
        <w:spacing w:after="0" w:line="150" w:lineRule="exact"/>
        <w:rPr>
          <w:sz w:val="20"/>
          <w:szCs w:val="20"/>
          <w:color w:val="auto"/>
        </w:rPr>
      </w:pPr>
    </w:p>
    <w:p>
      <w:pPr>
        <w:jc w:val="both"/>
        <w:ind w:right="20" w:firstLine="508"/>
        <w:spacing w:after="0" w:line="273" w:lineRule="auto"/>
        <w:rPr>
          <w:sz w:val="20"/>
          <w:szCs w:val="20"/>
          <w:color w:val="auto"/>
        </w:rPr>
      </w:pPr>
      <w:r>
        <w:rPr>
          <w:rFonts w:ascii="Arial" w:cs="Arial" w:eastAsia="Arial" w:hAnsi="Arial"/>
          <w:sz w:val="16"/>
          <w:szCs w:val="16"/>
          <w:color w:val="auto"/>
        </w:rPr>
        <w:t>For 2019, the Compensation Committee established a long-term incentive compensation target opportunity for each executive that ranged between 80% and 250% of the respective NEO’s base salary and was intended to approximate the market values of long-term equity awards granted within our peer group. Each NEO’s long-term incentive opportunity award value in 2019 is shown in the following table:</w:t>
      </w:r>
    </w:p>
    <w:p>
      <w:pPr>
        <w:spacing w:after="0" w:line="254" w:lineRule="exact"/>
        <w:rPr>
          <w:sz w:val="20"/>
          <w:szCs w:val="20"/>
          <w:color w:val="auto"/>
        </w:rPr>
      </w:pPr>
    </w:p>
    <w:tbl>
      <w:tblPr>
        <w:tblLayout w:type="fixed"/>
        <w:tblInd w:w="2350" w:type="dxa"/>
        <w:tblCellMar>
          <w:top w:w="0" w:type="dxa"/>
          <w:left w:w="0" w:type="dxa"/>
          <w:bottom w:w="0" w:type="dxa"/>
          <w:right w:w="0" w:type="dxa"/>
        </w:tblCellMar>
      </w:tblPr>
      <w:tr>
        <w:trPr>
          <w:trHeight w:val="193"/>
        </w:trPr>
        <w:tc>
          <w:tcPr>
            <w:tcW w:w="1860" w:type="dxa"/>
            <w:vAlign w:val="bottom"/>
            <w:tcBorders>
              <w:top w:val="single" w:sz="8" w:color="auto"/>
              <w:left w:val="single" w:sz="8" w:color="auto"/>
              <w:right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Grant Date Fair Value</w:t>
            </w: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Fair Value of</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of Long-Term</w:t>
            </w: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Name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Fair Value of</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Fair Value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Incentive</w:t>
            </w:r>
          </w:p>
        </w:tc>
        <w:tc>
          <w:tcPr>
            <w:tcW w:w="0" w:type="dxa"/>
            <w:vAlign w:val="bottom"/>
          </w:tcPr>
          <w:p>
            <w:pPr>
              <w:spacing w:after="0"/>
              <w:rPr>
                <w:sz w:val="1"/>
                <w:szCs w:val="1"/>
                <w:color w:val="auto"/>
              </w:rPr>
            </w:pPr>
          </w:p>
        </w:tc>
      </w:tr>
      <w:tr>
        <w:trPr>
          <w:trHeight w:val="206"/>
        </w:trPr>
        <w:tc>
          <w:tcPr>
            <w:tcW w:w="186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TSR Awards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ROIC Awards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Stock</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Compensation</w:t>
            </w:r>
          </w:p>
        </w:tc>
        <w:tc>
          <w:tcPr>
            <w:tcW w:w="0" w:type="dxa"/>
            <w:vAlign w:val="bottom"/>
          </w:tcPr>
          <w:p>
            <w:pPr>
              <w:spacing w:after="0"/>
              <w:rPr>
                <w:sz w:val="1"/>
                <w:szCs w:val="1"/>
                <w:color w:val="auto"/>
              </w:rPr>
            </w:pPr>
          </w:p>
        </w:tc>
      </w:tr>
      <w:tr>
        <w:trPr>
          <w:trHeight w:val="351"/>
        </w:trPr>
        <w:tc>
          <w:tcPr>
            <w:tcW w:w="1860" w:type="dxa"/>
            <w:vAlign w:val="bottom"/>
            <w:tcBorders>
              <w:left w:val="single" w:sz="8" w:color="auto"/>
              <w:bottom w:val="single" w:sz="8" w:color="C6D9F1"/>
              <w:right w:val="single" w:sz="8" w:color="auto"/>
            </w:tcBorders>
            <w:shd w:val="clear" w:color="auto" w:fill="C6D9F1"/>
          </w:tcPr>
          <w:p>
            <w:pPr>
              <w:spacing w:after="0"/>
              <w:rPr>
                <w:sz w:val="20"/>
                <w:szCs w:val="20"/>
                <w:color w:val="auto"/>
              </w:rPr>
            </w:pPr>
            <w:r>
              <w:rPr>
                <w:rFonts w:ascii="Arial" w:cs="Arial" w:eastAsia="Arial" w:hAnsi="Arial"/>
                <w:sz w:val="16"/>
                <w:szCs w:val="16"/>
                <w:color w:val="auto"/>
              </w:rPr>
              <w:t>Mr. Veltman</w:t>
            </w:r>
            <w:r>
              <w:rPr>
                <w:rFonts w:ascii="Arial" w:cs="Arial" w:eastAsia="Arial" w:hAnsi="Arial"/>
                <w:sz w:val="23"/>
                <w:szCs w:val="23"/>
                <w:color w:val="auto"/>
                <w:vertAlign w:val="superscript"/>
              </w:rPr>
              <w:t>(1)</w:t>
            </w:r>
          </w:p>
        </w:tc>
        <w:tc>
          <w:tcPr>
            <w:tcW w:w="98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$101,903</w:t>
            </w:r>
          </w:p>
        </w:tc>
        <w:tc>
          <w:tcPr>
            <w:tcW w:w="104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$101,849</w:t>
            </w:r>
          </w:p>
        </w:tc>
        <w:tc>
          <w:tcPr>
            <w:tcW w:w="110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$101,849</w:t>
            </w:r>
          </w:p>
        </w:tc>
        <w:tc>
          <w:tcPr>
            <w:tcW w:w="162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$305,601</w:t>
            </w:r>
          </w:p>
        </w:tc>
        <w:tc>
          <w:tcPr>
            <w:tcW w:w="0" w:type="dxa"/>
            <w:vAlign w:val="bottom"/>
          </w:tcPr>
          <w:p>
            <w:pPr>
              <w:spacing w:after="0"/>
              <w:rPr>
                <w:sz w:val="1"/>
                <w:szCs w:val="1"/>
                <w:color w:val="auto"/>
              </w:rPr>
            </w:pPr>
          </w:p>
        </w:tc>
      </w:tr>
      <w:tr>
        <w:trPr>
          <w:trHeight w:val="201"/>
        </w:trPr>
        <w:tc>
          <w:tcPr>
            <w:tcW w:w="186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6"/>
                <w:szCs w:val="16"/>
                <w:color w:val="auto"/>
              </w:rPr>
              <w:t>Mr. Holder</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$810,294</w:t>
            </w:r>
          </w:p>
        </w:tc>
        <w:tc>
          <w:tcPr>
            <w:tcW w:w="10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$809,853</w:t>
            </w: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$809,853</w:t>
            </w:r>
          </w:p>
        </w:tc>
        <w:tc>
          <w:tcPr>
            <w:tcW w:w="16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$2,430,000</w:t>
            </w:r>
          </w:p>
        </w:tc>
        <w:tc>
          <w:tcPr>
            <w:tcW w:w="0" w:type="dxa"/>
            <w:vAlign w:val="bottom"/>
          </w:tcPr>
          <w:p>
            <w:pPr>
              <w:spacing w:after="0"/>
              <w:rPr>
                <w:sz w:val="1"/>
                <w:szCs w:val="1"/>
                <w:color w:val="auto"/>
              </w:rPr>
            </w:pPr>
          </w:p>
        </w:tc>
      </w:tr>
      <w:tr>
        <w:trPr>
          <w:trHeight w:val="137"/>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43"/>
        </w:trPr>
        <w:tc>
          <w:tcPr>
            <w:tcW w:w="1860" w:type="dxa"/>
            <w:vAlign w:val="bottom"/>
            <w:tcBorders>
              <w:left w:val="single" w:sz="8" w:color="auto"/>
              <w:bottom w:val="single" w:sz="8" w:color="C6D9F1"/>
              <w:right w:val="single" w:sz="8" w:color="auto"/>
            </w:tcBorders>
            <w:shd w:val="clear" w:color="auto" w:fill="C6D9F1"/>
          </w:tcPr>
          <w:p>
            <w:pPr>
              <w:spacing w:after="0"/>
              <w:rPr>
                <w:sz w:val="20"/>
                <w:szCs w:val="20"/>
                <w:color w:val="auto"/>
              </w:rPr>
            </w:pPr>
            <w:r>
              <w:rPr>
                <w:rFonts w:ascii="Arial" w:cs="Arial" w:eastAsia="Arial" w:hAnsi="Arial"/>
                <w:sz w:val="16"/>
                <w:szCs w:val="16"/>
                <w:color w:val="auto"/>
              </w:rPr>
              <w:t>Mr. DeByle</w:t>
            </w:r>
            <w:r>
              <w:rPr>
                <w:rFonts w:ascii="Arial" w:cs="Arial" w:eastAsia="Arial" w:hAnsi="Arial"/>
                <w:sz w:val="23"/>
                <w:szCs w:val="23"/>
                <w:color w:val="auto"/>
                <w:vertAlign w:val="superscript"/>
              </w:rPr>
              <w:t>(2)</w:t>
            </w:r>
          </w:p>
        </w:tc>
        <w:tc>
          <w:tcPr>
            <w:tcW w:w="98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__</w:t>
            </w:r>
          </w:p>
        </w:tc>
        <w:tc>
          <w:tcPr>
            <w:tcW w:w="104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__</w:t>
            </w:r>
          </w:p>
        </w:tc>
        <w:tc>
          <w:tcPr>
            <w:tcW w:w="1100" w:type="dxa"/>
            <w:vAlign w:val="bottom"/>
            <w:tcBorders>
              <w:bottom w:val="single" w:sz="8" w:color="C6D9F1"/>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__</w:t>
            </w:r>
          </w:p>
        </w:tc>
        <w:tc>
          <w:tcPr>
            <w:tcW w:w="1620" w:type="dxa"/>
            <w:vAlign w:val="bottom"/>
            <w:tcBorders>
              <w:bottom w:val="single" w:sz="8" w:color="C6D9F1"/>
              <w:right w:val="single" w:sz="8" w:color="auto"/>
            </w:tcBorders>
            <w:shd w:val="clear" w:color="auto" w:fill="C6D9F1"/>
          </w:tcPr>
          <w:p>
            <w:pPr>
              <w:jc w:val="right"/>
              <w:ind w:right="16"/>
              <w:spacing w:after="0"/>
              <w:rPr>
                <w:sz w:val="20"/>
                <w:szCs w:val="20"/>
                <w:color w:val="auto"/>
              </w:rPr>
            </w:pPr>
            <w:r>
              <w:rPr>
                <w:rFonts w:ascii="Arial" w:cs="Arial" w:eastAsia="Arial" w:hAnsi="Arial"/>
                <w:sz w:val="16"/>
                <w:szCs w:val="16"/>
                <w:color w:val="auto"/>
              </w:rPr>
              <w:t>__</w:t>
            </w:r>
          </w:p>
        </w:tc>
        <w:tc>
          <w:tcPr>
            <w:tcW w:w="0" w:type="dxa"/>
            <w:vAlign w:val="bottom"/>
          </w:tcPr>
          <w:p>
            <w:pPr>
              <w:spacing w:after="0"/>
              <w:rPr>
                <w:sz w:val="1"/>
                <w:szCs w:val="1"/>
                <w:color w:val="auto"/>
              </w:rPr>
            </w:pPr>
          </w:p>
        </w:tc>
      </w:tr>
      <w:tr>
        <w:trPr>
          <w:trHeight w:val="201"/>
        </w:trPr>
        <w:tc>
          <w:tcPr>
            <w:tcW w:w="186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6"/>
                <w:szCs w:val="16"/>
                <w:color w:val="auto"/>
              </w:rPr>
              <w:t>Mr. Heiter</w:t>
            </w:r>
          </w:p>
        </w:tc>
        <w:tc>
          <w:tcPr>
            <w:tcW w:w="9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$100,643</w:t>
            </w:r>
          </w:p>
        </w:tc>
        <w:tc>
          <w:tcPr>
            <w:tcW w:w="10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$100,596</w:t>
            </w:r>
          </w:p>
        </w:tc>
        <w:tc>
          <w:tcPr>
            <w:tcW w:w="11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$100,596</w:t>
            </w:r>
          </w:p>
        </w:tc>
        <w:tc>
          <w:tcPr>
            <w:tcW w:w="16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$301,835</w:t>
            </w:r>
          </w:p>
        </w:tc>
        <w:tc>
          <w:tcPr>
            <w:tcW w:w="0" w:type="dxa"/>
            <w:vAlign w:val="bottom"/>
          </w:tcPr>
          <w:p>
            <w:pPr>
              <w:spacing w:after="0"/>
              <w:rPr>
                <w:sz w:val="1"/>
                <w:szCs w:val="1"/>
                <w:color w:val="auto"/>
              </w:rPr>
            </w:pPr>
          </w:p>
        </w:tc>
      </w:tr>
      <w:tr>
        <w:trPr>
          <w:trHeight w:val="137"/>
        </w:trPr>
        <w:tc>
          <w:tcPr>
            <w:tcW w:w="1860" w:type="dxa"/>
            <w:vAlign w:val="bottom"/>
            <w:tcBorders>
              <w:left w:val="single" w:sz="8" w:color="auto"/>
              <w:bottom w:val="single" w:sz="8" w:color="auto"/>
              <w:right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shd w:val="clear" w:color="auto" w:fill="C6D9F1"/>
          </w:tcPr>
          <w:p>
            <w:pPr>
              <w:spacing w:after="0"/>
              <w:rPr>
                <w:sz w:val="20"/>
                <w:szCs w:val="20"/>
                <w:color w:val="auto"/>
              </w:rPr>
            </w:pPr>
            <w:r>
              <w:rPr>
                <w:rFonts w:ascii="Arial" w:cs="Arial" w:eastAsia="Arial" w:hAnsi="Arial"/>
                <w:sz w:val="16"/>
                <w:szCs w:val="16"/>
                <w:color w:val="auto"/>
              </w:rPr>
              <w:t>Mr. Qualters</w:t>
            </w:r>
          </w:p>
        </w:tc>
        <w:tc>
          <w:tcPr>
            <w:tcW w:w="98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$86,525</w:t>
            </w:r>
          </w:p>
        </w:tc>
        <w:tc>
          <w:tcPr>
            <w:tcW w:w="104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$86,486</w:t>
            </w:r>
          </w:p>
        </w:tc>
        <w:tc>
          <w:tcPr>
            <w:tcW w:w="110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$86,486</w:t>
            </w:r>
          </w:p>
        </w:tc>
        <w:tc>
          <w:tcPr>
            <w:tcW w:w="162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$259,497</w:t>
            </w:r>
          </w:p>
        </w:tc>
        <w:tc>
          <w:tcPr>
            <w:tcW w:w="0" w:type="dxa"/>
            <w:vAlign w:val="bottom"/>
          </w:tcPr>
          <w:p>
            <w:pPr>
              <w:spacing w:after="0"/>
              <w:rPr>
                <w:sz w:val="1"/>
                <w:szCs w:val="1"/>
                <w:color w:val="auto"/>
              </w:rPr>
            </w:pPr>
          </w:p>
        </w:tc>
      </w:tr>
      <w:tr>
        <w:trPr>
          <w:trHeight w:val="137"/>
        </w:trPr>
        <w:tc>
          <w:tcPr>
            <w:tcW w:w="1860" w:type="dxa"/>
            <w:vAlign w:val="bottom"/>
            <w:tcBorders>
              <w:left w:val="single" w:sz="8" w:color="auto"/>
              <w:bottom w:val="single" w:sz="8" w:color="auto"/>
              <w:right w:val="single" w:sz="8" w:color="auto"/>
            </w:tcBorders>
            <w:shd w:val="clear" w:color="auto" w:fill="C6D9F1"/>
          </w:tcPr>
          <w:p>
            <w:pPr>
              <w:spacing w:after="0"/>
              <w:rPr>
                <w:sz w:val="11"/>
                <w:szCs w:val="11"/>
                <w:color w:val="auto"/>
              </w:rPr>
            </w:pPr>
          </w:p>
        </w:tc>
        <w:tc>
          <w:tcPr>
            <w:tcW w:w="980" w:type="dxa"/>
            <w:vAlign w:val="bottom"/>
            <w:tcBorders>
              <w:bottom w:val="single" w:sz="8" w:color="auto"/>
              <w:right w:val="single" w:sz="8" w:color="auto"/>
            </w:tcBorders>
            <w:shd w:val="clear" w:color="auto" w:fill="C6D9F1"/>
          </w:tcPr>
          <w:p>
            <w:pPr>
              <w:spacing w:after="0"/>
              <w:rPr>
                <w:sz w:val="11"/>
                <w:szCs w:val="11"/>
                <w:color w:val="auto"/>
              </w:rPr>
            </w:pPr>
          </w:p>
        </w:tc>
        <w:tc>
          <w:tcPr>
            <w:tcW w:w="1040" w:type="dxa"/>
            <w:vAlign w:val="bottom"/>
            <w:tcBorders>
              <w:bottom w:val="single" w:sz="8" w:color="auto"/>
              <w:right w:val="single" w:sz="8" w:color="auto"/>
            </w:tcBorders>
            <w:shd w:val="clear" w:color="auto" w:fill="C6D9F1"/>
          </w:tcPr>
          <w:p>
            <w:pPr>
              <w:spacing w:after="0"/>
              <w:rPr>
                <w:sz w:val="11"/>
                <w:szCs w:val="11"/>
                <w:color w:val="auto"/>
              </w:rPr>
            </w:pPr>
          </w:p>
        </w:tc>
        <w:tc>
          <w:tcPr>
            <w:tcW w:w="1100" w:type="dxa"/>
            <w:vAlign w:val="bottom"/>
            <w:tcBorders>
              <w:bottom w:val="single" w:sz="8" w:color="auto"/>
              <w:right w:val="single" w:sz="8" w:color="auto"/>
            </w:tcBorders>
            <w:shd w:val="clear" w:color="auto" w:fill="C6D9F1"/>
          </w:tcPr>
          <w:p>
            <w:pPr>
              <w:spacing w:after="0"/>
              <w:rPr>
                <w:sz w:val="11"/>
                <w:szCs w:val="11"/>
                <w:color w:val="auto"/>
              </w:rPr>
            </w:pPr>
          </w:p>
        </w:tc>
        <w:tc>
          <w:tcPr>
            <w:tcW w:w="1620" w:type="dxa"/>
            <w:vAlign w:val="bottom"/>
            <w:tcBorders>
              <w:bottom w:val="single" w:sz="8" w:color="auto"/>
              <w:right w:val="single" w:sz="8" w:color="auto"/>
            </w:tcBorders>
            <w:shd w:val="clear" w:color="auto" w:fill="C6D9F1"/>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1860" w:type="dxa"/>
            <w:vAlign w:val="bottom"/>
            <w:tcBorders>
              <w:left w:val="single" w:sz="8" w:color="auto"/>
              <w:right w:val="single" w:sz="8" w:color="auto"/>
            </w:tcBorders>
          </w:tcPr>
          <w:p>
            <w:pPr>
              <w:spacing w:after="0"/>
              <w:rPr>
                <w:sz w:val="20"/>
                <w:szCs w:val="20"/>
                <w:color w:val="auto"/>
              </w:rPr>
            </w:pPr>
            <w:r>
              <w:rPr>
                <w:rFonts w:ascii="Arial" w:cs="Arial" w:eastAsia="Arial" w:hAnsi="Arial"/>
                <w:sz w:val="16"/>
                <w:szCs w:val="16"/>
                <w:color w:val="auto"/>
              </w:rPr>
              <w:t>Mr. Buchan</w:t>
            </w:r>
            <w:r>
              <w:rPr>
                <w:rFonts w:ascii="Arial" w:cs="Arial" w:eastAsia="Arial" w:hAnsi="Arial"/>
                <w:sz w:val="23"/>
                <w:szCs w:val="23"/>
                <w:color w:val="auto"/>
                <w:vertAlign w:val="superscript"/>
              </w:rPr>
              <w:t>(3)</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__</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__</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__</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__</w:t>
            </w:r>
          </w:p>
        </w:tc>
        <w:tc>
          <w:tcPr>
            <w:tcW w:w="0" w:type="dxa"/>
            <w:vAlign w:val="bottom"/>
          </w:tcPr>
          <w:p>
            <w:pPr>
              <w:spacing w:after="0"/>
              <w:rPr>
                <w:sz w:val="1"/>
                <w:szCs w:val="1"/>
                <w:color w:val="auto"/>
              </w:rPr>
            </w:pPr>
          </w:p>
        </w:tc>
      </w:tr>
      <w:tr>
        <w:trPr>
          <w:trHeight w:val="37"/>
        </w:trPr>
        <w:tc>
          <w:tcPr>
            <w:tcW w:w="186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860" w:type="dxa"/>
            <w:vAlign w:val="bottom"/>
            <w:tcBorders>
              <w:left w:val="single" w:sz="8" w:color="auto"/>
              <w:right w:val="single" w:sz="8" w:color="auto"/>
            </w:tcBorders>
            <w:shd w:val="clear" w:color="auto" w:fill="C6D9F1"/>
          </w:tcPr>
          <w:p>
            <w:pPr>
              <w:spacing w:after="0"/>
              <w:rPr>
                <w:sz w:val="20"/>
                <w:szCs w:val="20"/>
                <w:color w:val="auto"/>
              </w:rPr>
            </w:pPr>
            <w:r>
              <w:rPr>
                <w:rFonts w:ascii="Arial" w:cs="Arial" w:eastAsia="Arial" w:hAnsi="Arial"/>
                <w:sz w:val="16"/>
                <w:szCs w:val="16"/>
                <w:color w:val="auto"/>
              </w:rPr>
              <w:t>Mr. Atkinson</w:t>
            </w:r>
          </w:p>
        </w:tc>
        <w:tc>
          <w:tcPr>
            <w:tcW w:w="98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$79,356</w:t>
            </w:r>
          </w:p>
        </w:tc>
        <w:tc>
          <w:tcPr>
            <w:tcW w:w="104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$79,322</w:t>
            </w:r>
          </w:p>
        </w:tc>
        <w:tc>
          <w:tcPr>
            <w:tcW w:w="110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$79,322</w:t>
            </w:r>
          </w:p>
        </w:tc>
        <w:tc>
          <w:tcPr>
            <w:tcW w:w="1620" w:type="dxa"/>
            <w:vAlign w:val="bottom"/>
            <w:tcBorders>
              <w:right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$238,000</w:t>
            </w:r>
          </w:p>
        </w:tc>
        <w:tc>
          <w:tcPr>
            <w:tcW w:w="0" w:type="dxa"/>
            <w:vAlign w:val="bottom"/>
          </w:tcPr>
          <w:p>
            <w:pPr>
              <w:spacing w:after="0"/>
              <w:rPr>
                <w:sz w:val="1"/>
                <w:szCs w:val="1"/>
                <w:color w:val="auto"/>
              </w:rPr>
            </w:pPr>
          </w:p>
        </w:tc>
      </w:tr>
      <w:tr>
        <w:trPr>
          <w:trHeight w:val="137"/>
        </w:trPr>
        <w:tc>
          <w:tcPr>
            <w:tcW w:w="1860" w:type="dxa"/>
            <w:vAlign w:val="bottom"/>
            <w:tcBorders>
              <w:left w:val="single" w:sz="8" w:color="auto"/>
              <w:bottom w:val="single" w:sz="8" w:color="auto"/>
              <w:right w:val="single" w:sz="8" w:color="auto"/>
            </w:tcBorders>
            <w:shd w:val="clear" w:color="auto" w:fill="C6D9F1"/>
          </w:tcPr>
          <w:p>
            <w:pPr>
              <w:spacing w:after="0"/>
              <w:rPr>
                <w:sz w:val="11"/>
                <w:szCs w:val="11"/>
                <w:color w:val="auto"/>
              </w:rPr>
            </w:pPr>
          </w:p>
        </w:tc>
        <w:tc>
          <w:tcPr>
            <w:tcW w:w="980" w:type="dxa"/>
            <w:vAlign w:val="bottom"/>
            <w:tcBorders>
              <w:bottom w:val="single" w:sz="8" w:color="auto"/>
              <w:right w:val="single" w:sz="8" w:color="auto"/>
            </w:tcBorders>
            <w:shd w:val="clear" w:color="auto" w:fill="C6D9F1"/>
          </w:tcPr>
          <w:p>
            <w:pPr>
              <w:spacing w:after="0"/>
              <w:rPr>
                <w:sz w:val="11"/>
                <w:szCs w:val="11"/>
                <w:color w:val="auto"/>
              </w:rPr>
            </w:pPr>
          </w:p>
        </w:tc>
        <w:tc>
          <w:tcPr>
            <w:tcW w:w="1040" w:type="dxa"/>
            <w:vAlign w:val="bottom"/>
            <w:tcBorders>
              <w:bottom w:val="single" w:sz="8" w:color="auto"/>
              <w:right w:val="single" w:sz="8" w:color="auto"/>
            </w:tcBorders>
            <w:shd w:val="clear" w:color="auto" w:fill="C6D9F1"/>
          </w:tcPr>
          <w:p>
            <w:pPr>
              <w:spacing w:after="0"/>
              <w:rPr>
                <w:sz w:val="11"/>
                <w:szCs w:val="11"/>
                <w:color w:val="auto"/>
              </w:rPr>
            </w:pPr>
          </w:p>
        </w:tc>
        <w:tc>
          <w:tcPr>
            <w:tcW w:w="1100" w:type="dxa"/>
            <w:vAlign w:val="bottom"/>
            <w:tcBorders>
              <w:bottom w:val="single" w:sz="8" w:color="auto"/>
              <w:right w:val="single" w:sz="8" w:color="auto"/>
            </w:tcBorders>
            <w:shd w:val="clear" w:color="auto" w:fill="C6D9F1"/>
          </w:tcPr>
          <w:p>
            <w:pPr>
              <w:spacing w:after="0"/>
              <w:rPr>
                <w:sz w:val="11"/>
                <w:szCs w:val="11"/>
                <w:color w:val="auto"/>
              </w:rPr>
            </w:pPr>
          </w:p>
        </w:tc>
        <w:tc>
          <w:tcPr>
            <w:tcW w:w="1620" w:type="dxa"/>
            <w:vAlign w:val="bottom"/>
            <w:tcBorders>
              <w:bottom w:val="single" w:sz="8" w:color="auto"/>
              <w:right w:val="single" w:sz="8" w:color="auto"/>
            </w:tcBorders>
            <w:shd w:val="clear" w:color="auto" w:fill="C6D9F1"/>
          </w:tcPr>
          <w:p>
            <w:pPr>
              <w:spacing w:after="0"/>
              <w:rPr>
                <w:sz w:val="11"/>
                <w:szCs w:val="11"/>
                <w:color w:val="auto"/>
              </w:rPr>
            </w:pPr>
          </w:p>
        </w:tc>
        <w:tc>
          <w:tcPr>
            <w:tcW w:w="0" w:type="dxa"/>
            <w:vAlign w:val="bottom"/>
          </w:tcPr>
          <w:p>
            <w:pPr>
              <w:spacing w:after="0"/>
              <w:rPr>
                <w:sz w:val="1"/>
                <w:szCs w:val="1"/>
                <w:color w:val="auto"/>
              </w:rPr>
            </w:pPr>
          </w:p>
        </w:tc>
      </w:tr>
    </w:tbl>
    <w:p>
      <w:pPr>
        <w:ind w:left="700"/>
        <w:spacing w:after="0"/>
        <w:rPr>
          <w:sz w:val="20"/>
          <w:szCs w:val="20"/>
          <w:color w:val="auto"/>
        </w:rPr>
      </w:pPr>
      <w:r>
        <w:rPr>
          <w:rFonts w:ascii="Arial" w:cs="Arial" w:eastAsia="Arial" w:hAnsi="Arial"/>
          <w:sz w:val="16"/>
          <w:szCs w:val="16"/>
          <w:color w:val="auto"/>
        </w:rPr>
        <w:t>_______________________</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34" w:name="page35"/>
    <w:bookmarkEnd w:id="34"/>
    <w:p>
      <w:pPr>
        <w:ind w:left="1080" w:right="120" w:hanging="390"/>
        <w:spacing w:after="0" w:line="264"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March 2019 when the long term incentive compensation awards were granted, Mr. Veltman was the Executive Vice President of the Mobile Solutions Group. Mr. Veltman was appointed President and Chief Executive Officer in September 2019.</w:t>
      </w:r>
    </w:p>
    <w:p>
      <w:pPr>
        <w:spacing w:after="0" w:line="1" w:lineRule="exact"/>
        <w:rPr>
          <w:rFonts w:ascii="Arial" w:cs="Arial" w:eastAsia="Arial" w:hAnsi="Arial"/>
          <w:sz w:val="16"/>
          <w:szCs w:val="16"/>
          <w:color w:val="auto"/>
        </w:rPr>
      </w:pPr>
    </w:p>
    <w:p>
      <w:pPr>
        <w:ind w:left="1080" w:hanging="390"/>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DeByle was hired in September 2019 and, accordingly, was not granted any long-term incentive opportunity awards in 2019.</w:t>
      </w:r>
    </w:p>
    <w:p>
      <w:pPr>
        <w:spacing w:after="0" w:line="13" w:lineRule="exact"/>
        <w:rPr>
          <w:rFonts w:ascii="Arial" w:cs="Arial" w:eastAsia="Arial" w:hAnsi="Arial"/>
          <w:sz w:val="16"/>
          <w:szCs w:val="16"/>
          <w:color w:val="auto"/>
        </w:rPr>
      </w:pPr>
    </w:p>
    <w:p>
      <w:pPr>
        <w:ind w:left="1080" w:right="40" w:hanging="390"/>
        <w:spacing w:after="0" w:line="266"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Prior to Mr. Buchan’s appointment as Executive Vice President, Mobile Solutions in September 2019, he was granted as long term incentive compensation, $108,181 of restricted stock and options to purchase 13,700 shares of common stock at an exercise price of $7.93 per share, each of which vest over a three year period.</w:t>
      </w:r>
    </w:p>
    <w:p>
      <w:pPr>
        <w:spacing w:after="0" w:line="365" w:lineRule="exact"/>
        <w:rPr>
          <w:sz w:val="20"/>
          <w:szCs w:val="20"/>
          <w:color w:val="auto"/>
        </w:rPr>
      </w:pPr>
    </w:p>
    <w:p>
      <w:pPr>
        <w:ind w:firstLine="508"/>
        <w:spacing w:after="0" w:line="273" w:lineRule="auto"/>
        <w:rPr>
          <w:sz w:val="20"/>
          <w:szCs w:val="20"/>
          <w:color w:val="auto"/>
        </w:rPr>
      </w:pPr>
      <w:r>
        <w:rPr>
          <w:rFonts w:ascii="Arial" w:cs="Arial" w:eastAsia="Arial" w:hAnsi="Arial"/>
          <w:sz w:val="16"/>
          <w:szCs w:val="16"/>
          <w:b w:val="1"/>
          <w:bCs w:val="1"/>
          <w:i w:val="1"/>
          <w:iCs w:val="1"/>
          <w:color w:val="auto"/>
        </w:rPr>
        <w:t>TSR and ROIC Metrics and Actual Performance Attainment – 2017-2019 Performance Period</w:t>
      </w:r>
      <w:r>
        <w:rPr>
          <w:rFonts w:ascii="Arial" w:cs="Arial" w:eastAsia="Arial" w:hAnsi="Arial"/>
          <w:sz w:val="16"/>
          <w:szCs w:val="16"/>
          <w:color w:val="auto"/>
        </w:rPr>
        <w:t>. In 2017, the Compensation Committee established the following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TSR and ROIC performance thresholds to be measured over the 2017-2019 performance period. The 2017 ROIC awards were based on a calculation of ROIC that was changed in 2019 and is no longer utilized.</w:t>
      </w:r>
    </w:p>
    <w:p>
      <w:pPr>
        <w:spacing w:after="0" w:line="60"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5520" w:type="dxa"/>
            <w:vAlign w:val="bottom"/>
          </w:tcPr>
          <w:p>
            <w:pPr>
              <w:spacing w:after="0"/>
              <w:rPr>
                <w:sz w:val="20"/>
                <w:szCs w:val="20"/>
                <w:color w:val="auto"/>
              </w:rPr>
            </w:pPr>
            <w:r>
              <w:rPr>
                <w:rFonts w:ascii="Arial" w:cs="Arial" w:eastAsia="Arial" w:hAnsi="Arial"/>
                <w:sz w:val="16"/>
                <w:szCs w:val="16"/>
                <w:b w:val="1"/>
                <w:bCs w:val="1"/>
                <w:color w:val="auto"/>
              </w:rPr>
              <w:t>TSR Performance</w:t>
            </w:r>
          </w:p>
        </w:tc>
        <w:tc>
          <w:tcPr>
            <w:tcW w:w="140" w:type="dxa"/>
            <w:vAlign w:val="bottom"/>
          </w:tcPr>
          <w:p>
            <w:pPr>
              <w:spacing w:after="0"/>
              <w:rPr>
                <w:sz w:val="18"/>
                <w:szCs w:val="18"/>
                <w:color w:val="auto"/>
              </w:rPr>
            </w:pPr>
          </w:p>
        </w:tc>
        <w:tc>
          <w:tcPr>
            <w:tcW w:w="1660" w:type="dxa"/>
            <w:vAlign w:val="bottom"/>
            <w:gridSpan w:val="2"/>
          </w:tcPr>
          <w:p>
            <w:pPr>
              <w:ind w:left="580"/>
              <w:spacing w:after="0"/>
              <w:rPr>
                <w:sz w:val="20"/>
                <w:szCs w:val="20"/>
                <w:color w:val="auto"/>
              </w:rPr>
            </w:pPr>
            <w:r>
              <w:rPr>
                <w:rFonts w:ascii="Arial" w:cs="Arial" w:eastAsia="Arial" w:hAnsi="Arial"/>
                <w:sz w:val="16"/>
                <w:szCs w:val="16"/>
                <w:b w:val="1"/>
                <w:bCs w:val="1"/>
                <w:color w:val="auto"/>
              </w:rPr>
              <w:t>Payout</w:t>
            </w:r>
          </w:p>
        </w:tc>
      </w:tr>
      <w:tr>
        <w:trPr>
          <w:trHeight w:val="191"/>
        </w:trPr>
        <w:tc>
          <w:tcPr>
            <w:tcW w:w="552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Threshold - At 35</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shd w:val="clear" w:color="auto" w:fill="C6D9F1"/>
          </w:tcPr>
          <w:p>
            <w:pPr>
              <w:spacing w:after="0"/>
              <w:rPr>
                <w:sz w:val="16"/>
                <w:szCs w:val="16"/>
                <w:color w:val="auto"/>
              </w:rPr>
            </w:pPr>
          </w:p>
        </w:tc>
        <w:tc>
          <w:tcPr>
            <w:tcW w:w="164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50% of target</w:t>
            </w:r>
          </w:p>
        </w:tc>
        <w:tc>
          <w:tcPr>
            <w:tcW w:w="20" w:type="dxa"/>
            <w:vAlign w:val="bottom"/>
          </w:tcPr>
          <w:p>
            <w:pPr>
              <w:spacing w:after="0"/>
              <w:rPr>
                <w:sz w:val="16"/>
                <w:szCs w:val="16"/>
                <w:color w:val="auto"/>
              </w:rPr>
            </w:pPr>
          </w:p>
        </w:tc>
      </w:tr>
      <w:tr>
        <w:trPr>
          <w:trHeight w:val="198"/>
        </w:trPr>
        <w:tc>
          <w:tcPr>
            <w:tcW w:w="5520" w:type="dxa"/>
            <w:vAlign w:val="bottom"/>
          </w:tcPr>
          <w:p>
            <w:pPr>
              <w:spacing w:after="0"/>
              <w:rPr>
                <w:sz w:val="20"/>
                <w:szCs w:val="20"/>
                <w:color w:val="auto"/>
              </w:rPr>
            </w:pPr>
            <w:r>
              <w:rPr>
                <w:rFonts w:ascii="Arial" w:cs="Arial" w:eastAsia="Arial" w:hAnsi="Arial"/>
                <w:sz w:val="16"/>
                <w:szCs w:val="16"/>
                <w:color w:val="auto"/>
              </w:rPr>
              <w:t>Target - At 50</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 of target</w:t>
            </w:r>
          </w:p>
        </w:tc>
        <w:tc>
          <w:tcPr>
            <w:tcW w:w="20" w:type="dxa"/>
            <w:vAlign w:val="bottom"/>
          </w:tcPr>
          <w:p>
            <w:pPr>
              <w:spacing w:after="0"/>
              <w:rPr>
                <w:sz w:val="17"/>
                <w:szCs w:val="17"/>
                <w:color w:val="auto"/>
              </w:rPr>
            </w:pPr>
          </w:p>
        </w:tc>
      </w:tr>
      <w:tr>
        <w:trPr>
          <w:trHeight w:val="198"/>
        </w:trPr>
        <w:tc>
          <w:tcPr>
            <w:tcW w:w="5520" w:type="dxa"/>
            <w:vAlign w:val="bottom"/>
            <w:shd w:val="clear" w:color="auto" w:fill="C6D9F1"/>
          </w:tcPr>
          <w:p>
            <w:pPr>
              <w:spacing w:after="0"/>
              <w:rPr>
                <w:sz w:val="20"/>
                <w:szCs w:val="20"/>
                <w:color w:val="auto"/>
              </w:rPr>
            </w:pPr>
            <w:r>
              <w:rPr>
                <w:rFonts w:ascii="Arial" w:cs="Arial" w:eastAsia="Arial" w:hAnsi="Arial"/>
                <w:sz w:val="16"/>
                <w:szCs w:val="16"/>
                <w:color w:val="auto"/>
              </w:rPr>
              <w:t>Maximum - At 75</w:t>
            </w:r>
            <w:r>
              <w:rPr>
                <w:rFonts w:ascii="Arial" w:cs="Arial" w:eastAsia="Arial" w:hAnsi="Arial"/>
                <w:sz w:val="13"/>
                <w:szCs w:val="13"/>
                <w:color w:val="auto"/>
              </w:rPr>
              <w:t>th</w:t>
            </w:r>
            <w:r>
              <w:rPr>
                <w:rFonts w:ascii="Arial" w:cs="Arial" w:eastAsia="Arial" w:hAnsi="Arial"/>
                <w:sz w:val="16"/>
                <w:szCs w:val="16"/>
                <w:color w:val="auto"/>
              </w:rPr>
              <w:t xml:space="preserve"> percentile</w:t>
            </w:r>
          </w:p>
        </w:tc>
        <w:tc>
          <w:tcPr>
            <w:tcW w:w="140" w:type="dxa"/>
            <w:vAlign w:val="bottom"/>
            <w:shd w:val="clear" w:color="auto" w:fill="C6D9F1"/>
          </w:tcPr>
          <w:p>
            <w:pPr>
              <w:spacing w:after="0"/>
              <w:rPr>
                <w:sz w:val="17"/>
                <w:szCs w:val="17"/>
                <w:color w:val="auto"/>
              </w:rPr>
            </w:pPr>
          </w:p>
        </w:tc>
        <w:tc>
          <w:tcPr>
            <w:tcW w:w="164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150% of target</w:t>
            </w:r>
          </w:p>
        </w:tc>
        <w:tc>
          <w:tcPr>
            <w:tcW w:w="20" w:type="dxa"/>
            <w:vAlign w:val="bottom"/>
          </w:tcPr>
          <w:p>
            <w:pPr>
              <w:spacing w:after="0"/>
              <w:rPr>
                <w:sz w:val="17"/>
                <w:szCs w:val="17"/>
                <w:color w:val="auto"/>
              </w:rPr>
            </w:pPr>
          </w:p>
        </w:tc>
      </w:tr>
    </w:tbl>
    <w:p>
      <w:pPr>
        <w:spacing w:after="0" w:line="119"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4940" w:type="dxa"/>
            <w:vAlign w:val="bottom"/>
          </w:tcPr>
          <w:p>
            <w:pPr>
              <w:spacing w:after="0"/>
              <w:rPr>
                <w:sz w:val="20"/>
                <w:szCs w:val="20"/>
                <w:color w:val="auto"/>
              </w:rPr>
            </w:pPr>
            <w:r>
              <w:rPr>
                <w:rFonts w:ascii="Arial" w:cs="Arial" w:eastAsia="Arial" w:hAnsi="Arial"/>
                <w:sz w:val="16"/>
                <w:szCs w:val="16"/>
                <w:b w:val="1"/>
                <w:bCs w:val="1"/>
                <w:color w:val="auto"/>
              </w:rPr>
              <w:t>ROIC Performance</w:t>
            </w:r>
          </w:p>
        </w:tc>
        <w:tc>
          <w:tcPr>
            <w:tcW w:w="240" w:type="dxa"/>
            <w:vAlign w:val="bottom"/>
          </w:tcPr>
          <w:p>
            <w:pPr>
              <w:spacing w:after="0"/>
              <w:rPr>
                <w:sz w:val="18"/>
                <w:szCs w:val="18"/>
                <w:color w:val="auto"/>
              </w:rPr>
            </w:pPr>
          </w:p>
        </w:tc>
        <w:tc>
          <w:tcPr>
            <w:tcW w:w="2140" w:type="dxa"/>
            <w:vAlign w:val="bottom"/>
            <w:gridSpan w:val="2"/>
          </w:tcPr>
          <w:p>
            <w:pPr>
              <w:ind w:left="820"/>
              <w:spacing w:after="0"/>
              <w:rPr>
                <w:sz w:val="20"/>
                <w:szCs w:val="20"/>
                <w:color w:val="auto"/>
              </w:rPr>
            </w:pPr>
            <w:r>
              <w:rPr>
                <w:rFonts w:ascii="Arial" w:cs="Arial" w:eastAsia="Arial" w:hAnsi="Arial"/>
                <w:sz w:val="16"/>
                <w:szCs w:val="16"/>
                <w:b w:val="1"/>
                <w:bCs w:val="1"/>
                <w:color w:val="auto"/>
              </w:rPr>
              <w:t>Payout</w:t>
            </w:r>
          </w:p>
        </w:tc>
      </w:tr>
      <w:tr>
        <w:trPr>
          <w:trHeight w:val="191"/>
        </w:trPr>
        <w:tc>
          <w:tcPr>
            <w:tcW w:w="4940" w:type="dxa"/>
            <w:vAlign w:val="bottom"/>
            <w:tcBorders>
              <w:top w:val="single" w:sz="8" w:color="auto"/>
            </w:tcBorders>
            <w:shd w:val="clear" w:color="auto" w:fill="C6D9F1"/>
          </w:tcPr>
          <w:p>
            <w:pPr>
              <w:spacing w:after="0"/>
              <w:rPr>
                <w:sz w:val="20"/>
                <w:szCs w:val="20"/>
                <w:color w:val="auto"/>
              </w:rPr>
            </w:pPr>
            <w:r>
              <w:rPr>
                <w:rFonts w:ascii="Arial" w:cs="Arial" w:eastAsia="Arial" w:hAnsi="Arial"/>
                <w:sz w:val="16"/>
                <w:szCs w:val="16"/>
                <w:color w:val="auto"/>
              </w:rPr>
              <w:t>Threshold – 15.0%</w:t>
            </w:r>
          </w:p>
        </w:tc>
        <w:tc>
          <w:tcPr>
            <w:tcW w:w="240" w:type="dxa"/>
            <w:vAlign w:val="bottom"/>
            <w:shd w:val="clear" w:color="auto" w:fill="C6D9F1"/>
          </w:tcPr>
          <w:p>
            <w:pPr>
              <w:spacing w:after="0"/>
              <w:rPr>
                <w:sz w:val="16"/>
                <w:szCs w:val="16"/>
                <w:color w:val="auto"/>
              </w:rPr>
            </w:pPr>
          </w:p>
        </w:tc>
        <w:tc>
          <w:tcPr>
            <w:tcW w:w="212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6"/>
                <w:szCs w:val="16"/>
                <w:color w:val="auto"/>
              </w:rPr>
              <w:t>35% of target</w:t>
            </w:r>
          </w:p>
        </w:tc>
        <w:tc>
          <w:tcPr>
            <w:tcW w:w="20" w:type="dxa"/>
            <w:vAlign w:val="bottom"/>
          </w:tcPr>
          <w:p>
            <w:pPr>
              <w:spacing w:after="0"/>
              <w:rPr>
                <w:sz w:val="16"/>
                <w:szCs w:val="16"/>
                <w:color w:val="auto"/>
              </w:rPr>
            </w:pPr>
          </w:p>
        </w:tc>
      </w:tr>
      <w:tr>
        <w:trPr>
          <w:trHeight w:val="198"/>
        </w:trPr>
        <w:tc>
          <w:tcPr>
            <w:tcW w:w="4940" w:type="dxa"/>
            <w:vAlign w:val="bottom"/>
          </w:tcPr>
          <w:p>
            <w:pPr>
              <w:spacing w:after="0"/>
              <w:rPr>
                <w:sz w:val="20"/>
                <w:szCs w:val="20"/>
                <w:color w:val="auto"/>
              </w:rPr>
            </w:pPr>
            <w:r>
              <w:rPr>
                <w:rFonts w:ascii="Arial" w:cs="Arial" w:eastAsia="Arial" w:hAnsi="Arial"/>
                <w:sz w:val="16"/>
                <w:szCs w:val="16"/>
                <w:color w:val="auto"/>
              </w:rPr>
              <w:t>Target – 17.5%</w:t>
            </w:r>
          </w:p>
        </w:tc>
        <w:tc>
          <w:tcPr>
            <w:tcW w:w="2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100% of target</w:t>
            </w:r>
          </w:p>
        </w:tc>
        <w:tc>
          <w:tcPr>
            <w:tcW w:w="20" w:type="dxa"/>
            <w:vAlign w:val="bottom"/>
          </w:tcPr>
          <w:p>
            <w:pPr>
              <w:spacing w:after="0"/>
              <w:rPr>
                <w:sz w:val="17"/>
                <w:szCs w:val="17"/>
                <w:color w:val="auto"/>
              </w:rPr>
            </w:pPr>
          </w:p>
        </w:tc>
      </w:tr>
      <w:tr>
        <w:trPr>
          <w:trHeight w:val="198"/>
        </w:trPr>
        <w:tc>
          <w:tcPr>
            <w:tcW w:w="4940" w:type="dxa"/>
            <w:vAlign w:val="bottom"/>
            <w:shd w:val="clear" w:color="auto" w:fill="C6D9F1"/>
          </w:tcPr>
          <w:p>
            <w:pPr>
              <w:spacing w:after="0"/>
              <w:rPr>
                <w:sz w:val="20"/>
                <w:szCs w:val="20"/>
                <w:color w:val="auto"/>
              </w:rPr>
            </w:pPr>
            <w:r>
              <w:rPr>
                <w:rFonts w:ascii="Arial" w:cs="Arial" w:eastAsia="Arial" w:hAnsi="Arial"/>
                <w:sz w:val="16"/>
                <w:szCs w:val="16"/>
                <w:color w:val="auto"/>
              </w:rPr>
              <w:t>Maximum – 20.0%</w:t>
            </w:r>
          </w:p>
        </w:tc>
        <w:tc>
          <w:tcPr>
            <w:tcW w:w="240" w:type="dxa"/>
            <w:vAlign w:val="bottom"/>
            <w:shd w:val="clear" w:color="auto" w:fill="C6D9F1"/>
          </w:tcPr>
          <w:p>
            <w:pPr>
              <w:spacing w:after="0"/>
              <w:rPr>
                <w:sz w:val="17"/>
                <w:szCs w:val="17"/>
                <w:color w:val="auto"/>
              </w:rPr>
            </w:pPr>
          </w:p>
        </w:tc>
        <w:tc>
          <w:tcPr>
            <w:tcW w:w="21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150% of target</w:t>
            </w:r>
          </w:p>
        </w:tc>
        <w:tc>
          <w:tcPr>
            <w:tcW w:w="20" w:type="dxa"/>
            <w:vAlign w:val="bottom"/>
          </w:tcPr>
          <w:p>
            <w:pPr>
              <w:spacing w:after="0"/>
              <w:rPr>
                <w:sz w:val="17"/>
                <w:szCs w:val="17"/>
                <w:color w:val="auto"/>
              </w:rPr>
            </w:pPr>
          </w:p>
        </w:tc>
      </w:tr>
    </w:tbl>
    <w:p>
      <w:pPr>
        <w:spacing w:after="0" w:line="184" w:lineRule="exact"/>
        <w:rPr>
          <w:sz w:val="20"/>
          <w:szCs w:val="20"/>
          <w:color w:val="auto"/>
        </w:rPr>
      </w:pPr>
    </w:p>
    <w:p>
      <w:pPr>
        <w:ind w:right="160" w:firstLine="508"/>
        <w:spacing w:after="0" w:line="274" w:lineRule="auto"/>
        <w:rPr>
          <w:sz w:val="20"/>
          <w:szCs w:val="20"/>
          <w:color w:val="auto"/>
        </w:rPr>
      </w:pPr>
      <w:r>
        <w:rPr>
          <w:rFonts w:ascii="Arial" w:cs="Arial" w:eastAsia="Arial" w:hAnsi="Arial"/>
          <w:sz w:val="16"/>
          <w:szCs w:val="16"/>
          <w:color w:val="auto"/>
        </w:rPr>
        <w:t>In March 2020, we certified to the Compensation Committee that during the 2017-2019 performance period Relative TSR was -65% (6</w:t>
      </w:r>
      <w:r>
        <w:rPr>
          <w:rFonts w:ascii="Arial" w:cs="Arial" w:eastAsia="Arial" w:hAnsi="Arial"/>
          <w:sz w:val="13"/>
          <w:szCs w:val="13"/>
          <w:color w:val="auto"/>
        </w:rPr>
        <w:t>th</w:t>
      </w:r>
      <w:r>
        <w:rPr>
          <w:rFonts w:ascii="Arial" w:cs="Arial" w:eastAsia="Arial" w:hAnsi="Arial"/>
          <w:sz w:val="16"/>
          <w:szCs w:val="16"/>
          <w:color w:val="auto"/>
        </w:rPr>
        <w:t xml:space="preserve"> percentile) and ROIC was 12.8%, both of which were below the threshold requirements. As a result of the Relative TSR and ROIC results, no performance shares were awarded to our NEOs under the 2017 Long-Term Incentive Compensation Plan.</w:t>
      </w:r>
    </w:p>
    <w:p>
      <w:pPr>
        <w:spacing w:after="0" w:line="157" w:lineRule="exact"/>
        <w:rPr>
          <w:sz w:val="20"/>
          <w:szCs w:val="20"/>
          <w:color w:val="auto"/>
        </w:rPr>
      </w:pPr>
    </w:p>
    <w:p>
      <w:pPr>
        <w:ind w:firstLine="508"/>
        <w:spacing w:after="0" w:line="302" w:lineRule="auto"/>
        <w:rPr>
          <w:sz w:val="20"/>
          <w:szCs w:val="20"/>
          <w:color w:val="auto"/>
        </w:rPr>
      </w:pPr>
      <w:r>
        <w:rPr>
          <w:rFonts w:ascii="Arial" w:cs="Arial" w:eastAsia="Arial" w:hAnsi="Arial"/>
          <w:sz w:val="15"/>
          <w:szCs w:val="15"/>
          <w:b w:val="1"/>
          <w:bCs w:val="1"/>
          <w:i w:val="1"/>
          <w:iCs w:val="1"/>
          <w:color w:val="auto"/>
        </w:rPr>
        <w:t>Benefits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addition to the three elements of total direct compensation (base salary, annual incentive compensation and long-term equity incentive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provide certain other benefits to our NEOs, including Company-matched contributions under a 401(k) savings plan, premium payments relating to supplemental disability insurance, health savings accounts, group term life insurance, employee travel allowance, relocation costs and moving expenses.</w:t>
      </w:r>
    </w:p>
    <w:p>
      <w:pPr>
        <w:spacing w:after="0" w:line="143" w:lineRule="exact"/>
        <w:rPr>
          <w:sz w:val="20"/>
          <w:szCs w:val="20"/>
          <w:color w:val="auto"/>
        </w:rPr>
      </w:pPr>
    </w:p>
    <w:p>
      <w:pPr>
        <w:ind w:right="240" w:firstLine="508"/>
        <w:spacing w:after="0" w:line="300" w:lineRule="auto"/>
        <w:rPr>
          <w:sz w:val="20"/>
          <w:szCs w:val="20"/>
          <w:color w:val="auto"/>
        </w:rPr>
      </w:pPr>
      <w:r>
        <w:rPr>
          <w:rFonts w:ascii="Arial" w:cs="Arial" w:eastAsia="Arial" w:hAnsi="Arial"/>
          <w:sz w:val="15"/>
          <w:szCs w:val="15"/>
          <w:b w:val="1"/>
          <w:bCs w:val="1"/>
          <w:i w:val="1"/>
          <w:iCs w:val="1"/>
          <w:color w:val="auto"/>
        </w:rPr>
        <w:t xml:space="preserve">Employment Related Restricted Stock Grants. </w:t>
      </w:r>
      <w:r>
        <w:rPr>
          <w:rFonts w:ascii="Arial" w:cs="Arial" w:eastAsia="Arial" w:hAnsi="Arial"/>
          <w:sz w:val="15"/>
          <w:szCs w:val="15"/>
          <w:color w:val="auto"/>
        </w:rPr>
        <w:t>Also in 2019, and in connection with the appointment of Mr. Veltman as President and Chief Executive Officer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of Mr. DeByle as Senior Vice President and Chief Financial Officer, the Compensation Committee approved stock grants to Mr. Veltman and Mr. DeByle in the amounts of $200,000 each in September and October 2019, respectively. These grants each vest one year from the respective date of grant.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Say on Pay Analysis</w:t>
      </w:r>
    </w:p>
    <w:p>
      <w:pPr>
        <w:spacing w:after="0" w:line="215" w:lineRule="exact"/>
        <w:rPr>
          <w:sz w:val="20"/>
          <w:szCs w:val="20"/>
          <w:color w:val="auto"/>
        </w:rPr>
      </w:pPr>
    </w:p>
    <w:p>
      <w:pPr>
        <w:ind w:right="40" w:firstLine="508"/>
        <w:spacing w:after="0" w:line="264" w:lineRule="auto"/>
        <w:rPr>
          <w:sz w:val="20"/>
          <w:szCs w:val="20"/>
          <w:color w:val="auto"/>
        </w:rPr>
      </w:pPr>
      <w:r>
        <w:rPr>
          <w:rFonts w:ascii="Arial" w:cs="Arial" w:eastAsia="Arial" w:hAnsi="Arial"/>
          <w:sz w:val="16"/>
          <w:szCs w:val="16"/>
          <w:color w:val="auto"/>
        </w:rPr>
        <w:t>At our 2019 Annual Meeting, we held an annual advisory vote on executive compensation, and approximately 84% of our stockholders voted in favor of our named executive officer compensation for 2018. 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 Furthermore, based on the results of the advisory vote held at our 2017 Annual Meeting on the frequency of advisory votes on executive compensation, we intend to continue our practice to hold an advisory vote to approve our named executive officer compensation annually.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Considerations</w:t>
      </w:r>
    </w:p>
    <w:p>
      <w:pPr>
        <w:spacing w:after="0" w:line="215" w:lineRule="exact"/>
        <w:rPr>
          <w:sz w:val="20"/>
          <w:szCs w:val="20"/>
          <w:color w:val="auto"/>
        </w:rPr>
      </w:pPr>
    </w:p>
    <w:p>
      <w:pPr>
        <w:ind w:firstLine="508"/>
        <w:spacing w:after="0" w:line="300" w:lineRule="auto"/>
        <w:rPr>
          <w:sz w:val="20"/>
          <w:szCs w:val="20"/>
          <w:color w:val="auto"/>
        </w:rPr>
      </w:pPr>
      <w:r>
        <w:rPr>
          <w:rFonts w:ascii="Arial" w:cs="Arial" w:eastAsia="Arial" w:hAnsi="Arial"/>
          <w:sz w:val="15"/>
          <w:szCs w:val="15"/>
          <w:color w:val="auto"/>
        </w:rPr>
        <w:t>We structure our executive compensation arrangements to encourage executives to take appropriate risks designed to enhance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35" w:name="page36"/>
    <w:bookmarkEnd w:id="35"/>
    <w:p>
      <w:pPr>
        <w:ind w:right="140"/>
        <w:spacing w:after="0" w:line="289" w:lineRule="auto"/>
        <w:rPr>
          <w:sz w:val="20"/>
          <w:szCs w:val="20"/>
          <w:color w:val="auto"/>
        </w:rPr>
      </w:pPr>
      <w:r>
        <w:rPr>
          <w:rFonts w:ascii="Arial" w:cs="Arial" w:eastAsia="Arial" w:hAnsi="Arial"/>
          <w:sz w:val="16"/>
          <w:szCs w:val="16"/>
          <w:color w:val="auto"/>
        </w:rPr>
        <w:t>assessed our compensation objectives, philosophy, policies, procedures and forms of compensation, and has concluded that our compensation program and principles do not create risks that are likely to have a material adverse effect.</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With respect to specific elements of compensation:</w:t>
      </w:r>
    </w:p>
    <w:p>
      <w:pPr>
        <w:spacing w:after="0" w:line="211" w:lineRule="exact"/>
        <w:rPr>
          <w:sz w:val="20"/>
          <w:szCs w:val="20"/>
          <w:color w:val="auto"/>
        </w:rPr>
      </w:pPr>
    </w:p>
    <w:p>
      <w:pPr>
        <w:ind w:left="1300" w:right="140" w:hanging="400"/>
        <w:spacing w:after="0" w:line="289"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 salary does not encourage risk-taking as it is a fixed amount and but one component of a balanced, multi-component approach to compensation and rewards.</w:t>
      </w:r>
    </w:p>
    <w:p>
      <w:pPr>
        <w:spacing w:after="0" w:line="50" w:lineRule="exact"/>
        <w:rPr>
          <w:rFonts w:ascii="Arial" w:cs="Arial" w:eastAsia="Arial" w:hAnsi="Arial"/>
          <w:sz w:val="16"/>
          <w:szCs w:val="16"/>
          <w:color w:val="auto"/>
        </w:rPr>
      </w:pPr>
    </w:p>
    <w:p>
      <w:pPr>
        <w:ind w:left="1300" w:right="60" w:hanging="400"/>
        <w:spacing w:after="0" w:line="273"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executive incentive compensation for executive officers is designed to reward achievement of performance metrics that take into account the expense of such compensation, which we believe facilitates the creation of stockholder value. Through a combination of plan design and management procedures, undue risk-taking is mitigated.</w:t>
      </w:r>
    </w:p>
    <w:p>
      <w:pPr>
        <w:spacing w:after="0" w:line="63" w:lineRule="exact"/>
        <w:rPr>
          <w:rFonts w:ascii="Arial" w:cs="Arial" w:eastAsia="Arial" w:hAnsi="Arial"/>
          <w:sz w:val="16"/>
          <w:szCs w:val="16"/>
          <w:color w:val="auto"/>
        </w:rPr>
      </w:pPr>
    </w:p>
    <w:p>
      <w:pPr>
        <w:ind w:left="1300" w:right="240" w:hanging="400"/>
        <w:spacing w:after="0" w:line="300" w:lineRule="auto"/>
        <w:tabs>
          <w:tab w:leader="none" w:pos="13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Awards under our long-term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negates any motivation to take inappropriate risks associated with business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our Executive Officers</w:t>
      </w:r>
    </w:p>
    <w:p>
      <w:pPr>
        <w:spacing w:after="0" w:line="215" w:lineRule="exact"/>
        <w:rPr>
          <w:sz w:val="20"/>
          <w:szCs w:val="20"/>
          <w:color w:val="auto"/>
        </w:rPr>
      </w:pPr>
    </w:p>
    <w:p>
      <w:pPr>
        <w:ind w:right="300" w:firstLine="508"/>
        <w:spacing w:after="0" w:line="268" w:lineRule="auto"/>
        <w:rPr>
          <w:sz w:val="20"/>
          <w:szCs w:val="20"/>
          <w:color w:val="auto"/>
        </w:rPr>
      </w:pPr>
      <w:r>
        <w:rPr>
          <w:rFonts w:ascii="Arial" w:cs="Arial" w:eastAsia="Arial" w:hAnsi="Arial"/>
          <w:sz w:val="16"/>
          <w:szCs w:val="16"/>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the Chief Executive Officer</w:t>
      </w:r>
    </w:p>
    <w:p>
      <w:pPr>
        <w:spacing w:after="0" w:line="215" w:lineRule="exact"/>
        <w:rPr>
          <w:sz w:val="20"/>
          <w:szCs w:val="20"/>
          <w:color w:val="auto"/>
        </w:rPr>
      </w:pPr>
    </w:p>
    <w:p>
      <w:pPr>
        <w:ind w:firstLine="508"/>
        <w:spacing w:after="0" w:line="278" w:lineRule="auto"/>
        <w:rPr>
          <w:sz w:val="20"/>
          <w:szCs w:val="20"/>
          <w:color w:val="auto"/>
        </w:rPr>
      </w:pPr>
      <w:r>
        <w:rPr>
          <w:rFonts w:ascii="Arial" w:cs="Arial" w:eastAsia="Arial" w:hAnsi="Arial"/>
          <w:sz w:val="15"/>
          <w:szCs w:val="15"/>
          <w:color w:val="auto"/>
        </w:rPr>
        <w:t>Our decisions regarding compensation of our Chief Executive Officer, or our CEO, are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as compared to our annual business plan and compares the CEO’s compensation to the peer</w:t>
      </w:r>
    </w:p>
    <w:p>
      <w:pPr>
        <w:spacing w:after="0" w:line="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companies. Additionally, on an annual basis, the CEO prepares a written succession plan that is reviewed by the Compensation Committee. This plan includes a plan of succession for the CEO and our other executive officers.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Policies</w:t>
      </w:r>
    </w:p>
    <w:p>
      <w:pPr>
        <w:spacing w:after="0" w:line="215" w:lineRule="exact"/>
        <w:rPr>
          <w:sz w:val="20"/>
          <w:szCs w:val="20"/>
          <w:color w:val="auto"/>
        </w:rPr>
      </w:pPr>
    </w:p>
    <w:p>
      <w:pPr>
        <w:ind w:right="20" w:firstLine="508"/>
        <w:spacing w:after="0" w:line="264" w:lineRule="auto"/>
        <w:rPr>
          <w:sz w:val="20"/>
          <w:szCs w:val="20"/>
          <w:color w:val="auto"/>
        </w:rPr>
      </w:pPr>
      <w:r>
        <w:rPr>
          <w:rFonts w:ascii="Arial" w:cs="Arial" w:eastAsia="Arial" w:hAnsi="Arial"/>
          <w:sz w:val="16"/>
          <w:szCs w:val="16"/>
          <w:b w:val="1"/>
          <w:bCs w:val="1"/>
          <w:i w:val="1"/>
          <w:iCs w:val="1"/>
          <w:color w:val="auto"/>
        </w:rPr>
        <w:t>Stock Ownership Requirements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further align management and stockholder interests and discourage inappropriate or excessive risk-taking, our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policy requires each executive officer to obtain a substantial equity stake in the Company within five years of their appointment to an executive position. Our CEO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w:t>
      </w:r>
    </w:p>
    <w:p>
      <w:pPr>
        <w:spacing w:after="0" w:line="169" w:lineRule="exact"/>
        <w:rPr>
          <w:sz w:val="20"/>
          <w:szCs w:val="20"/>
          <w:color w:val="auto"/>
        </w:rPr>
      </w:pPr>
    </w:p>
    <w:p>
      <w:pPr>
        <w:ind w:firstLine="508"/>
        <w:spacing w:after="0" w:line="289" w:lineRule="auto"/>
        <w:rPr>
          <w:sz w:val="20"/>
          <w:szCs w:val="20"/>
          <w:color w:val="auto"/>
        </w:rPr>
      </w:pPr>
      <w:r>
        <w:rPr>
          <w:rFonts w:ascii="Arial" w:cs="Arial" w:eastAsia="Arial" w:hAnsi="Arial"/>
          <w:sz w:val="16"/>
          <w:szCs w:val="16"/>
          <w:b w:val="1"/>
          <w:bCs w:val="1"/>
          <w:i w:val="1"/>
          <w:iCs w:val="1"/>
          <w:color w:val="auto"/>
        </w:rPr>
        <w:t>Pledging Policy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our insider trading policy prohibits any director or officer (including the NEOs) from pledging any of our securities as collateral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 without first obtaining approval from our Chief Executive Officer and our General Counsel.</w:t>
      </w:r>
    </w:p>
    <w:p>
      <w:pPr>
        <w:spacing w:after="0" w:line="150" w:lineRule="exact"/>
        <w:rPr>
          <w:sz w:val="20"/>
          <w:szCs w:val="20"/>
          <w:color w:val="auto"/>
        </w:rPr>
      </w:pPr>
    </w:p>
    <w:p>
      <w:pPr>
        <w:ind w:right="180" w:firstLine="508"/>
        <w:spacing w:after="0" w:line="289" w:lineRule="auto"/>
        <w:rPr>
          <w:sz w:val="20"/>
          <w:szCs w:val="20"/>
          <w:color w:val="auto"/>
        </w:rPr>
      </w:pPr>
      <w:r>
        <w:rPr>
          <w:rFonts w:ascii="Arial" w:cs="Arial" w:eastAsia="Arial" w:hAnsi="Arial"/>
          <w:sz w:val="16"/>
          <w:szCs w:val="16"/>
          <w:b w:val="1"/>
          <w:bCs w:val="1"/>
          <w:i w:val="1"/>
          <w:iCs w:val="1"/>
          <w:color w:val="auto"/>
        </w:rPr>
        <w:t>Hedging Policy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insider trading policy prohibits our directors and officers (including the NEOs) from engaging in any transactions involving a derivative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securities, including hedging transactions.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 Compensation Recoupment (Claw-Back) Policy</w:t>
      </w:r>
    </w:p>
    <w:p>
      <w:pPr>
        <w:spacing w:after="0" w:line="215" w:lineRule="exact"/>
        <w:rPr>
          <w:sz w:val="20"/>
          <w:szCs w:val="20"/>
          <w:color w:val="auto"/>
        </w:rPr>
      </w:pPr>
    </w:p>
    <w:p>
      <w:pPr>
        <w:ind w:right="140" w:firstLine="508"/>
        <w:spacing w:after="0" w:line="289" w:lineRule="auto"/>
        <w:rPr>
          <w:sz w:val="20"/>
          <w:szCs w:val="20"/>
          <w:color w:val="auto"/>
        </w:rPr>
      </w:pPr>
      <w:r>
        <w:rPr>
          <w:rFonts w:ascii="Arial" w:cs="Arial" w:eastAsia="Arial" w:hAnsi="Arial"/>
          <w:sz w:val="16"/>
          <w:szCs w:val="16"/>
          <w:color w:val="auto"/>
        </w:rPr>
        <w:t>To further discourage inappropriate or excessive risk-taking, the Compensation Committee has adopted a recoupment policy applicable to our executive officers. Under the policy, in the event of a material restatement of our consolidated financial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36" w:name="page37"/>
    <w:bookmarkEnd w:id="36"/>
    <w:p>
      <w:pPr>
        <w:ind w:right="120"/>
        <w:spacing w:after="0" w:line="268" w:lineRule="auto"/>
        <w:rPr>
          <w:sz w:val="20"/>
          <w:szCs w:val="20"/>
          <w:color w:val="auto"/>
        </w:rPr>
      </w:pPr>
      <w:r>
        <w:rPr>
          <w:rFonts w:ascii="Arial" w:cs="Arial" w:eastAsia="Arial" w:hAnsi="Arial"/>
          <w:sz w:val="16"/>
          <w:szCs w:val="16"/>
          <w:color w:val="auto"/>
        </w:rPr>
        <w:t>statements, willful misconduct or fraud, the Compensation Committee may, to the extent permitted by law and to the extent it determines that it is in our best interests to do so, in addition to all other remedies available to us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COMPENSATION COMMITTEE REPORT</w:t>
      </w:r>
    </w:p>
    <w:p>
      <w:pPr>
        <w:spacing w:after="0" w:line="215" w:lineRule="exact"/>
        <w:rPr>
          <w:sz w:val="20"/>
          <w:szCs w:val="20"/>
          <w:color w:val="auto"/>
        </w:rPr>
      </w:pPr>
    </w:p>
    <w:p>
      <w:pPr>
        <w:ind w:firstLine="508"/>
        <w:spacing w:after="0" w:line="273" w:lineRule="auto"/>
        <w:rPr>
          <w:sz w:val="20"/>
          <w:szCs w:val="20"/>
          <w:color w:val="auto"/>
        </w:rPr>
      </w:pPr>
      <w:r>
        <w:rPr>
          <w:rFonts w:ascii="Arial" w:cs="Arial" w:eastAsia="Arial" w:hAnsi="Arial"/>
          <w:sz w:val="16"/>
          <w:szCs w:val="16"/>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Members of the Compensation Committee:</w:t>
      </w:r>
    </w:p>
    <w:p>
      <w:pPr>
        <w:spacing w:after="0" w:line="11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Steven T. Warshaw, Chairman</w:t>
      </w:r>
    </w:p>
    <w:p>
      <w:pPr>
        <w:spacing w:after="0" w:line="2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Raynard D. Benvenuti</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Robert E. Brunner</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David K. Floyd</w:t>
      </w:r>
    </w:p>
    <w:p>
      <w:pPr>
        <w:spacing w:after="0" w:line="1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Jeri J. Harman</w:t>
      </w:r>
    </w:p>
    <w:p>
      <w:pPr>
        <w:spacing w:after="0" w:line="299" w:lineRule="exact"/>
        <w:rPr>
          <w:sz w:val="20"/>
          <w:szCs w:val="20"/>
          <w:color w:val="auto"/>
        </w:rPr>
      </w:pPr>
    </w:p>
    <w:p>
      <w:pPr>
        <w:jc w:val="both"/>
        <w:ind w:right="160" w:firstLine="539"/>
        <w:spacing w:after="0" w:line="365" w:lineRule="auto"/>
        <w:rPr>
          <w:sz w:val="20"/>
          <w:szCs w:val="20"/>
          <w:color w:val="auto"/>
        </w:rPr>
      </w:pPr>
      <w:r>
        <w:rPr>
          <w:rFonts w:ascii="Arial" w:cs="Arial" w:eastAsia="Arial" w:hAnsi="Arial"/>
          <w:sz w:val="14"/>
          <w:szCs w:val="14"/>
          <w:color w:val="auto"/>
        </w:rPr>
        <w:t>*The material in the foregoing Compensation Committee report is not “soliciting material,” is not deemed “filed” with the SEC and is not to be incorporated by reference into any of our filings under the Securities Act of 1933, as amended, or the Securities Act, or the Exchange Act, whether made before or after the date hereof.</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20"/>
          </w:cols>
          <w:pgMar w:left="320" w:top="547" w:right="359" w:bottom="1440" w:gutter="0" w:footer="0" w:header="0"/>
        </w:sectPr>
      </w:pPr>
    </w:p>
    <w:bookmarkStart w:id="37" w:name="page38"/>
    <w:bookmarkEnd w:id="37"/>
    <w:p>
      <w:pPr>
        <w:jc w:val="center"/>
        <w:ind w:right="99"/>
        <w:spacing w:after="0"/>
        <w:rPr>
          <w:sz w:val="20"/>
          <w:szCs w:val="20"/>
          <w:color w:val="auto"/>
        </w:rPr>
      </w:pPr>
      <w:r>
        <w:rPr>
          <w:rFonts w:ascii="Arial" w:cs="Arial" w:eastAsia="Arial" w:hAnsi="Arial"/>
          <w:sz w:val="16"/>
          <w:szCs w:val="16"/>
          <w:b w:val="1"/>
          <w:bCs w:val="1"/>
          <w:color w:val="auto"/>
        </w:rPr>
        <w:t>COMPENSATION TABLES</w:t>
      </w:r>
    </w:p>
    <w:p>
      <w:pPr>
        <w:spacing w:after="0" w:line="31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Summary Compensation Table</w:t>
      </w:r>
    </w:p>
    <w:p>
      <w:pPr>
        <w:spacing w:after="0" w:line="215" w:lineRule="exact"/>
        <w:rPr>
          <w:sz w:val="20"/>
          <w:szCs w:val="20"/>
          <w:color w:val="auto"/>
        </w:rPr>
      </w:pPr>
    </w:p>
    <w:p>
      <w:pPr>
        <w:ind w:left="1" w:right="280" w:firstLine="495"/>
        <w:spacing w:after="0" w:line="261" w:lineRule="auto"/>
        <w:rPr>
          <w:sz w:val="20"/>
          <w:szCs w:val="20"/>
          <w:color w:val="auto"/>
        </w:rPr>
      </w:pPr>
      <w:r>
        <w:rPr>
          <w:rFonts w:ascii="Arial" w:cs="Arial" w:eastAsia="Arial" w:hAnsi="Arial"/>
          <w:sz w:val="16"/>
          <w:szCs w:val="16"/>
          <w:color w:val="auto"/>
        </w:rPr>
        <w:t>The following table sets forth for the year ended December 31, 2019 information concerning the compensation paid for services rendered in all capacities by the named executive officers.</w:t>
      </w:r>
    </w:p>
    <w:tbl>
      <w:tblPr>
        <w:tblLayout w:type="fixed"/>
        <w:tblInd w:w="1" w:type="dxa"/>
        <w:tblCellMar>
          <w:top w:w="0" w:type="dxa"/>
          <w:left w:w="0" w:type="dxa"/>
          <w:bottom w:w="0" w:type="dxa"/>
          <w:right w:w="0" w:type="dxa"/>
        </w:tblCellMar>
      </w:tblPr>
      <w:tr>
        <w:trPr>
          <w:trHeight w:val="123"/>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92"/>
              </w:rPr>
              <w:t>Change in</w:t>
            </w:r>
          </w:p>
        </w:tc>
        <w:tc>
          <w:tcPr>
            <w:tcW w:w="1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9"/>
              </w:rPr>
              <w:t>Pension Value</w:t>
            </w: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4"/>
              </w:rPr>
              <w:t>Non-equity</w:t>
            </w:r>
          </w:p>
        </w:tc>
        <w:tc>
          <w:tcPr>
            <w:tcW w:w="14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6"/>
              </w:rPr>
              <w:t>and</w:t>
            </w: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2"/>
              </w:rPr>
              <w:t>Incentive</w:t>
            </w:r>
          </w:p>
        </w:tc>
        <w:tc>
          <w:tcPr>
            <w:tcW w:w="14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1"/>
              </w:rPr>
              <w:t>Nonqualified</w:t>
            </w: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87"/>
              </w:rPr>
              <w:t>Plan</w:t>
            </w:r>
          </w:p>
        </w:tc>
        <w:tc>
          <w:tcPr>
            <w:tcW w:w="148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3"/>
              </w:rPr>
              <w:t>Deferred</w:t>
            </w: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0"/>
              </w:rPr>
              <w:t>Stock</w:t>
            </w:r>
          </w:p>
        </w:tc>
        <w:tc>
          <w:tcPr>
            <w:tcW w:w="9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5"/>
              </w:rPr>
              <w:t>Option</w:t>
            </w: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2"/>
              </w:rPr>
              <w:t>Compen-</w:t>
            </w:r>
          </w:p>
        </w:tc>
        <w:tc>
          <w:tcPr>
            <w:tcW w:w="14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8"/>
              </w:rPr>
              <w:t>Compensation</w:t>
            </w:r>
          </w:p>
        </w:tc>
        <w:tc>
          <w:tcPr>
            <w:tcW w:w="1760" w:type="dxa"/>
            <w:vAlign w:val="bottom"/>
            <w:gridSpan w:val="2"/>
          </w:tcPr>
          <w:p>
            <w:pPr>
              <w:jc w:val="center"/>
              <w:ind w:right="300"/>
              <w:spacing w:after="0" w:line="136" w:lineRule="exact"/>
              <w:rPr>
                <w:sz w:val="20"/>
                <w:szCs w:val="20"/>
                <w:color w:val="auto"/>
              </w:rPr>
            </w:pPr>
            <w:r>
              <w:rPr>
                <w:rFonts w:ascii="Arial" w:cs="Arial" w:eastAsia="Arial" w:hAnsi="Arial"/>
                <w:sz w:val="13"/>
                <w:szCs w:val="13"/>
                <w:b w:val="1"/>
                <w:bCs w:val="1"/>
                <w:color w:val="auto"/>
                <w:w w:val="98"/>
              </w:rPr>
              <w:t>All Other</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vMerge w:val="restart"/>
          </w:tcPr>
          <w:p>
            <w:pPr>
              <w:spacing w:after="0"/>
              <w:rPr>
                <w:sz w:val="20"/>
                <w:szCs w:val="20"/>
                <w:color w:val="auto"/>
              </w:rPr>
            </w:pPr>
            <w:r>
              <w:rPr>
                <w:rFonts w:ascii="Arial" w:cs="Arial" w:eastAsia="Arial" w:hAnsi="Arial"/>
                <w:sz w:val="13"/>
                <w:szCs w:val="13"/>
                <w:b w:val="1"/>
                <w:bCs w:val="1"/>
                <w:color w:val="auto"/>
                <w:w w:val="91"/>
              </w:rPr>
              <w:t>Name and Principal Position</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280"/>
              <w:spacing w:after="0" w:line="136" w:lineRule="exact"/>
              <w:rPr>
                <w:sz w:val="20"/>
                <w:szCs w:val="20"/>
                <w:color w:val="auto"/>
              </w:rPr>
            </w:pPr>
            <w:r>
              <w:rPr>
                <w:rFonts w:ascii="Arial" w:cs="Arial" w:eastAsia="Arial" w:hAnsi="Arial"/>
                <w:sz w:val="13"/>
                <w:szCs w:val="13"/>
                <w:b w:val="1"/>
                <w:bCs w:val="1"/>
                <w:color w:val="auto"/>
              </w:rPr>
              <w:t>Salary</w:t>
            </w:r>
          </w:p>
        </w:tc>
        <w:tc>
          <w:tcPr>
            <w:tcW w:w="1220" w:type="dxa"/>
            <w:vAlign w:val="bottom"/>
            <w:gridSpan w:val="2"/>
          </w:tcPr>
          <w:p>
            <w:pPr>
              <w:ind w:left="360"/>
              <w:spacing w:after="0" w:line="136" w:lineRule="exact"/>
              <w:rPr>
                <w:sz w:val="20"/>
                <w:szCs w:val="20"/>
                <w:color w:val="auto"/>
              </w:rPr>
            </w:pPr>
            <w:r>
              <w:rPr>
                <w:rFonts w:ascii="Arial" w:cs="Arial" w:eastAsia="Arial" w:hAnsi="Arial"/>
                <w:sz w:val="13"/>
                <w:szCs w:val="13"/>
                <w:b w:val="1"/>
                <w:bCs w:val="1"/>
                <w:color w:val="auto"/>
              </w:rPr>
              <w:t>Bonus</w:t>
            </w:r>
          </w:p>
        </w:tc>
        <w:tc>
          <w:tcPr>
            <w:tcW w:w="114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Awards</w:t>
            </w:r>
          </w:p>
        </w:tc>
        <w:tc>
          <w:tcPr>
            <w:tcW w:w="9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Awards</w:t>
            </w:r>
          </w:p>
        </w:tc>
        <w:tc>
          <w:tcPr>
            <w:tcW w:w="11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83"/>
              </w:rPr>
              <w:t>sation</w:t>
            </w:r>
          </w:p>
        </w:tc>
        <w:tc>
          <w:tcPr>
            <w:tcW w:w="148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3"/>
              </w:rPr>
              <w:t>Earnings</w:t>
            </w:r>
          </w:p>
        </w:tc>
        <w:tc>
          <w:tcPr>
            <w:tcW w:w="17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88"/>
              </w:rPr>
              <w:t>Compensation</w:t>
            </w:r>
          </w:p>
        </w:tc>
        <w:tc>
          <w:tcPr>
            <w:tcW w:w="580" w:type="dxa"/>
            <w:vAlign w:val="bottom"/>
            <w:gridSpan w:val="2"/>
          </w:tcPr>
          <w:p>
            <w:pPr>
              <w:jc w:val="right"/>
              <w:ind w:right="20"/>
              <w:spacing w:after="0" w:line="136" w:lineRule="exact"/>
              <w:rPr>
                <w:sz w:val="20"/>
                <w:szCs w:val="20"/>
                <w:color w:val="auto"/>
              </w:rPr>
            </w:pPr>
            <w:r>
              <w:rPr>
                <w:rFonts w:ascii="Arial" w:cs="Arial" w:eastAsia="Arial" w:hAnsi="Arial"/>
                <w:sz w:val="13"/>
                <w:szCs w:val="13"/>
                <w:b w:val="1"/>
                <w:bCs w:val="1"/>
                <w:color w:val="auto"/>
              </w:rPr>
              <w:t>Tota</w:t>
            </w:r>
          </w:p>
        </w:tc>
        <w:tc>
          <w:tcPr>
            <w:tcW w:w="0" w:type="dxa"/>
            <w:vAlign w:val="bottom"/>
          </w:tcPr>
          <w:p>
            <w:pPr>
              <w:spacing w:after="0"/>
              <w:rPr>
                <w:sz w:val="1"/>
                <w:szCs w:val="1"/>
                <w:color w:val="auto"/>
              </w:rPr>
            </w:pPr>
          </w:p>
        </w:tc>
      </w:tr>
      <w:tr>
        <w:trPr>
          <w:trHeight w:val="164"/>
        </w:trPr>
        <w:tc>
          <w:tcPr>
            <w:tcW w:w="1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right"/>
              <w:ind w:right="214"/>
              <w:spacing w:after="0" w:line="144"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80" w:type="dxa"/>
            <w:vAlign w:val="bottom"/>
          </w:tcPr>
          <w:p>
            <w:pPr>
              <w:ind w:left="460"/>
              <w:spacing w:after="0" w:line="144"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(8)</w:t>
            </w:r>
          </w:p>
        </w:tc>
        <w:tc>
          <w:tcPr>
            <w:tcW w:w="100" w:type="dxa"/>
            <w:vAlign w:val="bottom"/>
          </w:tcPr>
          <w:p>
            <w:pPr>
              <w:spacing w:after="0"/>
              <w:rPr>
                <w:sz w:val="14"/>
                <w:szCs w:val="14"/>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(9)</w:t>
            </w:r>
          </w:p>
        </w:tc>
        <w:tc>
          <w:tcPr>
            <w:tcW w:w="100" w:type="dxa"/>
            <w:vAlign w:val="bottom"/>
          </w:tcPr>
          <w:p>
            <w:pPr>
              <w:spacing w:after="0"/>
              <w:rPr>
                <w:sz w:val="14"/>
                <w:szCs w:val="14"/>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1"/>
                <w:szCs w:val="11"/>
                <w:b w:val="1"/>
                <w:bCs w:val="1"/>
                <w:color w:val="auto"/>
                <w:w w:val="95"/>
              </w:rPr>
              <w:t>(10)</w:t>
            </w:r>
          </w:p>
        </w:tc>
        <w:tc>
          <w:tcPr>
            <w:tcW w:w="100" w:type="dxa"/>
            <w:vAlign w:val="bottom"/>
          </w:tcPr>
          <w:p>
            <w:pPr>
              <w:spacing w:after="0"/>
              <w:rPr>
                <w:sz w:val="14"/>
                <w:szCs w:val="14"/>
                <w:color w:val="auto"/>
              </w:rPr>
            </w:pPr>
          </w:p>
        </w:tc>
        <w:tc>
          <w:tcPr>
            <w:tcW w:w="13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14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11"/>
                <w:szCs w:val="11"/>
                <w:b w:val="1"/>
                <w:bCs w:val="1"/>
                <w:color w:val="auto"/>
                <w:w w:val="90"/>
              </w:rPr>
              <w:t>(11)</w:t>
            </w:r>
          </w:p>
        </w:tc>
        <w:tc>
          <w:tcPr>
            <w:tcW w:w="320" w:type="dxa"/>
            <w:vAlign w:val="bottom"/>
          </w:tcPr>
          <w:p>
            <w:pPr>
              <w:spacing w:after="0"/>
              <w:rPr>
                <w:sz w:val="14"/>
                <w:szCs w:val="14"/>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620" w:type="dxa"/>
            <w:vAlign w:val="bottom"/>
          </w:tcPr>
          <w:p>
            <w:pPr>
              <w:spacing w:after="0" w:line="105" w:lineRule="exact"/>
              <w:rPr>
                <w:sz w:val="20"/>
                <w:szCs w:val="20"/>
                <w:color w:val="auto"/>
              </w:rPr>
            </w:pPr>
            <w:r>
              <w:rPr>
                <w:rFonts w:ascii="Arial" w:cs="Arial" w:eastAsia="Arial" w:hAnsi="Arial"/>
                <w:sz w:val="12"/>
                <w:szCs w:val="12"/>
                <w:color w:val="auto"/>
              </w:rPr>
              <w:t>Warren A. Veltman</w:t>
            </w: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4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2019</w:t>
            </w:r>
          </w:p>
        </w:tc>
        <w:tc>
          <w:tcPr>
            <w:tcW w:w="180" w:type="dxa"/>
            <w:vAlign w:val="bottom"/>
          </w:tcPr>
          <w:p>
            <w:pPr>
              <w:spacing w:after="0"/>
              <w:rPr>
                <w:sz w:val="9"/>
                <w:szCs w:val="9"/>
                <w:color w:val="auto"/>
              </w:rPr>
            </w:pPr>
          </w:p>
        </w:tc>
        <w:tc>
          <w:tcPr>
            <w:tcW w:w="7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426,865</w:t>
            </w:r>
          </w:p>
        </w:tc>
        <w:tc>
          <w:tcPr>
            <w:tcW w:w="100" w:type="dxa"/>
            <w:vAlign w:val="bottom"/>
          </w:tcPr>
          <w:p>
            <w:pPr>
              <w:spacing w:after="0"/>
              <w:rPr>
                <w:sz w:val="9"/>
                <w:szCs w:val="9"/>
                <w:color w:val="auto"/>
              </w:rPr>
            </w:pPr>
          </w:p>
        </w:tc>
        <w:tc>
          <w:tcPr>
            <w:tcW w:w="1080" w:type="dxa"/>
            <w:vAlign w:val="bottom"/>
            <w:tcBorders>
              <w:top w:val="single" w:sz="8" w:color="auto"/>
            </w:tcBorders>
          </w:tcPr>
          <w:p>
            <w:pPr>
              <w:ind w:left="940"/>
              <w:spacing w:after="0" w:line="105" w:lineRule="exact"/>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9"/>
                <w:szCs w:val="9"/>
                <w:color w:val="auto"/>
              </w:rPr>
            </w:pPr>
          </w:p>
        </w:tc>
        <w:tc>
          <w:tcPr>
            <w:tcW w:w="10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496,712</w:t>
            </w:r>
          </w:p>
        </w:tc>
        <w:tc>
          <w:tcPr>
            <w:tcW w:w="100" w:type="dxa"/>
            <w:vAlign w:val="bottom"/>
          </w:tcPr>
          <w:p>
            <w:pPr>
              <w:spacing w:after="0"/>
              <w:rPr>
                <w:sz w:val="9"/>
                <w:szCs w:val="9"/>
                <w:color w:val="auto"/>
              </w:rPr>
            </w:pPr>
          </w:p>
        </w:tc>
        <w:tc>
          <w:tcPr>
            <w:tcW w:w="820" w:type="dxa"/>
            <w:vAlign w:val="bottom"/>
            <w:tcBorders>
              <w:top w:val="single" w:sz="8" w:color="auto"/>
            </w:tcBorders>
          </w:tcPr>
          <w:p>
            <w:pPr>
              <w:ind w:left="700"/>
              <w:spacing w:after="0" w:line="105" w:lineRule="exact"/>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9"/>
                <w:szCs w:val="9"/>
                <w:color w:val="auto"/>
              </w:rPr>
            </w:pPr>
          </w:p>
        </w:tc>
        <w:tc>
          <w:tcPr>
            <w:tcW w:w="10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9"/>
                <w:szCs w:val="9"/>
                <w:color w:val="auto"/>
              </w:rPr>
            </w:pPr>
          </w:p>
        </w:tc>
        <w:tc>
          <w:tcPr>
            <w:tcW w:w="1360" w:type="dxa"/>
            <w:vAlign w:val="bottom"/>
            <w:tcBorders>
              <w:top w:val="single" w:sz="8" w:color="auto"/>
            </w:tcBorders>
          </w:tcPr>
          <w:p>
            <w:pPr>
              <w:ind w:left="1240"/>
              <w:spacing w:after="0" w:line="105" w:lineRule="exact"/>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9"/>
                <w:szCs w:val="9"/>
                <w:color w:val="auto"/>
              </w:rPr>
            </w:pPr>
          </w:p>
        </w:tc>
        <w:tc>
          <w:tcPr>
            <w:tcW w:w="144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20,466</w:t>
            </w:r>
          </w:p>
        </w:tc>
        <w:tc>
          <w:tcPr>
            <w:tcW w:w="320" w:type="dxa"/>
            <w:vAlign w:val="bottom"/>
          </w:tcPr>
          <w:p>
            <w:pPr>
              <w:spacing w:after="0"/>
              <w:rPr>
                <w:sz w:val="9"/>
                <w:szCs w:val="9"/>
                <w:color w:val="auto"/>
              </w:rPr>
            </w:pPr>
          </w:p>
        </w:tc>
        <w:tc>
          <w:tcPr>
            <w:tcW w:w="56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2"/>
                <w:szCs w:val="12"/>
                <w:color w:val="auto"/>
              </w:rPr>
              <w:t>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President and Chief</w:t>
            </w:r>
          </w:p>
        </w:tc>
        <w:tc>
          <w:tcPr>
            <w:tcW w:w="680" w:type="dxa"/>
            <w:vAlign w:val="bottom"/>
            <w:gridSpan w:val="3"/>
          </w:tcPr>
          <w:p>
            <w:pPr>
              <w:jc w:val="right"/>
              <w:ind w:right="180"/>
              <w:spacing w:after="0" w:line="136" w:lineRule="exact"/>
              <w:rPr>
                <w:sz w:val="20"/>
                <w:szCs w:val="20"/>
                <w:color w:val="auto"/>
              </w:rPr>
            </w:pPr>
            <w:r>
              <w:rPr>
                <w:rFonts w:ascii="Arial" w:cs="Arial" w:eastAsia="Arial" w:hAnsi="Arial"/>
                <w:sz w:val="13"/>
                <w:szCs w:val="13"/>
                <w:color w:val="auto"/>
              </w:rPr>
              <w:t>2018</w:t>
            </w:r>
          </w:p>
        </w:tc>
        <w:tc>
          <w:tcPr>
            <w:tcW w:w="82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359,264</w:t>
            </w:r>
          </w:p>
        </w:tc>
        <w:tc>
          <w:tcPr>
            <w:tcW w:w="1220" w:type="dxa"/>
            <w:vAlign w:val="bottom"/>
            <w:gridSpan w:val="2"/>
          </w:tcPr>
          <w:p>
            <w:pPr>
              <w:ind w:left="94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305,989</w:t>
            </w:r>
          </w:p>
        </w:tc>
        <w:tc>
          <w:tcPr>
            <w:tcW w:w="92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240"/>
              <w:spacing w:after="0" w:line="136"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line="136" w:lineRule="exact"/>
              <w:rPr>
                <w:sz w:val="20"/>
                <w:szCs w:val="20"/>
                <w:color w:val="auto"/>
              </w:rPr>
            </w:pPr>
            <w:r>
              <w:rPr>
                <w:rFonts w:ascii="Arial" w:cs="Arial" w:eastAsia="Arial" w:hAnsi="Arial"/>
                <w:sz w:val="13"/>
                <w:szCs w:val="13"/>
                <w:color w:val="auto"/>
              </w:rPr>
              <w:t>14,883</w:t>
            </w:r>
          </w:p>
        </w:tc>
        <w:tc>
          <w:tcPr>
            <w:tcW w:w="58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2"/>
        </w:trPr>
        <w:tc>
          <w:tcPr>
            <w:tcW w:w="1620" w:type="dxa"/>
            <w:vAlign w:val="bottom"/>
          </w:tcPr>
          <w:p>
            <w:pPr>
              <w:ind w:left="400"/>
              <w:spacing w:after="0"/>
              <w:rPr>
                <w:sz w:val="20"/>
                <w:szCs w:val="20"/>
                <w:color w:val="auto"/>
              </w:rPr>
            </w:pPr>
            <w:r>
              <w:rPr>
                <w:rFonts w:ascii="Arial" w:cs="Arial" w:eastAsia="Arial" w:hAnsi="Arial"/>
                <w:sz w:val="13"/>
                <w:szCs w:val="13"/>
                <w:i w:val="1"/>
                <w:iCs w:val="1"/>
                <w:color w:val="auto"/>
              </w:rPr>
              <w:t>Executive Officer</w:t>
            </w: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2017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344,748</w:t>
            </w: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301,716</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192,891</w:t>
            </w:r>
          </w:p>
        </w:tc>
        <w:tc>
          <w:tcPr>
            <w:tcW w:w="148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3"/>
                <w:szCs w:val="13"/>
                <w:color w:val="auto"/>
              </w:rPr>
              <w:t>8,326</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0"/>
        </w:trPr>
        <w:tc>
          <w:tcPr>
            <w:tcW w:w="1620" w:type="dxa"/>
            <w:vAlign w:val="bottom"/>
            <w:shd w:val="clear" w:color="auto" w:fill="C6D9F1"/>
          </w:tcPr>
          <w:p>
            <w:pPr>
              <w:spacing w:after="0" w:line="120" w:lineRule="exact"/>
              <w:rPr>
                <w:sz w:val="20"/>
                <w:szCs w:val="20"/>
                <w:color w:val="auto"/>
              </w:rPr>
            </w:pPr>
            <w:r>
              <w:rPr>
                <w:rFonts w:ascii="Arial" w:cs="Arial" w:eastAsia="Arial" w:hAnsi="Arial"/>
                <w:sz w:val="13"/>
                <w:szCs w:val="13"/>
                <w:color w:val="auto"/>
              </w:rPr>
              <w:t>Richard D. Holder</w:t>
            </w:r>
            <w:r>
              <w:rPr>
                <w:rFonts w:ascii="Arial" w:cs="Arial" w:eastAsia="Arial" w:hAnsi="Arial"/>
                <w:sz w:val="11"/>
                <w:szCs w:val="11"/>
                <w:color w:val="auto"/>
              </w:rPr>
              <w:t>(2)</w:t>
            </w:r>
          </w:p>
        </w:tc>
        <w:tc>
          <w:tcPr>
            <w:tcW w:w="680" w:type="dxa"/>
            <w:vAlign w:val="bottom"/>
            <w:gridSpan w:val="3"/>
            <w:shd w:val="clear" w:color="auto" w:fill="C6D9F1"/>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691,615</w:t>
            </w:r>
          </w:p>
        </w:tc>
        <w:tc>
          <w:tcPr>
            <w:tcW w:w="1220" w:type="dxa"/>
            <w:vAlign w:val="bottom"/>
            <w:gridSpan w:val="2"/>
            <w:shd w:val="clear" w:color="auto" w:fill="C6D9F1"/>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2,359,372</w:t>
            </w:r>
          </w:p>
        </w:tc>
        <w:tc>
          <w:tcPr>
            <w:tcW w:w="9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20" w:lineRule="exact"/>
              <w:rPr>
                <w:sz w:val="20"/>
                <w:szCs w:val="20"/>
                <w:color w:val="auto"/>
              </w:rPr>
            </w:pPr>
            <w:r>
              <w:rPr>
                <w:rFonts w:ascii="Arial" w:cs="Arial" w:eastAsia="Arial" w:hAnsi="Arial"/>
                <w:sz w:val="13"/>
                <w:szCs w:val="13"/>
                <w:color w:val="auto"/>
              </w:rPr>
              <w:t>753,777</w:t>
            </w:r>
          </w:p>
        </w:tc>
        <w:tc>
          <w:tcPr>
            <w:tcW w:w="560" w:type="dxa"/>
            <w:vAlign w:val="bottom"/>
            <w:shd w:val="clear" w:color="auto" w:fill="C6D9F1"/>
          </w:tcPr>
          <w:p>
            <w:pPr>
              <w:jc w:val="right"/>
              <w:spacing w:after="0" w:line="120" w:lineRule="exact"/>
              <w:rPr>
                <w:sz w:val="20"/>
                <w:szCs w:val="20"/>
                <w:color w:val="auto"/>
              </w:rPr>
            </w:pPr>
            <w:r>
              <w:rPr>
                <w:rFonts w:ascii="Arial" w:cs="Arial" w:eastAsia="Arial" w:hAnsi="Arial"/>
                <w:sz w:val="13"/>
                <w:szCs w:val="13"/>
                <w:color w:val="auto"/>
              </w:rPr>
              <w:t>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w w:val="95"/>
              </w:rPr>
              <w:t>Former President and</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Chief</w:t>
            </w:r>
          </w:p>
        </w:tc>
        <w:tc>
          <w:tcPr>
            <w:tcW w:w="100" w:type="dxa"/>
            <w:vAlign w:val="bottom"/>
            <w:shd w:val="clear" w:color="auto" w:fill="C6D9F1"/>
          </w:tcPr>
          <w:p>
            <w:pPr>
              <w:spacing w:after="0"/>
              <w:rPr>
                <w:sz w:val="11"/>
                <w:szCs w:val="11"/>
                <w:color w:val="auto"/>
              </w:rPr>
            </w:pPr>
          </w:p>
        </w:tc>
        <w:tc>
          <w:tcPr>
            <w:tcW w:w="580" w:type="dxa"/>
            <w:vAlign w:val="bottom"/>
            <w:gridSpan w:val="2"/>
            <w:shd w:val="clear" w:color="auto" w:fill="C6D9F1"/>
          </w:tcPr>
          <w:p>
            <w:pPr>
              <w:jc w:val="right"/>
              <w:ind w:right="180"/>
              <w:spacing w:after="0" w:line="136" w:lineRule="exact"/>
              <w:rPr>
                <w:sz w:val="20"/>
                <w:szCs w:val="20"/>
                <w:color w:val="auto"/>
              </w:rPr>
            </w:pPr>
            <w:r>
              <w:rPr>
                <w:rFonts w:ascii="Arial" w:cs="Arial" w:eastAsia="Arial" w:hAnsi="Arial"/>
                <w:sz w:val="13"/>
                <w:szCs w:val="13"/>
                <w:color w:val="auto"/>
              </w:rPr>
              <w:t>2018</w:t>
            </w:r>
          </w:p>
        </w:tc>
        <w:tc>
          <w:tcPr>
            <w:tcW w:w="8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941,539</w:t>
            </w:r>
          </w:p>
        </w:tc>
        <w:tc>
          <w:tcPr>
            <w:tcW w:w="1220" w:type="dxa"/>
            <w:vAlign w:val="bottom"/>
            <w:gridSpan w:val="2"/>
            <w:shd w:val="clear" w:color="auto" w:fill="C6D9F1"/>
          </w:tcPr>
          <w:p>
            <w:pPr>
              <w:ind w:left="94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2,252,989</w:t>
            </w:r>
          </w:p>
        </w:tc>
        <w:tc>
          <w:tcPr>
            <w:tcW w:w="9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36"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36" w:lineRule="exact"/>
              <w:rPr>
                <w:sz w:val="20"/>
                <w:szCs w:val="20"/>
                <w:color w:val="auto"/>
              </w:rPr>
            </w:pPr>
            <w:r>
              <w:rPr>
                <w:rFonts w:ascii="Arial" w:cs="Arial" w:eastAsia="Arial" w:hAnsi="Arial"/>
                <w:sz w:val="13"/>
                <w:szCs w:val="13"/>
                <w:color w:val="auto"/>
              </w:rPr>
              <w:t>856,434</w:t>
            </w:r>
          </w:p>
        </w:tc>
        <w:tc>
          <w:tcPr>
            <w:tcW w:w="560" w:type="dxa"/>
            <w:vAlign w:val="bottom"/>
            <w:shd w:val="clear" w:color="auto" w:fill="C6D9F1"/>
          </w:tcPr>
          <w:p>
            <w:pPr>
              <w:jc w:val="right"/>
              <w:spacing w:after="0" w:line="136" w:lineRule="exact"/>
              <w:rPr>
                <w:sz w:val="20"/>
                <w:szCs w:val="20"/>
                <w:color w:val="auto"/>
              </w:rPr>
            </w:pPr>
            <w:r>
              <w:rPr>
                <w:rFonts w:ascii="Arial" w:cs="Arial" w:eastAsia="Arial" w:hAnsi="Arial"/>
                <w:sz w:val="13"/>
                <w:szCs w:val="13"/>
                <w:color w:val="auto"/>
              </w:rPr>
              <w:t>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shd w:val="clear" w:color="auto" w:fill="C6D9F1"/>
          </w:tcPr>
          <w:p>
            <w:pPr>
              <w:ind w:left="400"/>
              <w:spacing w:after="0"/>
              <w:rPr>
                <w:sz w:val="20"/>
                <w:szCs w:val="20"/>
                <w:color w:val="auto"/>
              </w:rPr>
            </w:pPr>
            <w:r>
              <w:rPr>
                <w:rFonts w:ascii="Arial" w:cs="Arial" w:eastAsia="Arial" w:hAnsi="Arial"/>
                <w:sz w:val="13"/>
                <w:szCs w:val="13"/>
                <w:i w:val="1"/>
                <w:iCs w:val="1"/>
                <w:color w:val="auto"/>
              </w:rPr>
              <w:t>Executive Officer</w:t>
            </w:r>
          </w:p>
        </w:tc>
        <w:tc>
          <w:tcPr>
            <w:tcW w:w="100" w:type="dxa"/>
            <w:vAlign w:val="bottom"/>
            <w:shd w:val="clear" w:color="auto" w:fill="C6D9F1"/>
          </w:tcPr>
          <w:p>
            <w:pPr>
              <w:spacing w:after="0"/>
              <w:rPr>
                <w:sz w:val="13"/>
                <w:szCs w:val="13"/>
                <w:color w:val="auto"/>
              </w:rPr>
            </w:pPr>
          </w:p>
        </w:tc>
        <w:tc>
          <w:tcPr>
            <w:tcW w:w="580" w:type="dxa"/>
            <w:vAlign w:val="bottom"/>
            <w:gridSpan w:val="2"/>
            <w:shd w:val="clear" w:color="auto" w:fill="C6D9F1"/>
          </w:tcPr>
          <w:p>
            <w:pPr>
              <w:jc w:val="right"/>
              <w:ind w:right="180"/>
              <w:spacing w:after="0"/>
              <w:rPr>
                <w:sz w:val="20"/>
                <w:szCs w:val="20"/>
                <w:color w:val="auto"/>
              </w:rPr>
            </w:pPr>
            <w:r>
              <w:rPr>
                <w:rFonts w:ascii="Arial" w:cs="Arial" w:eastAsia="Arial" w:hAnsi="Arial"/>
                <w:sz w:val="13"/>
                <w:szCs w:val="13"/>
                <w:color w:val="auto"/>
              </w:rPr>
              <w:t>2017</w:t>
            </w:r>
          </w:p>
        </w:tc>
        <w:tc>
          <w:tcPr>
            <w:tcW w:w="720" w:type="dxa"/>
            <w:vAlign w:val="bottom"/>
            <w:shd w:val="clear" w:color="auto" w:fill="C6D9F1"/>
          </w:tcPr>
          <w:p>
            <w:pPr>
              <w:jc w:val="right"/>
              <w:spacing w:after="0"/>
              <w:rPr>
                <w:sz w:val="20"/>
                <w:szCs w:val="20"/>
                <w:color w:val="auto"/>
              </w:rPr>
            </w:pPr>
            <w:r>
              <w:rPr>
                <w:rFonts w:ascii="Arial" w:cs="Arial" w:eastAsia="Arial" w:hAnsi="Arial"/>
                <w:sz w:val="13"/>
                <w:szCs w:val="13"/>
                <w:color w:val="auto"/>
              </w:rPr>
              <w:t>717,115</w:t>
            </w:r>
          </w:p>
        </w:tc>
        <w:tc>
          <w:tcPr>
            <w:tcW w:w="100" w:type="dxa"/>
            <w:vAlign w:val="bottom"/>
            <w:shd w:val="clear" w:color="auto" w:fill="C6D9F1"/>
          </w:tcPr>
          <w:p>
            <w:pPr>
              <w:spacing w:after="0"/>
              <w:rPr>
                <w:sz w:val="13"/>
                <w:szCs w:val="13"/>
                <w:color w:val="auto"/>
              </w:rPr>
            </w:pPr>
          </w:p>
        </w:tc>
        <w:tc>
          <w:tcPr>
            <w:tcW w:w="1220" w:type="dxa"/>
            <w:vAlign w:val="bottom"/>
            <w:gridSpan w:val="2"/>
            <w:shd w:val="clear" w:color="auto" w:fill="C6D9F1"/>
          </w:tcPr>
          <w:p>
            <w:pPr>
              <w:ind w:left="9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1,848,453</w:t>
            </w:r>
          </w:p>
        </w:tc>
        <w:tc>
          <w:tcPr>
            <w:tcW w:w="92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761,483</w:t>
            </w:r>
          </w:p>
        </w:tc>
        <w:tc>
          <w:tcPr>
            <w:tcW w:w="1480" w:type="dxa"/>
            <w:vAlign w:val="bottom"/>
            <w:gridSpan w:val="2"/>
            <w:shd w:val="clear" w:color="auto" w:fill="C6D9F1"/>
          </w:tcPr>
          <w:p>
            <w:pPr>
              <w:ind w:left="1240"/>
              <w:spacing w:after="0"/>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rPr>
                <w:sz w:val="20"/>
                <w:szCs w:val="20"/>
                <w:color w:val="auto"/>
              </w:rPr>
            </w:pPr>
            <w:r>
              <w:rPr>
                <w:rFonts w:ascii="Arial" w:cs="Arial" w:eastAsia="Arial" w:hAnsi="Arial"/>
                <w:sz w:val="13"/>
                <w:szCs w:val="13"/>
                <w:color w:val="auto"/>
              </w:rPr>
              <w:t>31,177</w:t>
            </w:r>
          </w:p>
        </w:tc>
        <w:tc>
          <w:tcPr>
            <w:tcW w:w="560" w:type="dxa"/>
            <w:vAlign w:val="bottom"/>
            <w:shd w:val="clear" w:color="auto" w:fill="C6D9F1"/>
          </w:tcPr>
          <w:p>
            <w:pPr>
              <w:jc w:val="right"/>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line="120" w:lineRule="exact"/>
              <w:rPr>
                <w:sz w:val="20"/>
                <w:szCs w:val="20"/>
                <w:color w:val="auto"/>
              </w:rPr>
            </w:pPr>
            <w:r>
              <w:rPr>
                <w:rFonts w:ascii="Arial" w:cs="Arial" w:eastAsia="Arial" w:hAnsi="Arial"/>
                <w:sz w:val="13"/>
                <w:szCs w:val="13"/>
                <w:color w:val="auto"/>
              </w:rPr>
              <w:t>Thomas D. DeByle</w:t>
            </w:r>
            <w:r>
              <w:rPr>
                <w:rFonts w:ascii="Arial" w:cs="Arial" w:eastAsia="Arial" w:hAnsi="Arial"/>
                <w:sz w:val="11"/>
                <w:szCs w:val="11"/>
                <w:color w:val="auto"/>
              </w:rPr>
              <w:t>(3)</w:t>
            </w:r>
          </w:p>
        </w:tc>
        <w:tc>
          <w:tcPr>
            <w:tcW w:w="100" w:type="dxa"/>
            <w:vAlign w:val="bottom"/>
          </w:tcPr>
          <w:p>
            <w:pPr>
              <w:spacing w:after="0"/>
              <w:rPr>
                <w:sz w:val="10"/>
                <w:szCs w:val="10"/>
                <w:color w:val="auto"/>
              </w:rPr>
            </w:pPr>
          </w:p>
        </w:tc>
        <w:tc>
          <w:tcPr>
            <w:tcW w:w="580" w:type="dxa"/>
            <w:vAlign w:val="bottom"/>
            <w:gridSpan w:val="2"/>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138,654</w:t>
            </w:r>
          </w:p>
        </w:tc>
        <w:tc>
          <w:tcPr>
            <w:tcW w:w="1220" w:type="dxa"/>
            <w:vAlign w:val="bottom"/>
            <w:gridSpan w:val="2"/>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200,000</w:t>
            </w:r>
          </w:p>
        </w:tc>
        <w:tc>
          <w:tcPr>
            <w:tcW w:w="9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line="120" w:lineRule="exact"/>
              <w:rPr>
                <w:sz w:val="20"/>
                <w:szCs w:val="20"/>
                <w:color w:val="auto"/>
              </w:rPr>
            </w:pPr>
            <w:r>
              <w:rPr>
                <w:rFonts w:ascii="Arial" w:cs="Arial" w:eastAsia="Arial" w:hAnsi="Arial"/>
                <w:sz w:val="13"/>
                <w:szCs w:val="13"/>
                <w:color w:val="auto"/>
              </w:rPr>
              <w:t>10,345</w:t>
            </w:r>
          </w:p>
        </w:tc>
        <w:tc>
          <w:tcPr>
            <w:tcW w:w="560" w:type="dxa"/>
            <w:vAlign w:val="bottom"/>
          </w:tcPr>
          <w:p>
            <w:pPr>
              <w:jc w:val="right"/>
              <w:spacing w:after="0" w:line="120" w:lineRule="exact"/>
              <w:rPr>
                <w:sz w:val="20"/>
                <w:szCs w:val="20"/>
                <w:color w:val="auto"/>
              </w:rPr>
            </w:pPr>
            <w:r>
              <w:rPr>
                <w:rFonts w:ascii="Arial" w:cs="Arial" w:eastAsia="Arial" w:hAnsi="Arial"/>
                <w:sz w:val="13"/>
                <w:szCs w:val="13"/>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w w:val="95"/>
              </w:rPr>
              <w:t>Senior Vice President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and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Chief Financial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tcPr>
          <w:p>
            <w:pPr>
              <w:ind w:left="400"/>
              <w:spacing w:after="0"/>
              <w:rPr>
                <w:sz w:val="20"/>
                <w:szCs w:val="20"/>
                <w:color w:val="auto"/>
              </w:rPr>
            </w:pPr>
            <w:r>
              <w:rPr>
                <w:rFonts w:ascii="Arial" w:cs="Arial" w:eastAsia="Arial" w:hAnsi="Arial"/>
                <w:sz w:val="13"/>
                <w:szCs w:val="13"/>
                <w:i w:val="1"/>
                <w:iCs w:val="1"/>
                <w:color w:val="auto"/>
              </w:rPr>
              <w:t>Officer</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shd w:val="clear" w:color="auto" w:fill="C6D9F1"/>
          </w:tcPr>
          <w:p>
            <w:pPr>
              <w:spacing w:after="0" w:line="120" w:lineRule="exact"/>
              <w:rPr>
                <w:sz w:val="20"/>
                <w:szCs w:val="20"/>
                <w:color w:val="auto"/>
              </w:rPr>
            </w:pPr>
            <w:r>
              <w:rPr>
                <w:rFonts w:ascii="Arial" w:cs="Arial" w:eastAsia="Arial" w:hAnsi="Arial"/>
                <w:sz w:val="13"/>
                <w:szCs w:val="13"/>
                <w:color w:val="auto"/>
              </w:rPr>
              <w:t>Thomas C. Burwell</w:t>
            </w:r>
            <w:r>
              <w:rPr>
                <w:rFonts w:ascii="Arial" w:cs="Arial" w:eastAsia="Arial" w:hAnsi="Arial"/>
                <w:sz w:val="11"/>
                <w:szCs w:val="11"/>
                <w:color w:val="auto"/>
              </w:rPr>
              <w:t>(4)</w:t>
            </w:r>
          </w:p>
        </w:tc>
        <w:tc>
          <w:tcPr>
            <w:tcW w:w="680" w:type="dxa"/>
            <w:vAlign w:val="bottom"/>
            <w:gridSpan w:val="3"/>
            <w:shd w:val="clear" w:color="auto" w:fill="C6D9F1"/>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206,166</w:t>
            </w:r>
          </w:p>
        </w:tc>
        <w:tc>
          <w:tcPr>
            <w:tcW w:w="1220" w:type="dxa"/>
            <w:vAlign w:val="bottom"/>
            <w:gridSpan w:val="2"/>
            <w:shd w:val="clear" w:color="auto" w:fill="C6D9F1"/>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20" w:lineRule="exact"/>
              <w:rPr>
                <w:sz w:val="20"/>
                <w:szCs w:val="20"/>
                <w:color w:val="auto"/>
              </w:rPr>
            </w:pPr>
            <w:r>
              <w:rPr>
                <w:rFonts w:ascii="Arial" w:cs="Arial" w:eastAsia="Arial" w:hAnsi="Arial"/>
                <w:sz w:val="13"/>
                <w:szCs w:val="13"/>
                <w:color w:val="auto"/>
              </w:rPr>
              <w:t>195,355</w:t>
            </w:r>
          </w:p>
        </w:tc>
        <w:tc>
          <w:tcPr>
            <w:tcW w:w="560" w:type="dxa"/>
            <w:vAlign w:val="bottom"/>
            <w:shd w:val="clear" w:color="auto" w:fill="C6D9F1"/>
          </w:tcPr>
          <w:p>
            <w:pPr>
              <w:jc w:val="right"/>
              <w:spacing w:after="0" w:line="120" w:lineRule="exact"/>
              <w:rPr>
                <w:sz w:val="20"/>
                <w:szCs w:val="20"/>
                <w:color w:val="auto"/>
              </w:rPr>
            </w:pPr>
            <w:r>
              <w:rPr>
                <w:rFonts w:ascii="Arial" w:cs="Arial" w:eastAsia="Arial" w:hAnsi="Arial"/>
                <w:sz w:val="13"/>
                <w:szCs w:val="13"/>
                <w:color w:val="auto"/>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Former Senior Vice</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President and</w:t>
            </w:r>
          </w:p>
        </w:tc>
        <w:tc>
          <w:tcPr>
            <w:tcW w:w="100" w:type="dxa"/>
            <w:vAlign w:val="bottom"/>
            <w:shd w:val="clear" w:color="auto" w:fill="C6D9F1"/>
          </w:tcPr>
          <w:p>
            <w:pPr>
              <w:spacing w:after="0"/>
              <w:rPr>
                <w:sz w:val="11"/>
                <w:szCs w:val="11"/>
                <w:color w:val="auto"/>
              </w:rPr>
            </w:pPr>
          </w:p>
        </w:tc>
        <w:tc>
          <w:tcPr>
            <w:tcW w:w="580" w:type="dxa"/>
            <w:vAlign w:val="bottom"/>
            <w:gridSpan w:val="2"/>
            <w:shd w:val="clear" w:color="auto" w:fill="C6D9F1"/>
          </w:tcPr>
          <w:p>
            <w:pPr>
              <w:jc w:val="right"/>
              <w:ind w:right="180"/>
              <w:spacing w:after="0" w:line="136" w:lineRule="exact"/>
              <w:rPr>
                <w:sz w:val="20"/>
                <w:szCs w:val="20"/>
                <w:color w:val="auto"/>
              </w:rPr>
            </w:pPr>
            <w:r>
              <w:rPr>
                <w:rFonts w:ascii="Arial" w:cs="Arial" w:eastAsia="Arial" w:hAnsi="Arial"/>
                <w:sz w:val="13"/>
                <w:szCs w:val="13"/>
                <w:color w:val="auto"/>
              </w:rPr>
              <w:t>2018</w:t>
            </w:r>
          </w:p>
        </w:tc>
        <w:tc>
          <w:tcPr>
            <w:tcW w:w="8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370,526</w:t>
            </w:r>
          </w:p>
        </w:tc>
        <w:tc>
          <w:tcPr>
            <w:tcW w:w="1220" w:type="dxa"/>
            <w:vAlign w:val="bottom"/>
            <w:gridSpan w:val="2"/>
            <w:shd w:val="clear" w:color="auto" w:fill="C6D9F1"/>
          </w:tcPr>
          <w:p>
            <w:pPr>
              <w:ind w:left="94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300,975</w:t>
            </w:r>
          </w:p>
        </w:tc>
        <w:tc>
          <w:tcPr>
            <w:tcW w:w="9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36"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36" w:lineRule="exact"/>
              <w:rPr>
                <w:sz w:val="20"/>
                <w:szCs w:val="20"/>
                <w:color w:val="auto"/>
              </w:rPr>
            </w:pPr>
            <w:r>
              <w:rPr>
                <w:rFonts w:ascii="Arial" w:cs="Arial" w:eastAsia="Arial" w:hAnsi="Arial"/>
                <w:sz w:val="13"/>
                <w:szCs w:val="13"/>
                <w:color w:val="auto"/>
              </w:rPr>
              <w:t>608,172</w:t>
            </w:r>
          </w:p>
        </w:tc>
        <w:tc>
          <w:tcPr>
            <w:tcW w:w="560" w:type="dxa"/>
            <w:vAlign w:val="bottom"/>
            <w:shd w:val="clear" w:color="auto" w:fill="C6D9F1"/>
          </w:tcPr>
          <w:p>
            <w:pPr>
              <w:jc w:val="right"/>
              <w:spacing w:after="0" w:line="136" w:lineRule="exact"/>
              <w:rPr>
                <w:sz w:val="20"/>
                <w:szCs w:val="20"/>
                <w:color w:val="auto"/>
              </w:rPr>
            </w:pPr>
            <w:r>
              <w:rPr>
                <w:rFonts w:ascii="Arial" w:cs="Arial" w:eastAsia="Arial" w:hAnsi="Arial"/>
                <w:sz w:val="13"/>
                <w:szCs w:val="13"/>
                <w:color w:val="auto"/>
              </w:rPr>
              <w:t>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Chief Financial</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shd w:val="clear" w:color="auto" w:fill="C6D9F1"/>
          </w:tcPr>
          <w:p>
            <w:pPr>
              <w:ind w:left="400"/>
              <w:spacing w:after="0"/>
              <w:rPr>
                <w:sz w:val="20"/>
                <w:szCs w:val="20"/>
                <w:color w:val="auto"/>
              </w:rPr>
            </w:pPr>
            <w:r>
              <w:rPr>
                <w:rFonts w:ascii="Arial" w:cs="Arial" w:eastAsia="Arial" w:hAnsi="Arial"/>
                <w:sz w:val="13"/>
                <w:szCs w:val="13"/>
                <w:i w:val="1"/>
                <w:iCs w:val="1"/>
                <w:color w:val="auto"/>
              </w:rPr>
              <w:t>Officer</w:t>
            </w:r>
          </w:p>
        </w:tc>
        <w:tc>
          <w:tcPr>
            <w:tcW w:w="100" w:type="dxa"/>
            <w:vAlign w:val="bottom"/>
            <w:shd w:val="clear" w:color="auto" w:fill="C6D9F1"/>
          </w:tcPr>
          <w:p>
            <w:pPr>
              <w:spacing w:after="0"/>
              <w:rPr>
                <w:sz w:val="13"/>
                <w:szCs w:val="13"/>
                <w:color w:val="auto"/>
              </w:rPr>
            </w:pPr>
          </w:p>
        </w:tc>
        <w:tc>
          <w:tcPr>
            <w:tcW w:w="580" w:type="dxa"/>
            <w:vAlign w:val="bottom"/>
            <w:gridSpan w:val="2"/>
            <w:shd w:val="clear" w:color="auto" w:fill="C6D9F1"/>
          </w:tcPr>
          <w:p>
            <w:pPr>
              <w:jc w:val="right"/>
              <w:ind w:right="180"/>
              <w:spacing w:after="0"/>
              <w:rPr>
                <w:sz w:val="20"/>
                <w:szCs w:val="20"/>
                <w:color w:val="auto"/>
              </w:rPr>
            </w:pPr>
            <w:r>
              <w:rPr>
                <w:rFonts w:ascii="Arial" w:cs="Arial" w:eastAsia="Arial" w:hAnsi="Arial"/>
                <w:sz w:val="13"/>
                <w:szCs w:val="13"/>
                <w:color w:val="auto"/>
              </w:rPr>
              <w:t>2017</w:t>
            </w:r>
          </w:p>
        </w:tc>
        <w:tc>
          <w:tcPr>
            <w:tcW w:w="82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292,000</w:t>
            </w:r>
          </w:p>
        </w:tc>
        <w:tc>
          <w:tcPr>
            <w:tcW w:w="1220" w:type="dxa"/>
            <w:vAlign w:val="bottom"/>
            <w:gridSpan w:val="2"/>
            <w:shd w:val="clear" w:color="auto" w:fill="C6D9F1"/>
          </w:tcPr>
          <w:p>
            <w:pPr>
              <w:ind w:left="94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254,833</w:t>
            </w:r>
          </w:p>
        </w:tc>
        <w:tc>
          <w:tcPr>
            <w:tcW w:w="92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254,237</w:t>
            </w:r>
          </w:p>
        </w:tc>
        <w:tc>
          <w:tcPr>
            <w:tcW w:w="1140" w:type="dxa"/>
            <w:vAlign w:val="bottom"/>
            <w:gridSpan w:val="2"/>
            <w:shd w:val="clear" w:color="auto" w:fill="C6D9F1"/>
          </w:tcPr>
          <w:p>
            <w:pPr>
              <w:jc w:val="right"/>
              <w:ind w:right="100"/>
              <w:spacing w:after="0"/>
              <w:rPr>
                <w:sz w:val="20"/>
                <w:szCs w:val="20"/>
                <w:color w:val="auto"/>
              </w:rPr>
            </w:pPr>
            <w:r>
              <w:rPr>
                <w:rFonts w:ascii="Arial" w:cs="Arial" w:eastAsia="Arial" w:hAnsi="Arial"/>
                <w:sz w:val="13"/>
                <w:szCs w:val="13"/>
                <w:color w:val="auto"/>
              </w:rPr>
              <w:t>139,351</w:t>
            </w:r>
          </w:p>
        </w:tc>
        <w:tc>
          <w:tcPr>
            <w:tcW w:w="1480" w:type="dxa"/>
            <w:vAlign w:val="bottom"/>
            <w:gridSpan w:val="2"/>
            <w:shd w:val="clear" w:color="auto" w:fill="C6D9F1"/>
          </w:tcPr>
          <w:p>
            <w:pPr>
              <w:ind w:left="1240"/>
              <w:spacing w:after="0"/>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rPr>
                <w:sz w:val="20"/>
                <w:szCs w:val="20"/>
                <w:color w:val="auto"/>
              </w:rPr>
            </w:pPr>
            <w:r>
              <w:rPr>
                <w:rFonts w:ascii="Arial" w:cs="Arial" w:eastAsia="Arial" w:hAnsi="Arial"/>
                <w:sz w:val="13"/>
                <w:szCs w:val="13"/>
                <w:color w:val="auto"/>
              </w:rPr>
              <w:t>14,752</w:t>
            </w:r>
          </w:p>
        </w:tc>
        <w:tc>
          <w:tcPr>
            <w:tcW w:w="560" w:type="dxa"/>
            <w:vAlign w:val="bottom"/>
            <w:shd w:val="clear" w:color="auto" w:fill="C6D9F1"/>
          </w:tcPr>
          <w:p>
            <w:pPr>
              <w:jc w:val="right"/>
              <w:spacing w:after="0"/>
              <w:rPr>
                <w:sz w:val="20"/>
                <w:szCs w:val="20"/>
                <w:color w:val="auto"/>
              </w:rPr>
            </w:pPr>
            <w:r>
              <w:rPr>
                <w:rFonts w:ascii="Arial" w:cs="Arial" w:eastAsia="Arial" w:hAnsi="Arial"/>
                <w:sz w:val="13"/>
                <w:szCs w:val="13"/>
                <w:color w:val="auto"/>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line="120" w:lineRule="exact"/>
              <w:rPr>
                <w:sz w:val="20"/>
                <w:szCs w:val="20"/>
                <w:color w:val="auto"/>
              </w:rPr>
            </w:pPr>
            <w:r>
              <w:rPr>
                <w:rFonts w:ascii="Arial" w:cs="Arial" w:eastAsia="Arial" w:hAnsi="Arial"/>
                <w:sz w:val="13"/>
                <w:szCs w:val="13"/>
                <w:color w:val="auto"/>
              </w:rPr>
              <w:t>Matthew S. Heiter</w:t>
            </w:r>
          </w:p>
        </w:tc>
        <w:tc>
          <w:tcPr>
            <w:tcW w:w="100" w:type="dxa"/>
            <w:vAlign w:val="bottom"/>
          </w:tcPr>
          <w:p>
            <w:pPr>
              <w:spacing w:after="0"/>
              <w:rPr>
                <w:sz w:val="10"/>
                <w:szCs w:val="10"/>
                <w:color w:val="auto"/>
              </w:rPr>
            </w:pPr>
          </w:p>
        </w:tc>
        <w:tc>
          <w:tcPr>
            <w:tcW w:w="580" w:type="dxa"/>
            <w:vAlign w:val="bottom"/>
            <w:gridSpan w:val="2"/>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366,026</w:t>
            </w:r>
          </w:p>
        </w:tc>
        <w:tc>
          <w:tcPr>
            <w:tcW w:w="1220" w:type="dxa"/>
            <w:vAlign w:val="bottom"/>
            <w:gridSpan w:val="2"/>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293,051</w:t>
            </w:r>
          </w:p>
        </w:tc>
        <w:tc>
          <w:tcPr>
            <w:tcW w:w="9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line="120" w:lineRule="exact"/>
              <w:rPr>
                <w:sz w:val="20"/>
                <w:szCs w:val="20"/>
                <w:color w:val="auto"/>
              </w:rPr>
            </w:pPr>
            <w:r>
              <w:rPr>
                <w:rFonts w:ascii="Arial" w:cs="Arial" w:eastAsia="Arial" w:hAnsi="Arial"/>
                <w:sz w:val="13"/>
                <w:szCs w:val="13"/>
                <w:color w:val="auto"/>
              </w:rPr>
              <w:t>12,678</w:t>
            </w:r>
          </w:p>
        </w:tc>
        <w:tc>
          <w:tcPr>
            <w:tcW w:w="560" w:type="dxa"/>
            <w:vAlign w:val="bottom"/>
          </w:tcPr>
          <w:p>
            <w:pPr>
              <w:jc w:val="right"/>
              <w:spacing w:after="0" w:line="120"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w w:val="93"/>
              </w:rPr>
              <w:t>Senior Vice President,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General</w:t>
            </w:r>
          </w:p>
        </w:tc>
        <w:tc>
          <w:tcPr>
            <w:tcW w:w="680" w:type="dxa"/>
            <w:vAlign w:val="bottom"/>
            <w:gridSpan w:val="3"/>
          </w:tcPr>
          <w:p>
            <w:pPr>
              <w:jc w:val="right"/>
              <w:ind w:right="180"/>
              <w:spacing w:after="0" w:line="136" w:lineRule="exact"/>
              <w:rPr>
                <w:sz w:val="20"/>
                <w:szCs w:val="20"/>
                <w:color w:val="auto"/>
              </w:rPr>
            </w:pPr>
            <w:r>
              <w:rPr>
                <w:rFonts w:ascii="Arial" w:cs="Arial" w:eastAsia="Arial" w:hAnsi="Arial"/>
                <w:sz w:val="13"/>
                <w:szCs w:val="13"/>
                <w:color w:val="auto"/>
              </w:rPr>
              <w:t>2018</w:t>
            </w:r>
          </w:p>
        </w:tc>
        <w:tc>
          <w:tcPr>
            <w:tcW w:w="82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348,175</w:t>
            </w:r>
          </w:p>
        </w:tc>
        <w:tc>
          <w:tcPr>
            <w:tcW w:w="1220" w:type="dxa"/>
            <w:vAlign w:val="bottom"/>
            <w:gridSpan w:val="2"/>
          </w:tcPr>
          <w:p>
            <w:pPr>
              <w:ind w:left="94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288,144</w:t>
            </w:r>
          </w:p>
        </w:tc>
        <w:tc>
          <w:tcPr>
            <w:tcW w:w="92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240"/>
              <w:spacing w:after="0" w:line="136"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line="136" w:lineRule="exact"/>
              <w:rPr>
                <w:sz w:val="20"/>
                <w:szCs w:val="20"/>
                <w:color w:val="auto"/>
              </w:rPr>
            </w:pPr>
            <w:r>
              <w:rPr>
                <w:rFonts w:ascii="Arial" w:cs="Arial" w:eastAsia="Arial" w:hAnsi="Arial"/>
                <w:sz w:val="13"/>
                <w:szCs w:val="13"/>
                <w:color w:val="auto"/>
              </w:rPr>
              <w:t>20,644</w:t>
            </w:r>
          </w:p>
        </w:tc>
        <w:tc>
          <w:tcPr>
            <w:tcW w:w="58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2"/>
        </w:trPr>
        <w:tc>
          <w:tcPr>
            <w:tcW w:w="1620" w:type="dxa"/>
            <w:vAlign w:val="bottom"/>
          </w:tcPr>
          <w:p>
            <w:pPr>
              <w:ind w:left="400"/>
              <w:spacing w:after="0"/>
              <w:rPr>
                <w:sz w:val="20"/>
                <w:szCs w:val="20"/>
                <w:color w:val="auto"/>
              </w:rPr>
            </w:pPr>
            <w:r>
              <w:rPr>
                <w:rFonts w:ascii="Arial" w:cs="Arial" w:eastAsia="Arial" w:hAnsi="Arial"/>
                <w:sz w:val="13"/>
                <w:szCs w:val="13"/>
                <w:i w:val="1"/>
                <w:iCs w:val="1"/>
                <w:color w:val="auto"/>
                <w:w w:val="90"/>
              </w:rPr>
              <w:t>Counsel and Secretary</w:t>
            </w: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2017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328,431</w:t>
            </w: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286,972</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175,408</w:t>
            </w:r>
          </w:p>
        </w:tc>
        <w:tc>
          <w:tcPr>
            <w:tcW w:w="1480" w:type="dxa"/>
            <w:vAlign w:val="bottom"/>
            <w:gridSpan w:val="2"/>
          </w:tcPr>
          <w:p>
            <w:pPr>
              <w:ind w:left="1240"/>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rPr>
                <w:sz w:val="20"/>
                <w:szCs w:val="20"/>
                <w:color w:val="auto"/>
              </w:rPr>
            </w:pPr>
            <w:r>
              <w:rPr>
                <w:rFonts w:ascii="Arial" w:cs="Arial" w:eastAsia="Arial" w:hAnsi="Arial"/>
                <w:sz w:val="13"/>
                <w:szCs w:val="13"/>
                <w:color w:val="auto"/>
              </w:rPr>
              <w:t>16,693</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20"/>
        </w:trPr>
        <w:tc>
          <w:tcPr>
            <w:tcW w:w="1620" w:type="dxa"/>
            <w:vAlign w:val="bottom"/>
            <w:shd w:val="clear" w:color="auto" w:fill="C6D9F1"/>
          </w:tcPr>
          <w:p>
            <w:pPr>
              <w:spacing w:after="0" w:line="120" w:lineRule="exact"/>
              <w:rPr>
                <w:sz w:val="20"/>
                <w:szCs w:val="20"/>
                <w:color w:val="auto"/>
              </w:rPr>
            </w:pPr>
            <w:r>
              <w:rPr>
                <w:rFonts w:ascii="Arial" w:cs="Arial" w:eastAsia="Arial" w:hAnsi="Arial"/>
                <w:sz w:val="13"/>
                <w:szCs w:val="13"/>
                <w:color w:val="auto"/>
              </w:rPr>
              <w:t>Christopher J. Qualters</w:t>
            </w:r>
            <w:r>
              <w:rPr>
                <w:rFonts w:ascii="Arial" w:cs="Arial" w:eastAsia="Arial" w:hAnsi="Arial"/>
                <w:sz w:val="11"/>
                <w:szCs w:val="11"/>
                <w:color w:val="auto"/>
              </w:rPr>
              <w:t>(5)</w:t>
            </w:r>
          </w:p>
        </w:tc>
        <w:tc>
          <w:tcPr>
            <w:tcW w:w="680" w:type="dxa"/>
            <w:vAlign w:val="bottom"/>
            <w:gridSpan w:val="3"/>
            <w:shd w:val="clear" w:color="auto" w:fill="C6D9F1"/>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312,335</w:t>
            </w:r>
          </w:p>
        </w:tc>
        <w:tc>
          <w:tcPr>
            <w:tcW w:w="1220" w:type="dxa"/>
            <w:vAlign w:val="bottom"/>
            <w:gridSpan w:val="2"/>
            <w:shd w:val="clear" w:color="auto" w:fill="C6D9F1"/>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251,939</w:t>
            </w:r>
          </w:p>
        </w:tc>
        <w:tc>
          <w:tcPr>
            <w:tcW w:w="9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20" w:lineRule="exact"/>
              <w:rPr>
                <w:sz w:val="20"/>
                <w:szCs w:val="20"/>
                <w:color w:val="auto"/>
              </w:rPr>
            </w:pPr>
            <w:r>
              <w:rPr>
                <w:rFonts w:ascii="Arial" w:cs="Arial" w:eastAsia="Arial" w:hAnsi="Arial"/>
                <w:sz w:val="13"/>
                <w:szCs w:val="13"/>
                <w:color w:val="auto"/>
              </w:rPr>
              <w:t>—</w:t>
            </w:r>
          </w:p>
        </w:tc>
        <w:tc>
          <w:tcPr>
            <w:tcW w:w="1440" w:type="dxa"/>
            <w:vAlign w:val="bottom"/>
            <w:shd w:val="clear" w:color="auto" w:fill="C6D9F1"/>
          </w:tcPr>
          <w:p>
            <w:pPr>
              <w:jc w:val="right"/>
              <w:spacing w:after="0" w:line="120" w:lineRule="exact"/>
              <w:rPr>
                <w:sz w:val="20"/>
                <w:szCs w:val="20"/>
                <w:color w:val="auto"/>
              </w:rPr>
            </w:pPr>
            <w:r>
              <w:rPr>
                <w:rFonts w:ascii="Arial" w:cs="Arial" w:eastAsia="Arial" w:hAnsi="Arial"/>
                <w:sz w:val="13"/>
                <w:szCs w:val="13"/>
                <w:color w:val="auto"/>
              </w:rPr>
              <w:t>9,211</w:t>
            </w:r>
          </w:p>
        </w:tc>
        <w:tc>
          <w:tcPr>
            <w:tcW w:w="320" w:type="dxa"/>
            <w:vAlign w:val="bottom"/>
            <w:shd w:val="clear" w:color="auto" w:fill="C6D9F1"/>
          </w:tcPr>
          <w:p>
            <w:pPr>
              <w:spacing w:after="0"/>
              <w:rPr>
                <w:sz w:val="10"/>
                <w:szCs w:val="10"/>
                <w:color w:val="auto"/>
              </w:rPr>
            </w:pPr>
          </w:p>
        </w:tc>
        <w:tc>
          <w:tcPr>
            <w:tcW w:w="560" w:type="dxa"/>
            <w:vAlign w:val="bottom"/>
            <w:shd w:val="clear" w:color="auto" w:fill="C6D9F1"/>
          </w:tcPr>
          <w:p>
            <w:pPr>
              <w:jc w:val="right"/>
              <w:spacing w:after="0" w:line="120" w:lineRule="exact"/>
              <w:rPr>
                <w:sz w:val="20"/>
                <w:szCs w:val="20"/>
                <w:color w:val="auto"/>
              </w:rPr>
            </w:pPr>
            <w:r>
              <w:rPr>
                <w:rFonts w:ascii="Arial" w:cs="Arial" w:eastAsia="Arial" w:hAnsi="Arial"/>
                <w:sz w:val="13"/>
                <w:szCs w:val="13"/>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Executive Vice</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President –</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shd w:val="clear" w:color="auto" w:fill="C6D9F1"/>
          </w:tcPr>
          <w:p>
            <w:pPr>
              <w:ind w:left="400"/>
              <w:spacing w:after="0"/>
              <w:rPr>
                <w:sz w:val="20"/>
                <w:szCs w:val="20"/>
                <w:color w:val="auto"/>
              </w:rPr>
            </w:pPr>
            <w:r>
              <w:rPr>
                <w:rFonts w:ascii="Arial" w:cs="Arial" w:eastAsia="Arial" w:hAnsi="Arial"/>
                <w:sz w:val="13"/>
                <w:szCs w:val="13"/>
                <w:i w:val="1"/>
                <w:iCs w:val="1"/>
                <w:color w:val="auto"/>
              </w:rPr>
              <w:t>Life Sciences</w:t>
            </w:r>
          </w:p>
        </w:tc>
        <w:tc>
          <w:tcPr>
            <w:tcW w:w="100" w:type="dxa"/>
            <w:vAlign w:val="bottom"/>
            <w:shd w:val="clear" w:color="auto" w:fill="C6D9F1"/>
          </w:tcPr>
          <w:p>
            <w:pPr>
              <w:spacing w:after="0"/>
              <w:rPr>
                <w:sz w:val="13"/>
                <w:szCs w:val="13"/>
                <w:color w:val="auto"/>
              </w:rPr>
            </w:pPr>
          </w:p>
        </w:tc>
        <w:tc>
          <w:tcPr>
            <w:tcW w:w="400" w:type="dxa"/>
            <w:vAlign w:val="bottom"/>
            <w:shd w:val="clear" w:color="auto" w:fill="C6D9F1"/>
          </w:tcPr>
          <w:p>
            <w:pPr>
              <w:spacing w:after="0"/>
              <w:rPr>
                <w:sz w:val="13"/>
                <w:szCs w:val="13"/>
                <w:color w:val="auto"/>
              </w:rPr>
            </w:pPr>
          </w:p>
        </w:tc>
        <w:tc>
          <w:tcPr>
            <w:tcW w:w="180" w:type="dxa"/>
            <w:vAlign w:val="bottom"/>
            <w:shd w:val="clear" w:color="auto" w:fill="C6D9F1"/>
          </w:tcPr>
          <w:p>
            <w:pPr>
              <w:spacing w:after="0"/>
              <w:rPr>
                <w:sz w:val="13"/>
                <w:szCs w:val="13"/>
                <w:color w:val="auto"/>
              </w:rPr>
            </w:pPr>
          </w:p>
        </w:tc>
        <w:tc>
          <w:tcPr>
            <w:tcW w:w="72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80" w:type="dxa"/>
            <w:vAlign w:val="bottom"/>
            <w:shd w:val="clear" w:color="auto" w:fill="C6D9F1"/>
          </w:tcPr>
          <w:p>
            <w:pPr>
              <w:spacing w:after="0"/>
              <w:rPr>
                <w:sz w:val="13"/>
                <w:szCs w:val="13"/>
                <w:color w:val="auto"/>
              </w:rPr>
            </w:pPr>
          </w:p>
        </w:tc>
        <w:tc>
          <w:tcPr>
            <w:tcW w:w="140" w:type="dxa"/>
            <w:vAlign w:val="bottom"/>
            <w:shd w:val="clear" w:color="auto" w:fill="C6D9F1"/>
          </w:tcPr>
          <w:p>
            <w:pPr>
              <w:spacing w:after="0"/>
              <w:rPr>
                <w:sz w:val="13"/>
                <w:szCs w:val="13"/>
                <w:color w:val="auto"/>
              </w:rPr>
            </w:pPr>
          </w:p>
        </w:tc>
        <w:tc>
          <w:tcPr>
            <w:tcW w:w="104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82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4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360" w:type="dxa"/>
            <w:vAlign w:val="bottom"/>
            <w:shd w:val="clear" w:color="auto" w:fill="C6D9F1"/>
          </w:tcPr>
          <w:p>
            <w:pPr>
              <w:spacing w:after="0"/>
              <w:rPr>
                <w:sz w:val="13"/>
                <w:szCs w:val="13"/>
                <w:color w:val="auto"/>
              </w:rPr>
            </w:pPr>
          </w:p>
        </w:tc>
        <w:tc>
          <w:tcPr>
            <w:tcW w:w="120" w:type="dxa"/>
            <w:vAlign w:val="bottom"/>
            <w:shd w:val="clear" w:color="auto" w:fill="C6D9F1"/>
          </w:tcPr>
          <w:p>
            <w:pPr>
              <w:spacing w:after="0"/>
              <w:rPr>
                <w:sz w:val="13"/>
                <w:szCs w:val="13"/>
                <w:color w:val="auto"/>
              </w:rPr>
            </w:pPr>
          </w:p>
        </w:tc>
        <w:tc>
          <w:tcPr>
            <w:tcW w:w="1440" w:type="dxa"/>
            <w:vAlign w:val="bottom"/>
            <w:shd w:val="clear" w:color="auto" w:fill="C6D9F1"/>
          </w:tcPr>
          <w:p>
            <w:pPr>
              <w:spacing w:after="0"/>
              <w:rPr>
                <w:sz w:val="13"/>
                <w:szCs w:val="13"/>
                <w:color w:val="auto"/>
              </w:rPr>
            </w:pPr>
          </w:p>
        </w:tc>
        <w:tc>
          <w:tcPr>
            <w:tcW w:w="320" w:type="dxa"/>
            <w:vAlign w:val="bottom"/>
            <w:shd w:val="clear" w:color="auto" w:fill="C6D9F1"/>
          </w:tcPr>
          <w:p>
            <w:pPr>
              <w:spacing w:after="0"/>
              <w:rPr>
                <w:sz w:val="13"/>
                <w:szCs w:val="13"/>
                <w:color w:val="auto"/>
              </w:rPr>
            </w:pPr>
          </w:p>
        </w:tc>
        <w:tc>
          <w:tcPr>
            <w:tcW w:w="560" w:type="dxa"/>
            <w:vAlign w:val="bottom"/>
            <w:shd w:val="clear" w:color="auto" w:fill="C6D9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tcPr>
          <w:p>
            <w:pPr>
              <w:spacing w:after="0" w:line="120" w:lineRule="exact"/>
              <w:rPr>
                <w:sz w:val="20"/>
                <w:szCs w:val="20"/>
                <w:color w:val="auto"/>
              </w:rPr>
            </w:pPr>
            <w:r>
              <w:rPr>
                <w:rFonts w:ascii="Arial" w:cs="Arial" w:eastAsia="Arial" w:hAnsi="Arial"/>
                <w:sz w:val="13"/>
                <w:szCs w:val="13"/>
                <w:color w:val="auto"/>
              </w:rPr>
              <w:t>John R. Buchan</w:t>
            </w:r>
            <w:r>
              <w:rPr>
                <w:rFonts w:ascii="Arial" w:cs="Arial" w:eastAsia="Arial" w:hAnsi="Arial"/>
                <w:sz w:val="11"/>
                <w:szCs w:val="11"/>
                <w:color w:val="auto"/>
              </w:rPr>
              <w:t>(6)</w:t>
            </w:r>
          </w:p>
        </w:tc>
        <w:tc>
          <w:tcPr>
            <w:tcW w:w="100" w:type="dxa"/>
            <w:vAlign w:val="bottom"/>
          </w:tcPr>
          <w:p>
            <w:pPr>
              <w:spacing w:after="0"/>
              <w:rPr>
                <w:sz w:val="10"/>
                <w:szCs w:val="10"/>
                <w:color w:val="auto"/>
              </w:rPr>
            </w:pPr>
          </w:p>
        </w:tc>
        <w:tc>
          <w:tcPr>
            <w:tcW w:w="580" w:type="dxa"/>
            <w:vAlign w:val="bottom"/>
            <w:gridSpan w:val="2"/>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328,942</w:t>
            </w:r>
          </w:p>
        </w:tc>
        <w:tc>
          <w:tcPr>
            <w:tcW w:w="1220" w:type="dxa"/>
            <w:vAlign w:val="bottom"/>
            <w:gridSpan w:val="2"/>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108,181</w:t>
            </w:r>
          </w:p>
        </w:tc>
        <w:tc>
          <w:tcPr>
            <w:tcW w:w="92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38,553</w:t>
            </w:r>
          </w:p>
        </w:tc>
        <w:tc>
          <w:tcPr>
            <w:tcW w:w="1140" w:type="dxa"/>
            <w:vAlign w:val="bottom"/>
            <w:gridSpan w:val="2"/>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320"/>
              <w:spacing w:after="0" w:line="120" w:lineRule="exact"/>
              <w:rPr>
                <w:sz w:val="20"/>
                <w:szCs w:val="20"/>
                <w:color w:val="auto"/>
              </w:rPr>
            </w:pPr>
            <w:r>
              <w:rPr>
                <w:rFonts w:ascii="Arial" w:cs="Arial" w:eastAsia="Arial" w:hAnsi="Arial"/>
                <w:sz w:val="13"/>
                <w:szCs w:val="13"/>
                <w:color w:val="auto"/>
              </w:rPr>
              <w:t>25,393</w:t>
            </w:r>
          </w:p>
        </w:tc>
        <w:tc>
          <w:tcPr>
            <w:tcW w:w="560" w:type="dxa"/>
            <w:vAlign w:val="bottom"/>
          </w:tcPr>
          <w:p>
            <w:pPr>
              <w:jc w:val="right"/>
              <w:spacing w:after="0" w:line="120" w:lineRule="exact"/>
              <w:rPr>
                <w:sz w:val="20"/>
                <w:szCs w:val="20"/>
                <w:color w:val="auto"/>
              </w:rPr>
            </w:pPr>
            <w:r>
              <w:rPr>
                <w:rFonts w:ascii="Arial" w:cs="Arial" w:eastAsia="Arial" w:hAnsi="Arial"/>
                <w:sz w:val="13"/>
                <w:szCs w:val="13"/>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Executive Vice</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President –</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w w:val="99"/>
              </w:rPr>
              <w:t>Mobile Solutions and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tcPr>
          <w:p>
            <w:pPr>
              <w:ind w:left="400"/>
              <w:spacing w:after="0" w:line="136" w:lineRule="exact"/>
              <w:rPr>
                <w:sz w:val="20"/>
                <w:szCs w:val="20"/>
                <w:color w:val="auto"/>
              </w:rPr>
            </w:pPr>
            <w:r>
              <w:rPr>
                <w:rFonts w:ascii="Arial" w:cs="Arial" w:eastAsia="Arial" w:hAnsi="Arial"/>
                <w:sz w:val="13"/>
                <w:szCs w:val="13"/>
                <w:i w:val="1"/>
                <w:iCs w:val="1"/>
                <w:color w:val="auto"/>
              </w:rPr>
              <w:t>Power</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tcPr>
          <w:p>
            <w:pPr>
              <w:ind w:left="400"/>
              <w:spacing w:after="0"/>
              <w:rPr>
                <w:sz w:val="20"/>
                <w:szCs w:val="20"/>
                <w:color w:val="auto"/>
              </w:rPr>
            </w:pPr>
            <w:r>
              <w:rPr>
                <w:rFonts w:ascii="Arial" w:cs="Arial" w:eastAsia="Arial" w:hAnsi="Arial"/>
                <w:sz w:val="13"/>
                <w:szCs w:val="13"/>
                <w:i w:val="1"/>
                <w:iCs w:val="1"/>
                <w:color w:val="auto"/>
              </w:rPr>
              <w:t>Solutions</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shd w:val="clear" w:color="auto" w:fill="C6D9F1"/>
          </w:tcPr>
          <w:p>
            <w:pPr>
              <w:spacing w:after="0" w:line="120" w:lineRule="exact"/>
              <w:rPr>
                <w:sz w:val="20"/>
                <w:szCs w:val="20"/>
                <w:color w:val="auto"/>
              </w:rPr>
            </w:pPr>
            <w:r>
              <w:rPr>
                <w:rFonts w:ascii="Arial" w:cs="Arial" w:eastAsia="Arial" w:hAnsi="Arial"/>
                <w:sz w:val="13"/>
                <w:szCs w:val="13"/>
                <w:color w:val="auto"/>
              </w:rPr>
              <w:t>J. Robbie Atkinson</w:t>
            </w:r>
            <w:r>
              <w:rPr>
                <w:rFonts w:ascii="Arial" w:cs="Arial" w:eastAsia="Arial" w:hAnsi="Arial"/>
                <w:sz w:val="11"/>
                <w:szCs w:val="11"/>
                <w:color w:val="auto"/>
              </w:rPr>
              <w:t>(7)</w:t>
            </w:r>
          </w:p>
        </w:tc>
        <w:tc>
          <w:tcPr>
            <w:tcW w:w="680" w:type="dxa"/>
            <w:vAlign w:val="bottom"/>
            <w:gridSpan w:val="3"/>
            <w:shd w:val="clear" w:color="auto" w:fill="C6D9F1"/>
          </w:tcPr>
          <w:p>
            <w:pPr>
              <w:jc w:val="right"/>
              <w:ind w:right="180"/>
              <w:spacing w:after="0" w:line="120" w:lineRule="exact"/>
              <w:rPr>
                <w:sz w:val="20"/>
                <w:szCs w:val="20"/>
                <w:color w:val="auto"/>
              </w:rPr>
            </w:pPr>
            <w:r>
              <w:rPr>
                <w:rFonts w:ascii="Arial" w:cs="Arial" w:eastAsia="Arial" w:hAnsi="Arial"/>
                <w:sz w:val="13"/>
                <w:szCs w:val="13"/>
                <w:color w:val="auto"/>
              </w:rPr>
              <w:t>2019</w:t>
            </w:r>
          </w:p>
        </w:tc>
        <w:tc>
          <w:tcPr>
            <w:tcW w:w="8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281,34</w:t>
            </w:r>
          </w:p>
        </w:tc>
        <w:tc>
          <w:tcPr>
            <w:tcW w:w="1220" w:type="dxa"/>
            <w:vAlign w:val="bottom"/>
            <w:gridSpan w:val="2"/>
            <w:shd w:val="clear" w:color="auto" w:fill="C6D9F1"/>
          </w:tcPr>
          <w:p>
            <w:pPr>
              <w:ind w:left="94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231,075</w:t>
            </w:r>
          </w:p>
        </w:tc>
        <w:tc>
          <w:tcPr>
            <w:tcW w:w="92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20"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20"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20" w:lineRule="exact"/>
              <w:rPr>
                <w:sz w:val="20"/>
                <w:szCs w:val="20"/>
                <w:color w:val="auto"/>
              </w:rPr>
            </w:pPr>
            <w:r>
              <w:rPr>
                <w:rFonts w:ascii="Arial" w:cs="Arial" w:eastAsia="Arial" w:hAnsi="Arial"/>
                <w:sz w:val="13"/>
                <w:szCs w:val="13"/>
                <w:color w:val="auto"/>
              </w:rPr>
              <w:t>72,875</w:t>
            </w:r>
          </w:p>
        </w:tc>
        <w:tc>
          <w:tcPr>
            <w:tcW w:w="560" w:type="dxa"/>
            <w:vAlign w:val="bottom"/>
            <w:shd w:val="clear" w:color="auto" w:fill="C6D9F1"/>
          </w:tcPr>
          <w:p>
            <w:pPr>
              <w:jc w:val="right"/>
              <w:spacing w:after="0" w:line="120" w:lineRule="exact"/>
              <w:rPr>
                <w:sz w:val="20"/>
                <w:szCs w:val="20"/>
                <w:color w:val="auto"/>
              </w:rPr>
            </w:pPr>
            <w:r>
              <w:rPr>
                <w:rFonts w:ascii="Arial" w:cs="Arial" w:eastAsia="Arial" w:hAnsi="Arial"/>
                <w:sz w:val="13"/>
                <w:szCs w:val="13"/>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w w:val="91"/>
              </w:rPr>
              <w:t>Former Executive Vice</w:t>
            </w:r>
          </w:p>
        </w:tc>
        <w:tc>
          <w:tcPr>
            <w:tcW w:w="100" w:type="dxa"/>
            <w:vAlign w:val="bottom"/>
            <w:shd w:val="clear" w:color="auto" w:fill="C6D9F1"/>
          </w:tcPr>
          <w:p>
            <w:pPr>
              <w:spacing w:after="0"/>
              <w:rPr>
                <w:sz w:val="11"/>
                <w:szCs w:val="11"/>
                <w:color w:val="auto"/>
              </w:rPr>
            </w:pPr>
          </w:p>
        </w:tc>
        <w:tc>
          <w:tcPr>
            <w:tcW w:w="400" w:type="dxa"/>
            <w:vAlign w:val="bottom"/>
            <w:shd w:val="clear" w:color="auto" w:fill="C6D9F1"/>
          </w:tcPr>
          <w:p>
            <w:pPr>
              <w:spacing w:after="0"/>
              <w:rPr>
                <w:sz w:val="11"/>
                <w:szCs w:val="11"/>
                <w:color w:val="auto"/>
              </w:rPr>
            </w:pPr>
          </w:p>
        </w:tc>
        <w:tc>
          <w:tcPr>
            <w:tcW w:w="180" w:type="dxa"/>
            <w:vAlign w:val="bottom"/>
            <w:shd w:val="clear" w:color="auto" w:fill="C6D9F1"/>
          </w:tcPr>
          <w:p>
            <w:pPr>
              <w:spacing w:after="0"/>
              <w:rPr>
                <w:sz w:val="11"/>
                <w:szCs w:val="11"/>
                <w:color w:val="auto"/>
              </w:rPr>
            </w:pPr>
          </w:p>
        </w:tc>
        <w:tc>
          <w:tcPr>
            <w:tcW w:w="7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80" w:type="dxa"/>
            <w:vAlign w:val="bottom"/>
            <w:shd w:val="clear" w:color="auto" w:fill="C6D9F1"/>
          </w:tcPr>
          <w:p>
            <w:pPr>
              <w:spacing w:after="0"/>
              <w:rPr>
                <w:sz w:val="11"/>
                <w:szCs w:val="11"/>
                <w:color w:val="auto"/>
              </w:rPr>
            </w:pPr>
          </w:p>
        </w:tc>
        <w:tc>
          <w:tcPr>
            <w:tcW w:w="14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040" w:type="dxa"/>
            <w:vAlign w:val="bottom"/>
            <w:shd w:val="clear" w:color="auto" w:fill="C6D9F1"/>
          </w:tcPr>
          <w:p>
            <w:pPr>
              <w:spacing w:after="0"/>
              <w:rPr>
                <w:sz w:val="11"/>
                <w:szCs w:val="11"/>
                <w:color w:val="auto"/>
              </w:rPr>
            </w:pPr>
          </w:p>
        </w:tc>
        <w:tc>
          <w:tcPr>
            <w:tcW w:w="100" w:type="dxa"/>
            <w:vAlign w:val="bottom"/>
            <w:shd w:val="clear" w:color="auto" w:fill="C6D9F1"/>
          </w:tcPr>
          <w:p>
            <w:pPr>
              <w:spacing w:after="0"/>
              <w:rPr>
                <w:sz w:val="11"/>
                <w:szCs w:val="11"/>
                <w:color w:val="auto"/>
              </w:rPr>
            </w:pPr>
          </w:p>
        </w:tc>
        <w:tc>
          <w:tcPr>
            <w:tcW w:w="1360" w:type="dxa"/>
            <w:vAlign w:val="bottom"/>
            <w:shd w:val="clear" w:color="auto" w:fill="C6D9F1"/>
          </w:tcPr>
          <w:p>
            <w:pPr>
              <w:spacing w:after="0"/>
              <w:rPr>
                <w:sz w:val="11"/>
                <w:szCs w:val="11"/>
                <w:color w:val="auto"/>
              </w:rPr>
            </w:pPr>
          </w:p>
        </w:tc>
        <w:tc>
          <w:tcPr>
            <w:tcW w:w="120" w:type="dxa"/>
            <w:vAlign w:val="bottom"/>
            <w:shd w:val="clear" w:color="auto" w:fill="C6D9F1"/>
          </w:tcPr>
          <w:p>
            <w:pPr>
              <w:spacing w:after="0"/>
              <w:rPr>
                <w:sz w:val="11"/>
                <w:szCs w:val="11"/>
                <w:color w:val="auto"/>
              </w:rPr>
            </w:pPr>
          </w:p>
        </w:tc>
        <w:tc>
          <w:tcPr>
            <w:tcW w:w="1440" w:type="dxa"/>
            <w:vAlign w:val="bottom"/>
            <w:shd w:val="clear" w:color="auto" w:fill="C6D9F1"/>
          </w:tcPr>
          <w:p>
            <w:pPr>
              <w:spacing w:after="0"/>
              <w:rPr>
                <w:sz w:val="11"/>
                <w:szCs w:val="11"/>
                <w:color w:val="auto"/>
              </w:rPr>
            </w:pPr>
          </w:p>
        </w:tc>
        <w:tc>
          <w:tcPr>
            <w:tcW w:w="320" w:type="dxa"/>
            <w:vAlign w:val="bottom"/>
            <w:shd w:val="clear" w:color="auto" w:fill="C6D9F1"/>
          </w:tcPr>
          <w:p>
            <w:pPr>
              <w:spacing w:after="0"/>
              <w:rPr>
                <w:sz w:val="11"/>
                <w:szCs w:val="11"/>
                <w:color w:val="auto"/>
              </w:rPr>
            </w:pPr>
          </w:p>
        </w:tc>
        <w:tc>
          <w:tcPr>
            <w:tcW w:w="560" w:type="dxa"/>
            <w:vAlign w:val="bottom"/>
            <w:shd w:val="clear" w:color="auto" w:fill="C6D9F1"/>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620" w:type="dxa"/>
            <w:vAlign w:val="bottom"/>
            <w:shd w:val="clear" w:color="auto" w:fill="C6D9F1"/>
          </w:tcPr>
          <w:p>
            <w:pPr>
              <w:ind w:left="400"/>
              <w:spacing w:after="0" w:line="136" w:lineRule="exact"/>
              <w:rPr>
                <w:sz w:val="20"/>
                <w:szCs w:val="20"/>
                <w:color w:val="auto"/>
              </w:rPr>
            </w:pPr>
            <w:r>
              <w:rPr>
                <w:rFonts w:ascii="Arial" w:cs="Arial" w:eastAsia="Arial" w:hAnsi="Arial"/>
                <w:sz w:val="13"/>
                <w:szCs w:val="13"/>
                <w:i w:val="1"/>
                <w:iCs w:val="1"/>
                <w:color w:val="auto"/>
              </w:rPr>
              <w:t>President –</w:t>
            </w:r>
          </w:p>
        </w:tc>
        <w:tc>
          <w:tcPr>
            <w:tcW w:w="100" w:type="dxa"/>
            <w:vAlign w:val="bottom"/>
            <w:shd w:val="clear" w:color="auto" w:fill="C6D9F1"/>
          </w:tcPr>
          <w:p>
            <w:pPr>
              <w:spacing w:after="0"/>
              <w:rPr>
                <w:sz w:val="11"/>
                <w:szCs w:val="11"/>
                <w:color w:val="auto"/>
              </w:rPr>
            </w:pPr>
          </w:p>
        </w:tc>
        <w:tc>
          <w:tcPr>
            <w:tcW w:w="580" w:type="dxa"/>
            <w:vAlign w:val="bottom"/>
            <w:gridSpan w:val="2"/>
            <w:shd w:val="clear" w:color="auto" w:fill="C6D9F1"/>
          </w:tcPr>
          <w:p>
            <w:pPr>
              <w:jc w:val="right"/>
              <w:ind w:right="180"/>
              <w:spacing w:after="0" w:line="136" w:lineRule="exact"/>
              <w:rPr>
                <w:sz w:val="20"/>
                <w:szCs w:val="20"/>
                <w:color w:val="auto"/>
              </w:rPr>
            </w:pPr>
            <w:r>
              <w:rPr>
                <w:rFonts w:ascii="Arial" w:cs="Arial" w:eastAsia="Arial" w:hAnsi="Arial"/>
                <w:sz w:val="13"/>
                <w:szCs w:val="13"/>
                <w:color w:val="auto"/>
              </w:rPr>
              <w:t>2018</w:t>
            </w:r>
          </w:p>
        </w:tc>
        <w:tc>
          <w:tcPr>
            <w:tcW w:w="8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271,539</w:t>
            </w:r>
          </w:p>
        </w:tc>
        <w:tc>
          <w:tcPr>
            <w:tcW w:w="1220" w:type="dxa"/>
            <w:vAlign w:val="bottom"/>
            <w:gridSpan w:val="2"/>
            <w:shd w:val="clear" w:color="auto" w:fill="C6D9F1"/>
          </w:tcPr>
          <w:p>
            <w:pPr>
              <w:ind w:left="94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221,250</w:t>
            </w:r>
          </w:p>
        </w:tc>
        <w:tc>
          <w:tcPr>
            <w:tcW w:w="92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6D9F1"/>
          </w:tcPr>
          <w:p>
            <w:pPr>
              <w:jc w:val="right"/>
              <w:ind w:right="100"/>
              <w:spacing w:after="0" w:line="136" w:lineRule="exact"/>
              <w:rPr>
                <w:sz w:val="20"/>
                <w:szCs w:val="20"/>
                <w:color w:val="auto"/>
              </w:rPr>
            </w:pPr>
            <w:r>
              <w:rPr>
                <w:rFonts w:ascii="Arial" w:cs="Arial" w:eastAsia="Arial" w:hAnsi="Arial"/>
                <w:sz w:val="13"/>
                <w:szCs w:val="13"/>
                <w:color w:val="auto"/>
              </w:rPr>
              <w:t>—</w:t>
            </w:r>
          </w:p>
        </w:tc>
        <w:tc>
          <w:tcPr>
            <w:tcW w:w="1480" w:type="dxa"/>
            <w:vAlign w:val="bottom"/>
            <w:gridSpan w:val="2"/>
            <w:shd w:val="clear" w:color="auto" w:fill="C6D9F1"/>
          </w:tcPr>
          <w:p>
            <w:pPr>
              <w:ind w:left="1240"/>
              <w:spacing w:after="0" w:line="136" w:lineRule="exact"/>
              <w:rPr>
                <w:sz w:val="20"/>
                <w:szCs w:val="20"/>
                <w:color w:val="auto"/>
              </w:rPr>
            </w:pPr>
            <w:r>
              <w:rPr>
                <w:rFonts w:ascii="Arial" w:cs="Arial" w:eastAsia="Arial" w:hAnsi="Arial"/>
                <w:sz w:val="13"/>
                <w:szCs w:val="13"/>
                <w:color w:val="auto"/>
              </w:rPr>
              <w:t>—</w:t>
            </w:r>
          </w:p>
        </w:tc>
        <w:tc>
          <w:tcPr>
            <w:tcW w:w="1760" w:type="dxa"/>
            <w:vAlign w:val="bottom"/>
            <w:gridSpan w:val="2"/>
            <w:shd w:val="clear" w:color="auto" w:fill="C6D9F1"/>
          </w:tcPr>
          <w:p>
            <w:pPr>
              <w:jc w:val="right"/>
              <w:ind w:right="320"/>
              <w:spacing w:after="0" w:line="136" w:lineRule="exact"/>
              <w:rPr>
                <w:sz w:val="20"/>
                <w:szCs w:val="20"/>
                <w:color w:val="auto"/>
              </w:rPr>
            </w:pPr>
            <w:r>
              <w:rPr>
                <w:rFonts w:ascii="Arial" w:cs="Arial" w:eastAsia="Arial" w:hAnsi="Arial"/>
                <w:sz w:val="13"/>
                <w:szCs w:val="13"/>
                <w:color w:val="auto"/>
              </w:rPr>
              <w:t>505,813</w:t>
            </w:r>
          </w:p>
        </w:tc>
        <w:tc>
          <w:tcPr>
            <w:tcW w:w="560" w:type="dxa"/>
            <w:vAlign w:val="bottom"/>
            <w:shd w:val="clear" w:color="auto" w:fill="C6D9F1"/>
          </w:tcPr>
          <w:p>
            <w:pPr>
              <w:jc w:val="right"/>
              <w:spacing w:after="0" w:line="136" w:lineRule="exact"/>
              <w:rPr>
                <w:sz w:val="20"/>
                <w:szCs w:val="20"/>
                <w:color w:val="auto"/>
              </w:rPr>
            </w:pPr>
            <w:r>
              <w:rPr>
                <w:rFonts w:ascii="Arial" w:cs="Arial" w:eastAsia="Arial" w:hAnsi="Arial"/>
                <w:sz w:val="13"/>
                <w:szCs w:val="13"/>
                <w:color w:val="auto"/>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20" w:type="dxa"/>
            <w:vAlign w:val="bottom"/>
            <w:shd w:val="clear" w:color="auto" w:fill="C6D9F1"/>
          </w:tcPr>
          <w:p>
            <w:pPr>
              <w:ind w:left="400"/>
              <w:spacing w:after="0"/>
              <w:rPr>
                <w:sz w:val="20"/>
                <w:szCs w:val="20"/>
                <w:color w:val="auto"/>
              </w:rPr>
            </w:pPr>
            <w:r>
              <w:rPr>
                <w:rFonts w:ascii="Arial" w:cs="Arial" w:eastAsia="Arial" w:hAnsi="Arial"/>
                <w:sz w:val="13"/>
                <w:szCs w:val="13"/>
                <w:i w:val="1"/>
                <w:iCs w:val="1"/>
                <w:color w:val="auto"/>
              </w:rPr>
              <w:t>Life Sciences</w:t>
            </w:r>
          </w:p>
        </w:tc>
        <w:tc>
          <w:tcPr>
            <w:tcW w:w="100" w:type="dxa"/>
            <w:vAlign w:val="bottom"/>
            <w:shd w:val="clear" w:color="auto" w:fill="C6D9F1"/>
          </w:tcPr>
          <w:p>
            <w:pPr>
              <w:spacing w:after="0"/>
              <w:rPr>
                <w:sz w:val="13"/>
                <w:szCs w:val="13"/>
                <w:color w:val="auto"/>
              </w:rPr>
            </w:pPr>
          </w:p>
        </w:tc>
        <w:tc>
          <w:tcPr>
            <w:tcW w:w="400" w:type="dxa"/>
            <w:vAlign w:val="bottom"/>
            <w:shd w:val="clear" w:color="auto" w:fill="C6D9F1"/>
          </w:tcPr>
          <w:p>
            <w:pPr>
              <w:spacing w:after="0"/>
              <w:rPr>
                <w:sz w:val="13"/>
                <w:szCs w:val="13"/>
                <w:color w:val="auto"/>
              </w:rPr>
            </w:pPr>
          </w:p>
        </w:tc>
        <w:tc>
          <w:tcPr>
            <w:tcW w:w="180" w:type="dxa"/>
            <w:vAlign w:val="bottom"/>
            <w:shd w:val="clear" w:color="auto" w:fill="C6D9F1"/>
          </w:tcPr>
          <w:p>
            <w:pPr>
              <w:spacing w:after="0"/>
              <w:rPr>
                <w:sz w:val="13"/>
                <w:szCs w:val="13"/>
                <w:color w:val="auto"/>
              </w:rPr>
            </w:pPr>
          </w:p>
        </w:tc>
        <w:tc>
          <w:tcPr>
            <w:tcW w:w="72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80" w:type="dxa"/>
            <w:vAlign w:val="bottom"/>
            <w:shd w:val="clear" w:color="auto" w:fill="C6D9F1"/>
          </w:tcPr>
          <w:p>
            <w:pPr>
              <w:spacing w:after="0"/>
              <w:rPr>
                <w:sz w:val="13"/>
                <w:szCs w:val="13"/>
                <w:color w:val="auto"/>
              </w:rPr>
            </w:pPr>
          </w:p>
        </w:tc>
        <w:tc>
          <w:tcPr>
            <w:tcW w:w="140" w:type="dxa"/>
            <w:vAlign w:val="bottom"/>
            <w:shd w:val="clear" w:color="auto" w:fill="C6D9F1"/>
          </w:tcPr>
          <w:p>
            <w:pPr>
              <w:spacing w:after="0"/>
              <w:rPr>
                <w:sz w:val="13"/>
                <w:szCs w:val="13"/>
                <w:color w:val="auto"/>
              </w:rPr>
            </w:pPr>
          </w:p>
        </w:tc>
        <w:tc>
          <w:tcPr>
            <w:tcW w:w="104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82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040" w:type="dxa"/>
            <w:vAlign w:val="bottom"/>
            <w:shd w:val="clear" w:color="auto" w:fill="C6D9F1"/>
          </w:tcPr>
          <w:p>
            <w:pPr>
              <w:spacing w:after="0"/>
              <w:rPr>
                <w:sz w:val="13"/>
                <w:szCs w:val="13"/>
                <w:color w:val="auto"/>
              </w:rPr>
            </w:pPr>
          </w:p>
        </w:tc>
        <w:tc>
          <w:tcPr>
            <w:tcW w:w="100" w:type="dxa"/>
            <w:vAlign w:val="bottom"/>
            <w:shd w:val="clear" w:color="auto" w:fill="C6D9F1"/>
          </w:tcPr>
          <w:p>
            <w:pPr>
              <w:spacing w:after="0"/>
              <w:rPr>
                <w:sz w:val="13"/>
                <w:szCs w:val="13"/>
                <w:color w:val="auto"/>
              </w:rPr>
            </w:pPr>
          </w:p>
        </w:tc>
        <w:tc>
          <w:tcPr>
            <w:tcW w:w="1360" w:type="dxa"/>
            <w:vAlign w:val="bottom"/>
            <w:shd w:val="clear" w:color="auto" w:fill="C6D9F1"/>
          </w:tcPr>
          <w:p>
            <w:pPr>
              <w:spacing w:after="0"/>
              <w:rPr>
                <w:sz w:val="13"/>
                <w:szCs w:val="13"/>
                <w:color w:val="auto"/>
              </w:rPr>
            </w:pPr>
          </w:p>
        </w:tc>
        <w:tc>
          <w:tcPr>
            <w:tcW w:w="120" w:type="dxa"/>
            <w:vAlign w:val="bottom"/>
            <w:shd w:val="clear" w:color="auto" w:fill="C6D9F1"/>
          </w:tcPr>
          <w:p>
            <w:pPr>
              <w:spacing w:after="0"/>
              <w:rPr>
                <w:sz w:val="13"/>
                <w:szCs w:val="13"/>
                <w:color w:val="auto"/>
              </w:rPr>
            </w:pPr>
          </w:p>
        </w:tc>
        <w:tc>
          <w:tcPr>
            <w:tcW w:w="1440" w:type="dxa"/>
            <w:vAlign w:val="bottom"/>
            <w:shd w:val="clear" w:color="auto" w:fill="C6D9F1"/>
          </w:tcPr>
          <w:p>
            <w:pPr>
              <w:spacing w:after="0"/>
              <w:rPr>
                <w:sz w:val="13"/>
                <w:szCs w:val="13"/>
                <w:color w:val="auto"/>
              </w:rPr>
            </w:pPr>
          </w:p>
        </w:tc>
        <w:tc>
          <w:tcPr>
            <w:tcW w:w="320" w:type="dxa"/>
            <w:vAlign w:val="bottom"/>
            <w:shd w:val="clear" w:color="auto" w:fill="C6D9F1"/>
          </w:tcPr>
          <w:p>
            <w:pPr>
              <w:spacing w:after="0"/>
              <w:rPr>
                <w:sz w:val="13"/>
                <w:szCs w:val="13"/>
                <w:color w:val="auto"/>
              </w:rPr>
            </w:pPr>
          </w:p>
        </w:tc>
        <w:tc>
          <w:tcPr>
            <w:tcW w:w="560" w:type="dxa"/>
            <w:vAlign w:val="bottom"/>
            <w:shd w:val="clear" w:color="auto" w:fill="C6D9F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left="1"/>
        <w:spacing w:after="0"/>
        <w:rPr>
          <w:sz w:val="20"/>
          <w:szCs w:val="20"/>
          <w:color w:val="auto"/>
        </w:rPr>
      </w:pPr>
      <w:r>
        <w:rPr>
          <w:rFonts w:ascii="Arial" w:cs="Arial" w:eastAsia="Arial" w:hAnsi="Arial"/>
          <w:sz w:val="20"/>
          <w:szCs w:val="20"/>
          <w:color w:val="auto"/>
        </w:rPr>
        <w:t>_______________</w:t>
      </w:r>
    </w:p>
    <w:p>
      <w:pPr>
        <w:spacing w:after="0" w:line="36" w:lineRule="exact"/>
        <w:rPr>
          <w:sz w:val="20"/>
          <w:szCs w:val="20"/>
          <w:color w:val="auto"/>
        </w:rPr>
      </w:pPr>
    </w:p>
    <w:p>
      <w:pPr>
        <w:ind w:left="601" w:right="260" w:hanging="601"/>
        <w:spacing w:after="0" w:line="282" w:lineRule="auto"/>
        <w:tabs>
          <w:tab w:leader="none" w:pos="601"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Veltman was appointed Interim President and Chief Executive Officer, effective as of September 16, 2019, and then President and Chief Executive Officer, effective as of February 17, 2020. Prior to September 16, 2019, he served as the Executive Vice President of the Company’s Mobile Solutions group.</w:t>
      </w:r>
    </w:p>
    <w:p>
      <w:pPr>
        <w:ind w:left="601" w:hanging="601"/>
        <w:spacing w:after="0"/>
        <w:tabs>
          <w:tab w:leader="none" w:pos="6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Holder resigned and departed the Company, effective as of September 13, 2019.</w:t>
      </w:r>
    </w:p>
    <w:p>
      <w:pPr>
        <w:spacing w:after="0" w:line="13" w:lineRule="exact"/>
        <w:rPr>
          <w:rFonts w:ascii="Arial" w:cs="Arial" w:eastAsia="Arial" w:hAnsi="Arial"/>
          <w:sz w:val="16"/>
          <w:szCs w:val="16"/>
          <w:color w:val="auto"/>
        </w:rPr>
      </w:pPr>
    </w:p>
    <w:p>
      <w:pPr>
        <w:ind w:left="601" w:hanging="601"/>
        <w:spacing w:after="0"/>
        <w:tabs>
          <w:tab w:leader="none" w:pos="6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DeByle joined the Company in this position, effective as of September 23, 2019.</w:t>
      </w:r>
    </w:p>
    <w:p>
      <w:pPr>
        <w:spacing w:after="0" w:line="13" w:lineRule="exact"/>
        <w:rPr>
          <w:rFonts w:ascii="Arial" w:cs="Arial" w:eastAsia="Arial" w:hAnsi="Arial"/>
          <w:sz w:val="16"/>
          <w:szCs w:val="16"/>
          <w:color w:val="auto"/>
        </w:rPr>
      </w:pPr>
    </w:p>
    <w:p>
      <w:pPr>
        <w:ind w:left="601" w:hanging="601"/>
        <w:spacing w:after="0"/>
        <w:tabs>
          <w:tab w:leader="none" w:pos="6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Burwell resigned and departed the Company, effective as of July 12, 2019.</w:t>
      </w:r>
    </w:p>
    <w:p>
      <w:pPr>
        <w:spacing w:after="0" w:line="13" w:lineRule="exact"/>
        <w:rPr>
          <w:rFonts w:ascii="Arial" w:cs="Arial" w:eastAsia="Arial" w:hAnsi="Arial"/>
          <w:sz w:val="16"/>
          <w:szCs w:val="16"/>
          <w:color w:val="auto"/>
        </w:rPr>
      </w:pPr>
    </w:p>
    <w:p>
      <w:pPr>
        <w:ind w:left="601" w:hanging="601"/>
        <w:spacing w:after="0"/>
        <w:tabs>
          <w:tab w:leader="none" w:pos="601" w:val="left"/>
        </w:tabs>
        <w:numPr>
          <w:ilvl w:val="0"/>
          <w:numId w:val="40"/>
        </w:numPr>
        <w:rPr>
          <w:rFonts w:ascii="Arial" w:cs="Arial" w:eastAsia="Arial" w:hAnsi="Arial"/>
          <w:sz w:val="15"/>
          <w:szCs w:val="15"/>
          <w:color w:val="auto"/>
        </w:rPr>
      </w:pPr>
      <w:r>
        <w:rPr>
          <w:rFonts w:ascii="Arial" w:cs="Arial" w:eastAsia="Arial" w:hAnsi="Arial"/>
          <w:sz w:val="15"/>
          <w:szCs w:val="15"/>
          <w:color w:val="auto"/>
        </w:rPr>
        <w:t>Mr. Qualters served as the Executive Vice President of the Company’s Power Solutions group until assuming this position, effective as of November 25, 2020.</w:t>
      </w:r>
    </w:p>
    <w:p>
      <w:pPr>
        <w:spacing w:after="0" w:line="25" w:lineRule="exact"/>
        <w:rPr>
          <w:rFonts w:ascii="Arial" w:cs="Arial" w:eastAsia="Arial" w:hAnsi="Arial"/>
          <w:sz w:val="15"/>
          <w:szCs w:val="15"/>
          <w:color w:val="auto"/>
        </w:rPr>
      </w:pPr>
    </w:p>
    <w:p>
      <w:pPr>
        <w:jc w:val="both"/>
        <w:ind w:left="601" w:right="120" w:hanging="601"/>
        <w:spacing w:after="0" w:line="257" w:lineRule="auto"/>
        <w:tabs>
          <w:tab w:leader="none" w:pos="6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Buchan was promoted to serve as Executive Vice President of the Company’s Mobile Solutions group, effective as of September 20, 2019, and then assumed this consolidated position, effective as of November 25, 2019. Prior to September 20, 2019, he served as Vice President of Operations of the Company’s Mobile Solutions Group.</w:t>
      </w:r>
    </w:p>
    <w:p>
      <w:pPr>
        <w:spacing w:after="0" w:line="1" w:lineRule="exact"/>
        <w:rPr>
          <w:rFonts w:ascii="Arial" w:cs="Arial" w:eastAsia="Arial" w:hAnsi="Arial"/>
          <w:sz w:val="16"/>
          <w:szCs w:val="16"/>
          <w:color w:val="auto"/>
        </w:rPr>
      </w:pPr>
    </w:p>
    <w:p>
      <w:pPr>
        <w:ind w:left="601" w:hanging="601"/>
        <w:spacing w:after="0"/>
        <w:tabs>
          <w:tab w:leader="none" w:pos="6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Atkinson resigned and departed the Company, effective as of November 22, 2019.</w:t>
      </w:r>
    </w:p>
    <w:p>
      <w:pPr>
        <w:spacing w:after="0" w:line="13" w:lineRule="exact"/>
        <w:rPr>
          <w:rFonts w:ascii="Arial" w:cs="Arial" w:eastAsia="Arial" w:hAnsi="Arial"/>
          <w:sz w:val="16"/>
          <w:szCs w:val="16"/>
          <w:color w:val="auto"/>
        </w:rPr>
      </w:pPr>
    </w:p>
    <w:p>
      <w:pPr>
        <w:ind w:left="601" w:right="120" w:hanging="601"/>
        <w:spacing w:after="0" w:line="280" w:lineRule="auto"/>
        <w:tabs>
          <w:tab w:leader="none" w:pos="601" w:val="left"/>
        </w:tabs>
        <w:numPr>
          <w:ilvl w:val="0"/>
          <w:numId w:val="40"/>
        </w:numPr>
        <w:rPr>
          <w:rFonts w:ascii="Arial" w:cs="Arial" w:eastAsia="Arial" w:hAnsi="Arial"/>
          <w:sz w:val="15"/>
          <w:szCs w:val="15"/>
          <w:color w:val="auto"/>
        </w:rPr>
      </w:pPr>
      <w:r>
        <w:rPr>
          <w:rFonts w:ascii="Arial" w:cs="Arial" w:eastAsia="Arial" w:hAnsi="Arial"/>
          <w:sz w:val="15"/>
          <w:szCs w:val="15"/>
          <w:color w:val="auto"/>
        </w:rPr>
        <w:t>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19 of the Notes to</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41"/>
          </w:cols>
          <w:pgMar w:left="319" w:top="642" w:right="239" w:bottom="1440" w:gutter="0" w:footer="0" w:header="0"/>
        </w:sectPr>
      </w:pPr>
    </w:p>
    <w:bookmarkStart w:id="38" w:name="page39"/>
    <w:bookmarkEnd w:id="38"/>
    <w:p>
      <w:pPr>
        <w:ind w:left="601"/>
        <w:spacing w:after="0"/>
        <w:rPr>
          <w:sz w:val="20"/>
          <w:szCs w:val="20"/>
          <w:color w:val="auto"/>
        </w:rPr>
      </w:pPr>
      <w:r>
        <w:rPr>
          <w:rFonts w:ascii="Arial" w:cs="Arial" w:eastAsia="Arial" w:hAnsi="Arial"/>
          <w:sz w:val="15"/>
          <w:szCs w:val="15"/>
          <w:color w:val="auto"/>
        </w:rPr>
        <w:t>Consolidated Financial Statements included in our Annual Report on Form 10-K for the year ended December 31, 2019 filed with the SEC on March 16, 2020.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Grant Date Fair Value of TSR Awards</w:t>
      </w:r>
    </w:p>
    <w:p>
      <w:pPr>
        <w:spacing w:after="0" w:line="19" w:lineRule="exact"/>
        <w:rPr>
          <w:sz w:val="20"/>
          <w:szCs w:val="20"/>
          <w:color w:val="auto"/>
        </w:rPr>
      </w:pPr>
    </w:p>
    <w:tbl>
      <w:tblPr>
        <w:tblLayout w:type="fixed"/>
        <w:tblInd w:w="1401"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1980" w:type="dxa"/>
            <w:vAlign w:val="bottom"/>
            <w:tcBorders>
              <w:top w:val="single" w:sz="8" w:color="auto"/>
            </w:tcBorders>
          </w:tcPr>
          <w:p>
            <w:pPr>
              <w:spacing w:after="0"/>
              <w:rPr>
                <w:sz w:val="9"/>
                <w:szCs w:val="9"/>
                <w:color w:val="auto"/>
              </w:rPr>
            </w:pPr>
          </w:p>
        </w:tc>
        <w:tc>
          <w:tcPr>
            <w:tcW w:w="3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0" w:type="dxa"/>
            <w:vAlign w:val="bottom"/>
            <w:tcBorders>
              <w:top w:val="single" w:sz="8" w:color="auto"/>
            </w:tcBorders>
            <w:gridSpan w:val="6"/>
          </w:tcPr>
          <w:p>
            <w:pPr>
              <w:jc w:val="center"/>
              <w:ind w:right="480"/>
              <w:spacing w:after="0" w:line="108" w:lineRule="exact"/>
              <w:rPr>
                <w:sz w:val="20"/>
                <w:szCs w:val="20"/>
                <w:color w:val="auto"/>
              </w:rPr>
            </w:pPr>
            <w:r>
              <w:rPr>
                <w:rFonts w:ascii="Arial" w:cs="Arial" w:eastAsia="Arial" w:hAnsi="Arial"/>
                <w:sz w:val="12"/>
                <w:szCs w:val="12"/>
                <w:b w:val="1"/>
                <w:bCs w:val="1"/>
                <w:color w:val="auto"/>
                <w:w w:val="99"/>
              </w:rPr>
              <w:t>Target Value</w:t>
            </w:r>
          </w:p>
        </w:tc>
        <w:tc>
          <w:tcPr>
            <w:tcW w:w="1360" w:type="dxa"/>
            <w:vAlign w:val="bottom"/>
            <w:tcBorders>
              <w:top w:val="single" w:sz="8" w:color="auto"/>
            </w:tcBorders>
          </w:tcPr>
          <w:p>
            <w:pPr>
              <w:jc w:val="right"/>
              <w:ind w:right="342"/>
              <w:spacing w:after="0" w:line="108" w:lineRule="exact"/>
              <w:rPr>
                <w:sz w:val="20"/>
                <w:szCs w:val="20"/>
                <w:color w:val="auto"/>
              </w:rPr>
            </w:pPr>
            <w:r>
              <w:rPr>
                <w:rFonts w:ascii="Arial" w:cs="Arial" w:eastAsia="Arial" w:hAnsi="Arial"/>
                <w:sz w:val="12"/>
                <w:szCs w:val="12"/>
                <w:b w:val="1"/>
                <w:bCs w:val="1"/>
                <w:color w:val="auto"/>
              </w:rPr>
              <w:t>Maximum Value</w:t>
            </w:r>
          </w:p>
        </w:tc>
        <w:tc>
          <w:tcPr>
            <w:tcW w:w="20" w:type="dxa"/>
            <w:vAlign w:val="bottom"/>
          </w:tcPr>
          <w:p>
            <w:pPr>
              <w:spacing w:after="0"/>
              <w:rPr>
                <w:sz w:val="9"/>
                <w:szCs w:val="9"/>
                <w:color w:val="auto"/>
              </w:rPr>
            </w:pPr>
          </w:p>
        </w:tc>
      </w:tr>
      <w:tr>
        <w:trPr>
          <w:trHeight w:val="156"/>
        </w:trPr>
        <w:tc>
          <w:tcPr>
            <w:tcW w:w="2000" w:type="dxa"/>
            <w:vAlign w:val="bottom"/>
            <w:gridSpan w:val="2"/>
          </w:tcPr>
          <w:p>
            <w:pPr>
              <w:spacing w:after="0"/>
              <w:rPr>
                <w:sz w:val="20"/>
                <w:szCs w:val="20"/>
                <w:color w:val="auto"/>
              </w:rPr>
            </w:pPr>
            <w:r>
              <w:rPr>
                <w:rFonts w:ascii="Arial" w:cs="Arial" w:eastAsia="Arial" w:hAnsi="Arial"/>
                <w:sz w:val="13"/>
                <w:szCs w:val="13"/>
                <w:color w:val="auto"/>
              </w:rPr>
              <w:t>Name</w:t>
            </w:r>
          </w:p>
        </w:tc>
        <w:tc>
          <w:tcPr>
            <w:tcW w:w="4580" w:type="dxa"/>
            <w:vAlign w:val="bottom"/>
            <w:gridSpan w:val="5"/>
          </w:tcPr>
          <w:p>
            <w:pPr>
              <w:jc w:val="right"/>
              <w:ind w:right="48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742"/>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Mr. Veltman</w:t>
            </w:r>
          </w:p>
        </w:tc>
        <w:tc>
          <w:tcPr>
            <w:tcW w:w="3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92,986</w:t>
            </w: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139,478</w:t>
            </w:r>
          </w:p>
        </w:tc>
        <w:tc>
          <w:tcPr>
            <w:tcW w:w="2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Holder</w:t>
            </w:r>
          </w:p>
        </w:tc>
        <w:tc>
          <w:tcPr>
            <w:tcW w:w="4660" w:type="dxa"/>
            <w:vAlign w:val="bottom"/>
            <w:gridSpan w:val="6"/>
            <w:shd w:val="clear" w:color="auto" w:fill="C6D9F1"/>
          </w:tcPr>
          <w:p>
            <w:pPr>
              <w:jc w:val="right"/>
              <w:ind w:right="80"/>
              <w:spacing w:after="0"/>
              <w:rPr>
                <w:sz w:val="20"/>
                <w:szCs w:val="20"/>
                <w:color w:val="auto"/>
              </w:rPr>
            </w:pPr>
            <w:r>
              <w:rPr>
                <w:rFonts w:ascii="Arial" w:cs="Arial" w:eastAsia="Arial" w:hAnsi="Arial"/>
                <w:sz w:val="16"/>
                <w:szCs w:val="16"/>
                <w:color w:val="auto"/>
              </w:rPr>
              <w:t>739,384</w:t>
            </w:r>
          </w:p>
        </w:tc>
        <w:tc>
          <w:tcPr>
            <w:tcW w:w="340" w:type="dxa"/>
            <w:vAlign w:val="bottom"/>
            <w:shd w:val="clear" w:color="auto" w:fill="C6D9F1"/>
          </w:tcPr>
          <w:p>
            <w:pPr>
              <w:spacing w:after="0"/>
              <w:rPr>
                <w:sz w:val="17"/>
                <w:szCs w:val="17"/>
                <w:color w:val="auto"/>
              </w:rPr>
            </w:pPr>
          </w:p>
        </w:tc>
        <w:tc>
          <w:tcPr>
            <w:tcW w:w="80" w:type="dxa"/>
            <w:vAlign w:val="bottom"/>
            <w:shd w:val="clear" w:color="auto" w:fill="C6D9F1"/>
          </w:tcPr>
          <w:p>
            <w:pPr>
              <w:spacing w:after="0"/>
              <w:rPr>
                <w:sz w:val="17"/>
                <w:szCs w:val="17"/>
                <w:color w:val="auto"/>
              </w:rPr>
            </w:pP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1,109,076</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Mr. Heiter</w:t>
            </w:r>
          </w:p>
        </w:tc>
        <w:tc>
          <w:tcPr>
            <w:tcW w:w="4660" w:type="dxa"/>
            <w:vAlign w:val="bottom"/>
            <w:gridSpan w:val="6"/>
          </w:tcPr>
          <w:p>
            <w:pPr>
              <w:jc w:val="right"/>
              <w:ind w:right="80"/>
              <w:spacing w:after="0"/>
              <w:rPr>
                <w:sz w:val="20"/>
                <w:szCs w:val="20"/>
                <w:color w:val="auto"/>
              </w:rPr>
            </w:pPr>
            <w:r>
              <w:rPr>
                <w:rFonts w:ascii="Arial" w:cs="Arial" w:eastAsia="Arial" w:hAnsi="Arial"/>
                <w:sz w:val="16"/>
                <w:szCs w:val="16"/>
                <w:color w:val="auto"/>
              </w:rPr>
              <w:t>91,835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137,752</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Qualters</w:t>
            </w:r>
          </w:p>
        </w:tc>
        <w:tc>
          <w:tcPr>
            <w:tcW w:w="4660" w:type="dxa"/>
            <w:vAlign w:val="bottom"/>
            <w:gridSpan w:val="6"/>
            <w:shd w:val="clear" w:color="auto" w:fill="C6D9F1"/>
          </w:tcPr>
          <w:p>
            <w:pPr>
              <w:jc w:val="right"/>
              <w:ind w:right="80"/>
              <w:spacing w:after="0"/>
              <w:rPr>
                <w:sz w:val="20"/>
                <w:szCs w:val="20"/>
                <w:color w:val="auto"/>
              </w:rPr>
            </w:pPr>
            <w:r>
              <w:rPr>
                <w:rFonts w:ascii="Arial" w:cs="Arial" w:eastAsia="Arial" w:hAnsi="Arial"/>
                <w:sz w:val="16"/>
                <w:szCs w:val="16"/>
                <w:color w:val="auto"/>
              </w:rPr>
              <w:t>78,954</w:t>
            </w:r>
          </w:p>
        </w:tc>
        <w:tc>
          <w:tcPr>
            <w:tcW w:w="340" w:type="dxa"/>
            <w:vAlign w:val="bottom"/>
            <w:shd w:val="clear" w:color="auto" w:fill="C6D9F1"/>
          </w:tcPr>
          <w:p>
            <w:pPr>
              <w:spacing w:after="0"/>
              <w:rPr>
                <w:sz w:val="17"/>
                <w:szCs w:val="17"/>
                <w:color w:val="auto"/>
              </w:rPr>
            </w:pPr>
          </w:p>
        </w:tc>
        <w:tc>
          <w:tcPr>
            <w:tcW w:w="80" w:type="dxa"/>
            <w:vAlign w:val="bottom"/>
            <w:shd w:val="clear" w:color="auto" w:fill="C6D9F1"/>
          </w:tcPr>
          <w:p>
            <w:pPr>
              <w:spacing w:after="0"/>
              <w:rPr>
                <w:sz w:val="17"/>
                <w:szCs w:val="17"/>
                <w:color w:val="auto"/>
              </w:rPr>
            </w:pP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118,431</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Mr. Buchan</w:t>
            </w:r>
          </w:p>
        </w:tc>
        <w:tc>
          <w:tcPr>
            <w:tcW w:w="4660" w:type="dxa"/>
            <w:vAlign w:val="bottom"/>
            <w:gridSpan w:val="6"/>
          </w:tcPr>
          <w:p>
            <w:pPr>
              <w:jc w:val="right"/>
              <w:ind w:right="80"/>
              <w:spacing w:after="0"/>
              <w:rPr>
                <w:sz w:val="20"/>
                <w:szCs w:val="20"/>
                <w:color w:val="auto"/>
              </w:rPr>
            </w:pPr>
            <w:r>
              <w:rPr>
                <w:rFonts w:ascii="Arial" w:cs="Arial" w:eastAsia="Arial" w:hAnsi="Arial"/>
                <w:sz w:val="16"/>
                <w:szCs w:val="16"/>
                <w:color w:val="auto"/>
              </w:rPr>
              <w:t>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Atkinson</w:t>
            </w:r>
          </w:p>
        </w:tc>
        <w:tc>
          <w:tcPr>
            <w:tcW w:w="4660" w:type="dxa"/>
            <w:vAlign w:val="bottom"/>
            <w:gridSpan w:val="6"/>
            <w:shd w:val="clear" w:color="auto" w:fill="C6D9F1"/>
          </w:tcPr>
          <w:p>
            <w:pPr>
              <w:jc w:val="right"/>
              <w:ind w:right="80"/>
              <w:spacing w:after="0"/>
              <w:rPr>
                <w:sz w:val="20"/>
                <w:szCs w:val="20"/>
                <w:color w:val="auto"/>
              </w:rPr>
            </w:pPr>
            <w:r>
              <w:rPr>
                <w:rFonts w:ascii="Arial" w:cs="Arial" w:eastAsia="Arial" w:hAnsi="Arial"/>
                <w:sz w:val="16"/>
                <w:szCs w:val="16"/>
                <w:color w:val="auto"/>
              </w:rPr>
              <w:t>72,412</w:t>
            </w:r>
          </w:p>
        </w:tc>
        <w:tc>
          <w:tcPr>
            <w:tcW w:w="340" w:type="dxa"/>
            <w:vAlign w:val="bottom"/>
            <w:shd w:val="clear" w:color="auto" w:fill="C6D9F1"/>
          </w:tcPr>
          <w:p>
            <w:pPr>
              <w:spacing w:after="0"/>
              <w:rPr>
                <w:sz w:val="17"/>
                <w:szCs w:val="17"/>
                <w:color w:val="auto"/>
              </w:rPr>
            </w:pPr>
          </w:p>
        </w:tc>
        <w:tc>
          <w:tcPr>
            <w:tcW w:w="80" w:type="dxa"/>
            <w:vAlign w:val="bottom"/>
            <w:shd w:val="clear" w:color="auto" w:fill="C6D9F1"/>
          </w:tcPr>
          <w:p>
            <w:pPr>
              <w:spacing w:after="0"/>
              <w:rPr>
                <w:sz w:val="17"/>
                <w:szCs w:val="17"/>
                <w:color w:val="auto"/>
              </w:rPr>
            </w:pP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108,618</w:t>
            </w:r>
          </w:p>
        </w:tc>
        <w:tc>
          <w:tcPr>
            <w:tcW w:w="20" w:type="dxa"/>
            <w:vAlign w:val="bottom"/>
          </w:tcPr>
          <w:p>
            <w:pPr>
              <w:spacing w:after="0"/>
              <w:rPr>
                <w:sz w:val="17"/>
                <w:szCs w:val="17"/>
                <w:color w:val="auto"/>
              </w:rPr>
            </w:pPr>
          </w:p>
        </w:tc>
      </w:tr>
      <w:tr>
        <w:trPr>
          <w:trHeight w:val="346"/>
        </w:trPr>
        <w:tc>
          <w:tcPr>
            <w:tcW w:w="2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8"/>
          </w:tcPr>
          <w:p>
            <w:pPr>
              <w:ind w:left="1100"/>
              <w:spacing w:after="0"/>
              <w:rPr>
                <w:sz w:val="20"/>
                <w:szCs w:val="20"/>
                <w:color w:val="auto"/>
              </w:rPr>
            </w:pPr>
            <w:r>
              <w:rPr>
                <w:rFonts w:ascii="Arial" w:cs="Arial" w:eastAsia="Arial" w:hAnsi="Arial"/>
                <w:sz w:val="13"/>
                <w:szCs w:val="13"/>
                <w:b w:val="1"/>
                <w:bCs w:val="1"/>
                <w:color w:val="auto"/>
              </w:rPr>
              <w:t>Grant Date Fair Value of ROIC Awards</w:t>
            </w: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4"/>
          </w:tcPr>
          <w:p>
            <w:pPr>
              <w:jc w:val="center"/>
              <w:ind w:right="100"/>
              <w:spacing w:after="0" w:line="108" w:lineRule="exact"/>
              <w:rPr>
                <w:sz w:val="20"/>
                <w:szCs w:val="20"/>
                <w:color w:val="auto"/>
              </w:rPr>
            </w:pPr>
            <w:r>
              <w:rPr>
                <w:rFonts w:ascii="Arial" w:cs="Arial" w:eastAsia="Arial" w:hAnsi="Arial"/>
                <w:sz w:val="12"/>
                <w:szCs w:val="12"/>
                <w:b w:val="1"/>
                <w:bCs w:val="1"/>
                <w:color w:val="auto"/>
                <w:w w:val="99"/>
              </w:rPr>
              <w:t>Target Value</w:t>
            </w:r>
          </w:p>
        </w:tc>
        <w:tc>
          <w:tcPr>
            <w:tcW w:w="1360" w:type="dxa"/>
            <w:vAlign w:val="bottom"/>
          </w:tcPr>
          <w:p>
            <w:pPr>
              <w:jc w:val="right"/>
              <w:ind w:right="142"/>
              <w:spacing w:after="0" w:line="108" w:lineRule="exact"/>
              <w:rPr>
                <w:sz w:val="20"/>
                <w:szCs w:val="20"/>
                <w:color w:val="auto"/>
              </w:rPr>
            </w:pPr>
            <w:r>
              <w:rPr>
                <w:rFonts w:ascii="Arial" w:cs="Arial" w:eastAsia="Arial" w:hAnsi="Arial"/>
                <w:sz w:val="12"/>
                <w:szCs w:val="12"/>
                <w:b w:val="1"/>
                <w:bCs w:val="1"/>
                <w:color w:val="auto"/>
              </w:rPr>
              <w:t>Maximum Value</w:t>
            </w:r>
          </w:p>
        </w:tc>
        <w:tc>
          <w:tcPr>
            <w:tcW w:w="20" w:type="dxa"/>
            <w:vAlign w:val="bottom"/>
          </w:tcPr>
          <w:p>
            <w:pPr>
              <w:spacing w:after="0"/>
              <w:rPr>
                <w:sz w:val="9"/>
                <w:szCs w:val="9"/>
                <w:color w:val="auto"/>
              </w:rPr>
            </w:pPr>
          </w:p>
        </w:tc>
      </w:tr>
      <w:tr>
        <w:trPr>
          <w:trHeight w:val="156"/>
        </w:trPr>
        <w:tc>
          <w:tcPr>
            <w:tcW w:w="2000" w:type="dxa"/>
            <w:vAlign w:val="bottom"/>
            <w:gridSpan w:val="2"/>
          </w:tcPr>
          <w:p>
            <w:pPr>
              <w:spacing w:after="0"/>
              <w:rPr>
                <w:sz w:val="20"/>
                <w:szCs w:val="20"/>
                <w:color w:val="auto"/>
              </w:rPr>
            </w:pPr>
            <w:r>
              <w:rPr>
                <w:rFonts w:ascii="Arial" w:cs="Arial" w:eastAsia="Arial" w:hAnsi="Arial"/>
                <w:sz w:val="13"/>
                <w:szCs w:val="13"/>
                <w:color w:val="auto"/>
              </w:rPr>
              <w:t>Name</w:t>
            </w:r>
          </w:p>
        </w:tc>
        <w:tc>
          <w:tcPr>
            <w:tcW w:w="4580" w:type="dxa"/>
            <w:vAlign w:val="bottom"/>
            <w:gridSpan w:val="5"/>
          </w:tcPr>
          <w:p>
            <w:pPr>
              <w:jc w:val="right"/>
              <w:ind w:right="10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22"/>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Mr. Veltman</w:t>
            </w:r>
          </w:p>
        </w:tc>
        <w:tc>
          <w:tcPr>
            <w:tcW w:w="3580" w:type="dxa"/>
            <w:vAlign w:val="bottom"/>
            <w:tcBorders>
              <w:top w:val="single" w:sz="8" w:color="auto"/>
            </w:tcBorders>
            <w:gridSpan w:val="3"/>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101,861</w:t>
            </w:r>
          </w:p>
        </w:tc>
        <w:tc>
          <w:tcPr>
            <w:tcW w:w="80" w:type="dxa"/>
            <w:vAlign w:val="bottom"/>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152,791</w:t>
            </w:r>
          </w:p>
        </w:tc>
        <w:tc>
          <w:tcPr>
            <w:tcW w:w="2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Holder</w:t>
            </w:r>
          </w:p>
        </w:tc>
        <w:tc>
          <w:tcPr>
            <w:tcW w:w="5080" w:type="dxa"/>
            <w:vAlign w:val="bottom"/>
            <w:gridSpan w:val="8"/>
            <w:shd w:val="clear" w:color="auto" w:fill="C6D9F1"/>
          </w:tcPr>
          <w:p>
            <w:pPr>
              <w:jc w:val="right"/>
              <w:ind w:right="80"/>
              <w:spacing w:after="0"/>
              <w:rPr>
                <w:sz w:val="20"/>
                <w:szCs w:val="20"/>
                <w:color w:val="auto"/>
              </w:rPr>
            </w:pPr>
            <w:r>
              <w:rPr>
                <w:rFonts w:ascii="Arial" w:cs="Arial" w:eastAsia="Arial" w:hAnsi="Arial"/>
                <w:sz w:val="16"/>
                <w:szCs w:val="16"/>
                <w:color w:val="auto"/>
              </w:rPr>
              <w:t>809,994</w:t>
            </w: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1,214,991</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Mr. Heiter</w:t>
            </w:r>
          </w:p>
        </w:tc>
        <w:tc>
          <w:tcPr>
            <w:tcW w:w="5080" w:type="dxa"/>
            <w:vAlign w:val="bottom"/>
            <w:gridSpan w:val="8"/>
          </w:tcPr>
          <w:p>
            <w:pPr>
              <w:jc w:val="right"/>
              <w:ind w:right="80"/>
              <w:spacing w:after="0"/>
              <w:rPr>
                <w:sz w:val="20"/>
                <w:szCs w:val="20"/>
                <w:color w:val="auto"/>
              </w:rPr>
            </w:pPr>
            <w:r>
              <w:rPr>
                <w:rFonts w:ascii="Arial" w:cs="Arial" w:eastAsia="Arial" w:hAnsi="Arial"/>
                <w:sz w:val="16"/>
                <w:szCs w:val="16"/>
                <w:color w:val="auto"/>
              </w:rPr>
              <w:t>100,608</w:t>
            </w:r>
          </w:p>
        </w:tc>
        <w:tc>
          <w:tcPr>
            <w:tcW w:w="1360" w:type="dxa"/>
            <w:vAlign w:val="bottom"/>
          </w:tcPr>
          <w:p>
            <w:pPr>
              <w:jc w:val="right"/>
              <w:spacing w:after="0"/>
              <w:rPr>
                <w:sz w:val="20"/>
                <w:szCs w:val="20"/>
                <w:color w:val="auto"/>
              </w:rPr>
            </w:pPr>
            <w:r>
              <w:rPr>
                <w:rFonts w:ascii="Arial" w:cs="Arial" w:eastAsia="Arial" w:hAnsi="Arial"/>
                <w:sz w:val="16"/>
                <w:szCs w:val="16"/>
                <w:color w:val="auto"/>
              </w:rPr>
              <w:t>150,912</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Qualters</w:t>
            </w:r>
          </w:p>
        </w:tc>
        <w:tc>
          <w:tcPr>
            <w:tcW w:w="5080" w:type="dxa"/>
            <w:vAlign w:val="bottom"/>
            <w:gridSpan w:val="8"/>
            <w:shd w:val="clear" w:color="auto" w:fill="C6D9F1"/>
          </w:tcPr>
          <w:p>
            <w:pPr>
              <w:jc w:val="right"/>
              <w:ind w:right="80"/>
              <w:spacing w:after="0"/>
              <w:rPr>
                <w:sz w:val="20"/>
                <w:szCs w:val="20"/>
                <w:color w:val="auto"/>
              </w:rPr>
            </w:pPr>
            <w:r>
              <w:rPr>
                <w:rFonts w:ascii="Arial" w:cs="Arial" w:eastAsia="Arial" w:hAnsi="Arial"/>
                <w:sz w:val="16"/>
                <w:szCs w:val="16"/>
                <w:color w:val="auto"/>
              </w:rPr>
              <w:t>86,493</w:t>
            </w: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129,739</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6"/>
                <w:szCs w:val="16"/>
                <w:color w:val="auto"/>
              </w:rPr>
              <w:t>Mr. Buchan</w:t>
            </w:r>
          </w:p>
        </w:tc>
        <w:tc>
          <w:tcPr>
            <w:tcW w:w="5080" w:type="dxa"/>
            <w:vAlign w:val="bottom"/>
            <w:gridSpan w:val="8"/>
          </w:tcPr>
          <w:p>
            <w:pPr>
              <w:jc w:val="right"/>
              <w:ind w:right="80"/>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6D9F1"/>
          </w:tcPr>
          <w:p>
            <w:pPr>
              <w:spacing w:after="0"/>
              <w:rPr>
                <w:sz w:val="20"/>
                <w:szCs w:val="20"/>
                <w:color w:val="auto"/>
              </w:rPr>
            </w:pPr>
            <w:r>
              <w:rPr>
                <w:rFonts w:ascii="Arial" w:cs="Arial" w:eastAsia="Arial" w:hAnsi="Arial"/>
                <w:sz w:val="16"/>
                <w:szCs w:val="16"/>
                <w:color w:val="auto"/>
              </w:rPr>
              <w:t>Mr. Atkinson</w:t>
            </w:r>
          </w:p>
        </w:tc>
        <w:tc>
          <w:tcPr>
            <w:tcW w:w="5080" w:type="dxa"/>
            <w:vAlign w:val="bottom"/>
            <w:gridSpan w:val="8"/>
            <w:shd w:val="clear" w:color="auto" w:fill="C6D9F1"/>
          </w:tcPr>
          <w:p>
            <w:pPr>
              <w:jc w:val="right"/>
              <w:ind w:right="80"/>
              <w:spacing w:after="0"/>
              <w:rPr>
                <w:sz w:val="20"/>
                <w:szCs w:val="20"/>
                <w:color w:val="auto"/>
              </w:rPr>
            </w:pPr>
            <w:r>
              <w:rPr>
                <w:rFonts w:ascii="Arial" w:cs="Arial" w:eastAsia="Arial" w:hAnsi="Arial"/>
                <w:sz w:val="16"/>
                <w:szCs w:val="16"/>
                <w:color w:val="auto"/>
              </w:rPr>
              <w:t>79,332</w:t>
            </w:r>
          </w:p>
        </w:tc>
        <w:tc>
          <w:tcPr>
            <w:tcW w:w="13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118,998</w:t>
            </w:r>
          </w:p>
        </w:tc>
        <w:tc>
          <w:tcPr>
            <w:tcW w:w="20" w:type="dxa"/>
            <w:vAlign w:val="bottom"/>
          </w:tcPr>
          <w:p>
            <w:pPr>
              <w:spacing w:after="0"/>
              <w:rPr>
                <w:sz w:val="17"/>
                <w:szCs w:val="17"/>
                <w:color w:val="auto"/>
              </w:rPr>
            </w:pPr>
          </w:p>
        </w:tc>
      </w:tr>
    </w:tbl>
    <w:p>
      <w:pPr>
        <w:spacing w:after="0" w:line="185" w:lineRule="exact"/>
        <w:rPr>
          <w:sz w:val="20"/>
          <w:szCs w:val="20"/>
          <w:color w:val="auto"/>
        </w:rPr>
      </w:pPr>
    </w:p>
    <w:p>
      <w:pPr>
        <w:ind w:left="601" w:right="20" w:hanging="601"/>
        <w:spacing w:after="0" w:line="261" w:lineRule="auto"/>
        <w:tabs>
          <w:tab w:leader="none" w:pos="6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19 of the Notes to Consolidated Financial Statements included in our Annual Report on Form 10-K for the year ended December 31, 2019 filed with the SEC on March 16, 2020.</w:t>
      </w:r>
    </w:p>
    <w:p>
      <w:pPr>
        <w:spacing w:after="0" w:line="1" w:lineRule="exact"/>
        <w:rPr>
          <w:rFonts w:ascii="Arial" w:cs="Arial" w:eastAsia="Arial" w:hAnsi="Arial"/>
          <w:sz w:val="16"/>
          <w:szCs w:val="16"/>
          <w:color w:val="auto"/>
        </w:rPr>
      </w:pPr>
    </w:p>
    <w:p>
      <w:pPr>
        <w:ind w:left="601" w:right="600" w:hanging="601"/>
        <w:spacing w:after="0" w:line="257" w:lineRule="auto"/>
        <w:tabs>
          <w:tab w:leader="none" w:pos="6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Generally, non-equity incentive plan compensation is earned in one fiscal year and paid in the first quarter of the next year. No non-equity incentive plan compensation was earned during 2019.</w:t>
      </w:r>
    </w:p>
    <w:p>
      <w:pPr>
        <w:spacing w:after="0" w:line="1" w:lineRule="exact"/>
        <w:rPr>
          <w:rFonts w:ascii="Arial" w:cs="Arial" w:eastAsia="Arial" w:hAnsi="Arial"/>
          <w:sz w:val="16"/>
          <w:szCs w:val="16"/>
          <w:color w:val="auto"/>
        </w:rPr>
      </w:pPr>
    </w:p>
    <w:p>
      <w:pPr>
        <w:ind w:left="601" w:hanging="601"/>
        <w:spacing w:after="0"/>
        <w:tabs>
          <w:tab w:leader="none" w:pos="6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all other compensation, as summarized in the following table for 2019:</w:t>
      </w:r>
    </w:p>
    <w:p>
      <w:pPr>
        <w:spacing w:after="0" w:line="203"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6"/>
              </w:rPr>
              <w:t>Excess Group</w:t>
            </w: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36"/>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1"/>
              </w:rPr>
              <w:t>Supplemental</w:t>
            </w:r>
          </w:p>
        </w:tc>
        <w:tc>
          <w:tcPr>
            <w:tcW w:w="9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401(k)</w:t>
            </w:r>
          </w:p>
        </w:tc>
        <w:tc>
          <w:tcPr>
            <w:tcW w:w="9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Health</w:t>
            </w:r>
          </w:p>
        </w:tc>
        <w:tc>
          <w:tcPr>
            <w:tcW w:w="12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Term Life</w:t>
            </w: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6"/>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Automobile</w:t>
            </w:r>
          </w:p>
        </w:tc>
        <w:tc>
          <w:tcPr>
            <w:tcW w:w="12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Disability</w:t>
            </w:r>
          </w:p>
        </w:tc>
        <w:tc>
          <w:tcPr>
            <w:tcW w:w="9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Company</w:t>
            </w:r>
          </w:p>
        </w:tc>
        <w:tc>
          <w:tcPr>
            <w:tcW w:w="9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8"/>
              </w:rPr>
              <w:t>Savings</w:t>
            </w:r>
          </w:p>
        </w:tc>
        <w:tc>
          <w:tcPr>
            <w:tcW w:w="12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1"/>
              </w:rPr>
              <w:t>Insurance</w:t>
            </w:r>
          </w:p>
        </w:tc>
        <w:tc>
          <w:tcPr>
            <w:tcW w:w="10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Travel</w:t>
            </w:r>
          </w:p>
        </w:tc>
        <w:tc>
          <w:tcPr>
            <w:tcW w:w="1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56"/>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Allowance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1"/>
              </w:rPr>
              <w:t>Insurance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Match</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2"/>
              </w:rPr>
              <w:t>Account</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9"/>
              </w:rPr>
              <w:t>Premiums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2"/>
              </w:rPr>
              <w:t>Allowance</w:t>
            </w:r>
            <w:r>
              <w:rPr>
                <w:rFonts w:ascii="Arial" w:cs="Arial" w:eastAsia="Arial" w:hAnsi="Arial"/>
                <w:sz w:val="11"/>
                <w:szCs w:val="11"/>
                <w:b w:val="1"/>
                <w:bCs w:val="1"/>
                <w:color w:val="auto"/>
                <w:w w:val="92"/>
              </w:rPr>
              <w:t>(1)</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0"/>
              </w:rPr>
              <w:t>Moving Expenses</w:t>
            </w:r>
            <w:r>
              <w:rPr>
                <w:rFonts w:ascii="Arial" w:cs="Arial" w:eastAsia="Arial" w:hAnsi="Arial"/>
                <w:sz w:val="11"/>
                <w:szCs w:val="11"/>
                <w:b w:val="1"/>
                <w:bCs w:val="1"/>
                <w:color w:val="auto"/>
                <w:w w:val="90"/>
              </w:rPr>
              <w:t>(2)</w:t>
            </w:r>
          </w:p>
        </w:tc>
        <w:tc>
          <w:tcPr>
            <w:tcW w:w="880" w:type="dxa"/>
            <w:vAlign w:val="bottom"/>
          </w:tcPr>
          <w:p>
            <w:pPr>
              <w:ind w:left="160"/>
              <w:spacing w:after="0"/>
              <w:rPr>
                <w:sz w:val="20"/>
                <w:szCs w:val="20"/>
                <w:color w:val="auto"/>
              </w:rPr>
            </w:pPr>
            <w:r>
              <w:rPr>
                <w:rFonts w:ascii="Arial" w:cs="Arial" w:eastAsia="Arial" w:hAnsi="Arial"/>
                <w:sz w:val="13"/>
                <w:szCs w:val="13"/>
                <w:b w:val="1"/>
                <w:bCs w:val="1"/>
                <w:color w:val="auto"/>
              </w:rPr>
              <w:t>Severance</w:t>
            </w:r>
          </w:p>
        </w:tc>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Other</w:t>
            </w:r>
            <w:r>
              <w:rPr>
                <w:rFonts w:ascii="Arial" w:cs="Arial" w:eastAsia="Arial" w:hAnsi="Arial"/>
                <w:sz w:val="11"/>
                <w:szCs w:val="11"/>
                <w:b w:val="1"/>
                <w:bCs w:val="1"/>
                <w:color w:val="auto"/>
              </w:rPr>
              <w:t>(3)</w:t>
            </w:r>
          </w:p>
        </w:tc>
        <w:tc>
          <w:tcPr>
            <w:tcW w:w="620" w:type="dxa"/>
            <w:vAlign w:val="bottom"/>
          </w:tcPr>
          <w:p>
            <w:pPr>
              <w:ind w:left="160"/>
              <w:spacing w:after="0"/>
              <w:rPr>
                <w:sz w:val="20"/>
                <w:szCs w:val="20"/>
                <w:color w:val="auto"/>
              </w:rPr>
            </w:pPr>
            <w:r>
              <w:rPr>
                <w:rFonts w:ascii="Arial" w:cs="Arial" w:eastAsia="Arial" w:hAnsi="Arial"/>
                <w:sz w:val="13"/>
                <w:szCs w:val="13"/>
                <w:b w:val="1"/>
                <w:bCs w:val="1"/>
                <w:color w:val="auto"/>
              </w:rPr>
              <w:t>Total</w:t>
            </w:r>
          </w:p>
        </w:tc>
      </w:tr>
      <w:tr>
        <w:trPr>
          <w:trHeight w:val="161"/>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r>
      <w:tr>
        <w:trPr>
          <w:trHeight w:val="178"/>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Mr. Veltman</w:t>
            </w:r>
          </w:p>
        </w:tc>
        <w:tc>
          <w:tcPr>
            <w:tcW w:w="1120" w:type="dxa"/>
            <w:vAlign w:val="bottom"/>
          </w:tcPr>
          <w:p>
            <w:pPr>
              <w:jc w:val="center"/>
              <w:spacing w:after="0"/>
              <w:rPr>
                <w:sz w:val="20"/>
                <w:szCs w:val="20"/>
                <w:color w:val="auto"/>
              </w:rPr>
            </w:pPr>
            <w:r>
              <w:rPr>
                <w:rFonts w:ascii="Arial" w:cs="Arial" w:eastAsia="Arial" w:hAnsi="Arial"/>
                <w:sz w:val="13"/>
                <w:szCs w:val="13"/>
                <w:color w:val="auto"/>
                <w:w w:val="95"/>
              </w:rPr>
              <w:t>10,246</w:t>
            </w:r>
          </w:p>
        </w:tc>
        <w:tc>
          <w:tcPr>
            <w:tcW w:w="1220" w:type="dxa"/>
            <w:vAlign w:val="bottom"/>
          </w:tcPr>
          <w:p>
            <w:pPr>
              <w:jc w:val="center"/>
              <w:ind w:left="14"/>
              <w:spacing w:after="0"/>
              <w:rPr>
                <w:sz w:val="20"/>
                <w:szCs w:val="20"/>
                <w:color w:val="auto"/>
              </w:rPr>
            </w:pPr>
            <w:r>
              <w:rPr>
                <w:rFonts w:ascii="Arial" w:cs="Arial" w:eastAsia="Arial" w:hAnsi="Arial"/>
                <w:sz w:val="13"/>
                <w:szCs w:val="13"/>
                <w:color w:val="auto"/>
                <w:w w:val="92"/>
              </w:rPr>
              <w:t>4,444</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2,000</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1,500</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2,492</w:t>
            </w:r>
          </w:p>
        </w:tc>
        <w:tc>
          <w:tcPr>
            <w:tcW w:w="1080" w:type="dxa"/>
            <w:vAlign w:val="bottom"/>
          </w:tcPr>
          <w:p>
            <w:pPr>
              <w:jc w:val="center"/>
              <w:spacing w:after="0"/>
              <w:rPr>
                <w:sz w:val="20"/>
                <w:szCs w:val="20"/>
                <w:color w:val="auto"/>
              </w:rPr>
            </w:pPr>
            <w:r>
              <w:rPr>
                <w:rFonts w:ascii="Arial" w:cs="Arial" w:eastAsia="Arial" w:hAnsi="Arial"/>
                <w:sz w:val="13"/>
                <w:szCs w:val="13"/>
                <w:color w:val="auto"/>
                <w:w w:val="92"/>
              </w:rPr>
              <w:t>3,000</w:t>
            </w: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4,213</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85"/>
              </w:rPr>
              <w:t>2,817</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20,466</w:t>
            </w:r>
          </w:p>
        </w:tc>
      </w:tr>
      <w:tr>
        <w:trPr>
          <w:trHeight w:val="185"/>
        </w:trPr>
        <w:tc>
          <w:tcPr>
            <w:tcW w:w="1140" w:type="dxa"/>
            <w:vAlign w:val="bottom"/>
            <w:gridSpan w:val="2"/>
            <w:shd w:val="clear" w:color="auto" w:fill="C6D9F1"/>
          </w:tcPr>
          <w:p>
            <w:pPr>
              <w:ind w:left="20"/>
              <w:spacing w:after="0"/>
              <w:rPr>
                <w:sz w:val="20"/>
                <w:szCs w:val="20"/>
                <w:color w:val="auto"/>
              </w:rPr>
            </w:pPr>
            <w:r>
              <w:rPr>
                <w:rFonts w:ascii="Arial" w:cs="Arial" w:eastAsia="Arial" w:hAnsi="Arial"/>
                <w:sz w:val="13"/>
                <w:szCs w:val="13"/>
                <w:color w:val="auto"/>
              </w:rPr>
              <w:t>Mr. Holder</w:t>
            </w:r>
          </w:p>
        </w:tc>
        <w:tc>
          <w:tcPr>
            <w:tcW w:w="112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20" w:type="dxa"/>
            <w:vAlign w:val="bottom"/>
            <w:shd w:val="clear" w:color="auto" w:fill="C6D9F1"/>
          </w:tcPr>
          <w:p>
            <w:pPr>
              <w:jc w:val="center"/>
              <w:ind w:left="14"/>
              <w:spacing w:after="0"/>
              <w:rPr>
                <w:sz w:val="20"/>
                <w:szCs w:val="20"/>
                <w:color w:val="auto"/>
              </w:rPr>
            </w:pPr>
            <w:r>
              <w:rPr>
                <w:rFonts w:ascii="Arial" w:cs="Arial" w:eastAsia="Arial" w:hAnsi="Arial"/>
                <w:sz w:val="13"/>
                <w:szCs w:val="13"/>
                <w:color w:val="auto"/>
                <w:w w:val="92"/>
              </w:rPr>
              <w:t>3,067</w:t>
            </w:r>
          </w:p>
        </w:tc>
        <w:tc>
          <w:tcPr>
            <w:tcW w:w="94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5,575</w:t>
            </w:r>
          </w:p>
        </w:tc>
        <w:tc>
          <w:tcPr>
            <w:tcW w:w="90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1,754</w:t>
            </w:r>
          </w:p>
        </w:tc>
        <w:tc>
          <w:tcPr>
            <w:tcW w:w="108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44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89"/>
              </w:rPr>
              <w:t>733,136</w:t>
            </w:r>
          </w:p>
        </w:tc>
        <w:tc>
          <w:tcPr>
            <w:tcW w:w="7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89"/>
              </w:rPr>
              <w:t>753,777</w:t>
            </w:r>
          </w:p>
        </w:tc>
      </w:tr>
      <w:tr>
        <w:trPr>
          <w:trHeight w:val="18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Mr. DeByle</w:t>
            </w:r>
          </w:p>
        </w:tc>
        <w:tc>
          <w:tcPr>
            <w:tcW w:w="1120" w:type="dxa"/>
            <w:vAlign w:val="bottom"/>
          </w:tcPr>
          <w:p>
            <w:pPr>
              <w:jc w:val="center"/>
              <w:spacing w:after="0"/>
              <w:rPr>
                <w:sz w:val="20"/>
                <w:szCs w:val="20"/>
                <w:color w:val="auto"/>
              </w:rPr>
            </w:pPr>
            <w:r>
              <w:rPr>
                <w:rFonts w:ascii="Arial" w:cs="Arial" w:eastAsia="Arial" w:hAnsi="Arial"/>
                <w:sz w:val="13"/>
                <w:szCs w:val="13"/>
                <w:color w:val="auto"/>
              </w:rPr>
              <w:t>—</w:t>
            </w:r>
          </w:p>
        </w:tc>
        <w:tc>
          <w:tcPr>
            <w:tcW w:w="1220" w:type="dxa"/>
            <w:vAlign w:val="bottom"/>
          </w:tcPr>
          <w:p>
            <w:pPr>
              <w:jc w:val="center"/>
              <w:ind w:left="14"/>
              <w:spacing w:after="0"/>
              <w:rPr>
                <w:sz w:val="20"/>
                <w:szCs w:val="20"/>
                <w:color w:val="auto"/>
              </w:rPr>
            </w:pPr>
            <w:r>
              <w:rPr>
                <w:rFonts w:ascii="Arial" w:cs="Arial" w:eastAsia="Arial" w:hAnsi="Arial"/>
                <w:sz w:val="13"/>
                <w:szCs w:val="13"/>
                <w:color w:val="auto"/>
              </w:rPr>
              <w:t>—</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1,585</w:t>
            </w: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643</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440" w:type="dxa"/>
            <w:vAlign w:val="bottom"/>
          </w:tcPr>
          <w:p>
            <w:pPr>
              <w:jc w:val="center"/>
              <w:spacing w:after="0"/>
              <w:rPr>
                <w:sz w:val="20"/>
                <w:szCs w:val="20"/>
                <w:color w:val="auto"/>
              </w:rPr>
            </w:pPr>
            <w:r>
              <w:rPr>
                <w:rFonts w:ascii="Arial" w:cs="Arial" w:eastAsia="Arial" w:hAnsi="Arial"/>
                <w:sz w:val="13"/>
                <w:szCs w:val="13"/>
                <w:color w:val="auto"/>
                <w:w w:val="92"/>
              </w:rPr>
              <w:t>8,117</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10,345</w:t>
            </w:r>
          </w:p>
        </w:tc>
      </w:tr>
      <w:tr>
        <w:trPr>
          <w:trHeight w:val="185"/>
        </w:trPr>
        <w:tc>
          <w:tcPr>
            <w:tcW w:w="1140" w:type="dxa"/>
            <w:vAlign w:val="bottom"/>
            <w:gridSpan w:val="2"/>
            <w:shd w:val="clear" w:color="auto" w:fill="C6D9F1"/>
          </w:tcPr>
          <w:p>
            <w:pPr>
              <w:ind w:left="20"/>
              <w:spacing w:after="0"/>
              <w:rPr>
                <w:sz w:val="20"/>
                <w:szCs w:val="20"/>
                <w:color w:val="auto"/>
              </w:rPr>
            </w:pPr>
            <w:r>
              <w:rPr>
                <w:rFonts w:ascii="Arial" w:cs="Arial" w:eastAsia="Arial" w:hAnsi="Arial"/>
                <w:sz w:val="13"/>
                <w:szCs w:val="13"/>
                <w:color w:val="auto"/>
              </w:rPr>
              <w:t>Mr. Burwell</w:t>
            </w:r>
          </w:p>
        </w:tc>
        <w:tc>
          <w:tcPr>
            <w:tcW w:w="112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20" w:type="dxa"/>
            <w:vAlign w:val="bottom"/>
            <w:shd w:val="clear" w:color="auto" w:fill="C6D9F1"/>
          </w:tcPr>
          <w:p>
            <w:pPr>
              <w:jc w:val="center"/>
              <w:ind w:left="14"/>
              <w:spacing w:after="0"/>
              <w:rPr>
                <w:sz w:val="20"/>
                <w:szCs w:val="20"/>
                <w:color w:val="auto"/>
              </w:rPr>
            </w:pPr>
            <w:r>
              <w:rPr>
                <w:rFonts w:ascii="Arial" w:cs="Arial" w:eastAsia="Arial" w:hAnsi="Arial"/>
                <w:sz w:val="13"/>
                <w:szCs w:val="13"/>
                <w:color w:val="auto"/>
                <w:w w:val="92"/>
              </w:rPr>
              <w:t>2,281</w:t>
            </w:r>
          </w:p>
        </w:tc>
        <w:tc>
          <w:tcPr>
            <w:tcW w:w="94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4,228</w:t>
            </w:r>
          </w:p>
        </w:tc>
        <w:tc>
          <w:tcPr>
            <w:tcW w:w="90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691</w:t>
            </w:r>
          </w:p>
        </w:tc>
        <w:tc>
          <w:tcPr>
            <w:tcW w:w="108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44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89"/>
              </w:rPr>
              <w:t>188,155</w:t>
            </w:r>
          </w:p>
        </w:tc>
        <w:tc>
          <w:tcPr>
            <w:tcW w:w="7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89"/>
              </w:rPr>
              <w:t>195,355</w:t>
            </w:r>
          </w:p>
        </w:tc>
      </w:tr>
      <w:tr>
        <w:trPr>
          <w:trHeight w:val="18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Mr. Heiter</w:t>
            </w:r>
          </w:p>
        </w:tc>
        <w:tc>
          <w:tcPr>
            <w:tcW w:w="1120" w:type="dxa"/>
            <w:vAlign w:val="bottom"/>
          </w:tcPr>
          <w:p>
            <w:pPr>
              <w:jc w:val="center"/>
              <w:spacing w:after="0"/>
              <w:rPr>
                <w:sz w:val="20"/>
                <w:szCs w:val="20"/>
                <w:color w:val="auto"/>
              </w:rPr>
            </w:pPr>
            <w:r>
              <w:rPr>
                <w:rFonts w:ascii="Arial" w:cs="Arial" w:eastAsia="Arial" w:hAnsi="Arial"/>
                <w:sz w:val="13"/>
                <w:szCs w:val="13"/>
                <w:color w:val="auto"/>
              </w:rPr>
              <w:t>—</w:t>
            </w:r>
          </w:p>
        </w:tc>
        <w:tc>
          <w:tcPr>
            <w:tcW w:w="1220" w:type="dxa"/>
            <w:vAlign w:val="bottom"/>
          </w:tcPr>
          <w:p>
            <w:pPr>
              <w:jc w:val="center"/>
              <w:ind w:left="14"/>
              <w:spacing w:after="0"/>
              <w:rPr>
                <w:sz w:val="20"/>
                <w:szCs w:val="20"/>
                <w:color w:val="auto"/>
              </w:rPr>
            </w:pPr>
            <w:r>
              <w:rPr>
                <w:rFonts w:ascii="Arial" w:cs="Arial" w:eastAsia="Arial" w:hAnsi="Arial"/>
                <w:sz w:val="13"/>
                <w:szCs w:val="13"/>
                <w:color w:val="auto"/>
                <w:w w:val="92"/>
              </w:rPr>
              <w:t>5,514</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4,764</w:t>
            </w: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2,400</w:t>
            </w: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44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12,678</w:t>
            </w:r>
          </w:p>
        </w:tc>
      </w:tr>
      <w:tr>
        <w:trPr>
          <w:trHeight w:val="185"/>
        </w:trPr>
        <w:tc>
          <w:tcPr>
            <w:tcW w:w="1140" w:type="dxa"/>
            <w:vAlign w:val="bottom"/>
            <w:gridSpan w:val="2"/>
            <w:shd w:val="clear" w:color="auto" w:fill="C6D9F1"/>
          </w:tcPr>
          <w:p>
            <w:pPr>
              <w:ind w:left="20"/>
              <w:spacing w:after="0"/>
              <w:rPr>
                <w:sz w:val="20"/>
                <w:szCs w:val="20"/>
                <w:color w:val="auto"/>
              </w:rPr>
            </w:pPr>
            <w:r>
              <w:rPr>
                <w:rFonts w:ascii="Arial" w:cs="Arial" w:eastAsia="Arial" w:hAnsi="Arial"/>
                <w:sz w:val="13"/>
                <w:szCs w:val="13"/>
                <w:color w:val="auto"/>
              </w:rPr>
              <w:t>Mr. Qualters</w:t>
            </w:r>
          </w:p>
        </w:tc>
        <w:tc>
          <w:tcPr>
            <w:tcW w:w="112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20" w:type="dxa"/>
            <w:vAlign w:val="bottom"/>
            <w:shd w:val="clear" w:color="auto" w:fill="C6D9F1"/>
          </w:tcPr>
          <w:p>
            <w:pPr>
              <w:jc w:val="center"/>
              <w:ind w:left="14"/>
              <w:spacing w:after="0"/>
              <w:rPr>
                <w:sz w:val="20"/>
                <w:szCs w:val="20"/>
                <w:color w:val="auto"/>
              </w:rPr>
            </w:pPr>
            <w:r>
              <w:rPr>
                <w:rFonts w:ascii="Arial" w:cs="Arial" w:eastAsia="Arial" w:hAnsi="Arial"/>
                <w:sz w:val="13"/>
                <w:szCs w:val="13"/>
                <w:color w:val="auto"/>
                <w:w w:val="92"/>
              </w:rPr>
              <w:t>3,463</w:t>
            </w:r>
          </w:p>
        </w:tc>
        <w:tc>
          <w:tcPr>
            <w:tcW w:w="94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3,064</w:t>
            </w:r>
          </w:p>
        </w:tc>
        <w:tc>
          <w:tcPr>
            <w:tcW w:w="9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1,500</w:t>
            </w:r>
          </w:p>
        </w:tc>
        <w:tc>
          <w:tcPr>
            <w:tcW w:w="12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1,183</w:t>
            </w:r>
          </w:p>
        </w:tc>
        <w:tc>
          <w:tcPr>
            <w:tcW w:w="108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44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7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9,211</w:t>
            </w:r>
          </w:p>
        </w:tc>
      </w:tr>
      <w:tr>
        <w:trPr>
          <w:trHeight w:val="185"/>
        </w:trPr>
        <w:tc>
          <w:tcPr>
            <w:tcW w:w="1140" w:type="dxa"/>
            <w:vAlign w:val="bottom"/>
            <w:gridSpan w:val="2"/>
          </w:tcPr>
          <w:p>
            <w:pPr>
              <w:ind w:left="20"/>
              <w:spacing w:after="0"/>
              <w:rPr>
                <w:sz w:val="20"/>
                <w:szCs w:val="20"/>
                <w:color w:val="auto"/>
              </w:rPr>
            </w:pPr>
            <w:r>
              <w:rPr>
                <w:rFonts w:ascii="Arial" w:cs="Arial" w:eastAsia="Arial" w:hAnsi="Arial"/>
                <w:sz w:val="13"/>
                <w:szCs w:val="13"/>
                <w:color w:val="auto"/>
              </w:rPr>
              <w:t>Mr. Buchan</w:t>
            </w:r>
          </w:p>
        </w:tc>
        <w:tc>
          <w:tcPr>
            <w:tcW w:w="1120" w:type="dxa"/>
            <w:vAlign w:val="bottom"/>
          </w:tcPr>
          <w:p>
            <w:pPr>
              <w:jc w:val="center"/>
              <w:spacing w:after="0"/>
              <w:rPr>
                <w:sz w:val="20"/>
                <w:szCs w:val="20"/>
                <w:color w:val="auto"/>
              </w:rPr>
            </w:pPr>
            <w:r>
              <w:rPr>
                <w:rFonts w:ascii="Arial" w:cs="Arial" w:eastAsia="Arial" w:hAnsi="Arial"/>
                <w:sz w:val="13"/>
                <w:szCs w:val="13"/>
                <w:color w:val="auto"/>
                <w:w w:val="95"/>
              </w:rPr>
              <w:t>12,000</w:t>
            </w:r>
          </w:p>
        </w:tc>
        <w:tc>
          <w:tcPr>
            <w:tcW w:w="1220" w:type="dxa"/>
            <w:vAlign w:val="bottom"/>
          </w:tcPr>
          <w:p>
            <w:pPr>
              <w:jc w:val="center"/>
              <w:ind w:left="14"/>
              <w:spacing w:after="0"/>
              <w:rPr>
                <w:sz w:val="20"/>
                <w:szCs w:val="20"/>
                <w:color w:val="auto"/>
              </w:rPr>
            </w:pPr>
            <w:r>
              <w:rPr>
                <w:rFonts w:ascii="Arial" w:cs="Arial" w:eastAsia="Arial" w:hAnsi="Arial"/>
                <w:sz w:val="13"/>
                <w:szCs w:val="13"/>
                <w:color w:val="auto"/>
                <w:w w:val="92"/>
              </w:rPr>
              <w:t>4,444</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2,000</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1,500</w:t>
            </w:r>
          </w:p>
        </w:tc>
        <w:tc>
          <w:tcPr>
            <w:tcW w:w="1200" w:type="dxa"/>
            <w:vAlign w:val="bottom"/>
          </w:tcPr>
          <w:p>
            <w:pPr>
              <w:jc w:val="center"/>
              <w:spacing w:after="0"/>
              <w:rPr>
                <w:sz w:val="20"/>
                <w:szCs w:val="20"/>
                <w:color w:val="auto"/>
              </w:rPr>
            </w:pPr>
            <w:r>
              <w:rPr>
                <w:rFonts w:ascii="Arial" w:cs="Arial" w:eastAsia="Arial" w:hAnsi="Arial"/>
                <w:sz w:val="13"/>
                <w:szCs w:val="13"/>
                <w:color w:val="auto"/>
                <w:w w:val="92"/>
              </w:rPr>
              <w:t>2,448</w:t>
            </w:r>
          </w:p>
        </w:tc>
        <w:tc>
          <w:tcPr>
            <w:tcW w:w="1080" w:type="dxa"/>
            <w:vAlign w:val="bottom"/>
          </w:tcPr>
          <w:p>
            <w:pPr>
              <w:jc w:val="center"/>
              <w:spacing w:after="0"/>
              <w:rPr>
                <w:sz w:val="20"/>
                <w:szCs w:val="20"/>
                <w:color w:val="auto"/>
              </w:rPr>
            </w:pPr>
            <w:r>
              <w:rPr>
                <w:rFonts w:ascii="Arial" w:cs="Arial" w:eastAsia="Arial" w:hAnsi="Arial"/>
                <w:sz w:val="13"/>
                <w:szCs w:val="13"/>
                <w:color w:val="auto"/>
                <w:w w:val="92"/>
              </w:rPr>
              <w:t>3,000</w:t>
            </w:r>
          </w:p>
        </w:tc>
        <w:tc>
          <w:tcPr>
            <w:tcW w:w="144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7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tcPr>
          <w:p>
            <w:pPr>
              <w:jc w:val="center"/>
              <w:spacing w:after="0"/>
              <w:rPr>
                <w:sz w:val="20"/>
                <w:szCs w:val="20"/>
                <w:color w:val="auto"/>
              </w:rPr>
            </w:pPr>
            <w:r>
              <w:rPr>
                <w:rFonts w:ascii="Arial" w:cs="Arial" w:eastAsia="Arial" w:hAnsi="Arial"/>
                <w:sz w:val="13"/>
                <w:szCs w:val="13"/>
                <w:color w:val="auto"/>
                <w:w w:val="90"/>
              </w:rPr>
              <w:t>25,393</w:t>
            </w:r>
          </w:p>
        </w:tc>
      </w:tr>
      <w:tr>
        <w:trPr>
          <w:trHeight w:val="185"/>
        </w:trPr>
        <w:tc>
          <w:tcPr>
            <w:tcW w:w="1140" w:type="dxa"/>
            <w:vAlign w:val="bottom"/>
            <w:gridSpan w:val="2"/>
            <w:shd w:val="clear" w:color="auto" w:fill="C6D9F1"/>
          </w:tcPr>
          <w:p>
            <w:pPr>
              <w:ind w:left="20"/>
              <w:spacing w:after="0"/>
              <w:rPr>
                <w:sz w:val="20"/>
                <w:szCs w:val="20"/>
                <w:color w:val="auto"/>
              </w:rPr>
            </w:pPr>
            <w:r>
              <w:rPr>
                <w:rFonts w:ascii="Arial" w:cs="Arial" w:eastAsia="Arial" w:hAnsi="Arial"/>
                <w:sz w:val="13"/>
                <w:szCs w:val="13"/>
                <w:color w:val="auto"/>
              </w:rPr>
              <w:t>Mr. Atkinson</w:t>
            </w:r>
          </w:p>
        </w:tc>
        <w:tc>
          <w:tcPr>
            <w:tcW w:w="112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20" w:type="dxa"/>
            <w:vAlign w:val="bottom"/>
            <w:shd w:val="clear" w:color="auto" w:fill="C6D9F1"/>
          </w:tcPr>
          <w:p>
            <w:pPr>
              <w:jc w:val="center"/>
              <w:ind w:left="14"/>
              <w:spacing w:after="0"/>
              <w:rPr>
                <w:sz w:val="20"/>
                <w:szCs w:val="20"/>
                <w:color w:val="auto"/>
              </w:rPr>
            </w:pPr>
            <w:r>
              <w:rPr>
                <w:rFonts w:ascii="Arial" w:cs="Arial" w:eastAsia="Arial" w:hAnsi="Arial"/>
                <w:sz w:val="13"/>
                <w:szCs w:val="13"/>
                <w:color w:val="auto"/>
                <w:w w:val="92"/>
              </w:rPr>
              <w:t>1,823</w:t>
            </w:r>
          </w:p>
        </w:tc>
        <w:tc>
          <w:tcPr>
            <w:tcW w:w="94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5,503</w:t>
            </w:r>
          </w:p>
        </w:tc>
        <w:tc>
          <w:tcPr>
            <w:tcW w:w="90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2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2"/>
              </w:rPr>
              <w:t>449</w:t>
            </w:r>
          </w:p>
        </w:tc>
        <w:tc>
          <w:tcPr>
            <w:tcW w:w="108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1440" w:type="dxa"/>
            <w:vAlign w:val="bottom"/>
            <w:shd w:val="clear" w:color="auto" w:fill="C6D9F1"/>
          </w:tcPr>
          <w:p>
            <w:pPr>
              <w:jc w:val="center"/>
              <w:spacing w:after="0"/>
              <w:rPr>
                <w:sz w:val="20"/>
                <w:szCs w:val="20"/>
                <w:color w:val="auto"/>
              </w:rPr>
            </w:pPr>
            <w:r>
              <w:rPr>
                <w:rFonts w:ascii="Arial" w:cs="Arial" w:eastAsia="Arial" w:hAnsi="Arial"/>
                <w:sz w:val="13"/>
                <w:szCs w:val="13"/>
                <w:color w:val="auto"/>
              </w:rPr>
              <w:t>—</w:t>
            </w:r>
          </w:p>
        </w:tc>
        <w:tc>
          <w:tcPr>
            <w:tcW w:w="88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5"/>
              </w:rPr>
              <w:t>65,099</w:t>
            </w:r>
          </w:p>
        </w:tc>
        <w:tc>
          <w:tcPr>
            <w:tcW w:w="70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1"/>
              </w:rPr>
              <w:t>—</w:t>
            </w:r>
          </w:p>
        </w:tc>
        <w:tc>
          <w:tcPr>
            <w:tcW w:w="620" w:type="dxa"/>
            <w:vAlign w:val="bottom"/>
            <w:shd w:val="clear" w:color="auto" w:fill="C6D9F1"/>
          </w:tcPr>
          <w:p>
            <w:pPr>
              <w:jc w:val="center"/>
              <w:spacing w:after="0"/>
              <w:rPr>
                <w:sz w:val="20"/>
                <w:szCs w:val="20"/>
                <w:color w:val="auto"/>
              </w:rPr>
            </w:pPr>
            <w:r>
              <w:rPr>
                <w:rFonts w:ascii="Arial" w:cs="Arial" w:eastAsia="Arial" w:hAnsi="Arial"/>
                <w:sz w:val="13"/>
                <w:szCs w:val="13"/>
                <w:color w:val="auto"/>
                <w:w w:val="90"/>
              </w:rPr>
              <w:t>72,875</w:t>
            </w:r>
          </w:p>
        </w:tc>
      </w:tr>
    </w:tbl>
    <w:p>
      <w:pPr>
        <w:ind w:left="1"/>
        <w:spacing w:after="0"/>
        <w:rPr>
          <w:sz w:val="20"/>
          <w:szCs w:val="20"/>
          <w:color w:val="auto"/>
        </w:rPr>
      </w:pPr>
      <w:r>
        <w:rPr>
          <w:rFonts w:ascii="Arial" w:cs="Arial" w:eastAsia="Arial" w:hAnsi="Arial"/>
          <w:sz w:val="16"/>
          <w:szCs w:val="16"/>
          <w:color w:val="auto"/>
        </w:rPr>
        <w:t>_________________</w:t>
      </w:r>
    </w:p>
    <w:p>
      <w:pPr>
        <w:spacing w:after="0" w:line="100" w:lineRule="exact"/>
        <w:rPr>
          <w:sz w:val="20"/>
          <w:szCs w:val="20"/>
          <w:color w:val="auto"/>
        </w:rPr>
      </w:pPr>
    </w:p>
    <w:p>
      <w:pPr>
        <w:ind w:left="601" w:right="360" w:hanging="601"/>
        <w:spacing w:after="0" w:line="264" w:lineRule="auto"/>
        <w:tabs>
          <w:tab w:leader="none" w:pos="601" w:val="left"/>
        </w:tabs>
        <w:numPr>
          <w:ilvl w:val="0"/>
          <w:numId w:val="42"/>
        </w:numPr>
        <w:rPr>
          <w:rFonts w:ascii="Arial" w:cs="Arial" w:eastAsia="Arial" w:hAnsi="Arial"/>
          <w:sz w:val="16"/>
          <w:szCs w:val="16"/>
          <w:color w:val="auto"/>
        </w:rPr>
      </w:pPr>
      <w:r>
        <w:rPr>
          <w:rFonts w:ascii="Arial" w:cs="Arial" w:eastAsia="Arial" w:hAnsi="Arial"/>
          <w:sz w:val="16"/>
          <w:szCs w:val="16"/>
          <w:color w:val="auto"/>
        </w:rPr>
        <w:t>Mr. Veltman and Mr. Buchan were paid a travel award for electing to fly coach on several overseas trips rather than business class as permitted by Company policy.</w:t>
      </w:r>
    </w:p>
    <w:p>
      <w:pPr>
        <w:spacing w:after="0" w:line="1" w:lineRule="exact"/>
        <w:rPr>
          <w:rFonts w:ascii="Arial" w:cs="Arial" w:eastAsia="Arial" w:hAnsi="Arial"/>
          <w:sz w:val="16"/>
          <w:szCs w:val="16"/>
          <w:color w:val="auto"/>
        </w:rPr>
      </w:pPr>
    </w:p>
    <w:p>
      <w:pPr>
        <w:ind w:left="601" w:hanging="601"/>
        <w:spacing w:after="0"/>
        <w:tabs>
          <w:tab w:leader="none" w:pos="601"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in this column include reimbursement for certain moving expenses and related tax assistance.</w:t>
      </w:r>
    </w:p>
    <w:p>
      <w:pPr>
        <w:spacing w:after="0" w:line="13" w:lineRule="exact"/>
        <w:rPr>
          <w:rFonts w:ascii="Arial" w:cs="Arial" w:eastAsia="Arial" w:hAnsi="Arial"/>
          <w:sz w:val="16"/>
          <w:szCs w:val="16"/>
          <w:color w:val="auto"/>
        </w:rPr>
      </w:pPr>
    </w:p>
    <w:p>
      <w:pPr>
        <w:ind w:left="601" w:hanging="601"/>
        <w:spacing w:after="0"/>
        <w:tabs>
          <w:tab w:leader="none" w:pos="601"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December 2019, Mr. Veltman was paid a 25-year service award in the amount disclosed above.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49" w:right="339" w:bottom="1440" w:gutter="0" w:footer="0" w:header="0"/>
        </w:sectPr>
      </w:pPr>
    </w:p>
    <w:bookmarkStart w:id="39" w:name="page40"/>
    <w:bookmarkEnd w:id="39"/>
    <w:p>
      <w:pPr>
        <w:ind w:left="801"/>
        <w:spacing w:after="0"/>
        <w:rPr>
          <w:sz w:val="20"/>
          <w:szCs w:val="20"/>
          <w:color w:val="auto"/>
        </w:rPr>
      </w:pPr>
      <w:r>
        <w:rPr>
          <w:rFonts w:ascii="Arial" w:cs="Arial" w:eastAsia="Arial" w:hAnsi="Arial"/>
          <w:sz w:val="14"/>
          <w:szCs w:val="14"/>
          <w:color w:val="auto"/>
        </w:rPr>
        <w:t>The following table sets forth information with respect to plan-based awards granted during 2019 to the named executive officers.</w:t>
      </w:r>
    </w:p>
    <w:p>
      <w:pPr>
        <w:spacing w:after="0" w:line="131" w:lineRule="exact"/>
        <w:rPr>
          <w:sz w:val="20"/>
          <w:szCs w:val="20"/>
          <w:color w:val="auto"/>
        </w:rPr>
      </w:pPr>
    </w:p>
    <w:p>
      <w:pPr>
        <w:ind w:left="4241"/>
        <w:spacing w:after="0"/>
        <w:rPr>
          <w:sz w:val="20"/>
          <w:szCs w:val="20"/>
          <w:color w:val="auto"/>
        </w:rPr>
      </w:pPr>
      <w:r>
        <w:rPr>
          <w:rFonts w:ascii="Arial" w:cs="Arial" w:eastAsia="Arial" w:hAnsi="Arial"/>
          <w:sz w:val="16"/>
          <w:szCs w:val="16"/>
          <w:b w:val="1"/>
          <w:bCs w:val="1"/>
          <w:color w:val="auto"/>
        </w:rPr>
        <w:t>Grants of Plan-Based Awards For 2019</w:t>
      </w:r>
    </w:p>
    <w:p>
      <w:pPr>
        <w:sectPr>
          <w:pgSz w:w="11900" w:h="16838" w:orient="portrait"/>
          <w:cols w:equalWidth="0" w:num="1">
            <w:col w:w="11341"/>
          </w:cols>
          <w:pgMar w:left="319" w:top="34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50990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9905" cy="7620"/>
                    </a:xfrm>
                    <a:prstGeom prst="rect">
                      <a:avLst/>
                    </a:prstGeom>
                    <a:noFill/>
                  </pic:spPr>
                </pic:pic>
              </a:graphicData>
            </a:graphic>
          </wp:anchor>
        </w:drawing>
      </w:r>
    </w:p>
    <w:p>
      <w:pPr>
        <w:ind w:left="1"/>
        <w:spacing w:after="0"/>
        <w:rPr>
          <w:sz w:val="20"/>
          <w:szCs w:val="20"/>
          <w:color w:val="auto"/>
        </w:rPr>
      </w:pPr>
      <w:r>
        <w:rPr>
          <w:rFonts w:ascii="Arial" w:cs="Arial" w:eastAsia="Arial" w:hAnsi="Arial"/>
          <w:sz w:val="12"/>
          <w:szCs w:val="12"/>
          <w:color w:val="auto"/>
        </w:rPr>
        <w:t>Mr. Veltman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
        <w:spacing w:after="0"/>
        <w:rPr>
          <w:sz w:val="20"/>
          <w:szCs w:val="20"/>
          <w:color w:val="auto"/>
        </w:rPr>
      </w:pPr>
      <w:r>
        <w:rPr>
          <w:rFonts w:ascii="Arial" w:cs="Arial" w:eastAsia="Arial" w:hAnsi="Arial"/>
          <w:sz w:val="13"/>
          <w:szCs w:val="13"/>
          <w:color w:val="auto"/>
        </w:rPr>
        <w:t>Mr. Holder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
        <w:spacing w:after="0"/>
        <w:rPr>
          <w:sz w:val="20"/>
          <w:szCs w:val="20"/>
          <w:color w:val="auto"/>
        </w:rPr>
      </w:pPr>
      <w:r>
        <w:rPr>
          <w:rFonts w:ascii="Arial" w:cs="Arial" w:eastAsia="Arial" w:hAnsi="Arial"/>
          <w:sz w:val="13"/>
          <w:szCs w:val="13"/>
          <w:color w:val="auto"/>
        </w:rPr>
        <w:t>Mr. DeByle</w:t>
      </w:r>
    </w:p>
    <w:p>
      <w:pPr>
        <w:spacing w:after="0" w:line="394" w:lineRule="exact"/>
        <w:rPr>
          <w:sz w:val="20"/>
          <w:szCs w:val="20"/>
          <w:color w:val="auto"/>
        </w:rPr>
      </w:pPr>
    </w:p>
    <w:p>
      <w:pPr>
        <w:ind w:left="1"/>
        <w:spacing w:after="0"/>
        <w:rPr>
          <w:sz w:val="20"/>
          <w:szCs w:val="20"/>
          <w:color w:val="auto"/>
        </w:rPr>
      </w:pPr>
      <w:r>
        <w:rPr>
          <w:rFonts w:ascii="Arial" w:cs="Arial" w:eastAsia="Arial" w:hAnsi="Arial"/>
          <w:sz w:val="13"/>
          <w:szCs w:val="13"/>
          <w:color w:val="auto"/>
        </w:rPr>
        <w:t>Mr. Heiter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
        <w:spacing w:after="0"/>
        <w:rPr>
          <w:sz w:val="20"/>
          <w:szCs w:val="20"/>
          <w:color w:val="auto"/>
        </w:rPr>
      </w:pPr>
      <w:r>
        <w:rPr>
          <w:rFonts w:ascii="Arial" w:cs="Arial" w:eastAsia="Arial" w:hAnsi="Arial"/>
          <w:sz w:val="11"/>
          <w:szCs w:val="11"/>
          <w:color w:val="auto"/>
        </w:rPr>
        <w:t>Mr. Qualters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
        <w:spacing w:after="0"/>
        <w:rPr>
          <w:sz w:val="20"/>
          <w:szCs w:val="20"/>
          <w:color w:val="auto"/>
        </w:rPr>
      </w:pPr>
      <w:r>
        <w:rPr>
          <w:rFonts w:ascii="Arial" w:cs="Arial" w:eastAsia="Arial" w:hAnsi="Arial"/>
          <w:sz w:val="12"/>
          <w:szCs w:val="12"/>
          <w:color w:val="auto"/>
        </w:rPr>
        <w:t>Mr. Buchan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Type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Restricted Stock</w:t>
      </w:r>
    </w:p>
    <w:p>
      <w:pPr>
        <w:jc w:val="center"/>
        <w:spacing w:after="0" w:line="218" w:lineRule="auto"/>
        <w:rPr>
          <w:sz w:val="20"/>
          <w:szCs w:val="20"/>
          <w:color w:val="auto"/>
        </w:rPr>
      </w:pPr>
      <w:r>
        <w:rPr>
          <w:rFonts w:ascii="Arial" w:cs="Arial" w:eastAsia="Arial" w:hAnsi="Arial"/>
          <w:sz w:val="13"/>
          <w:szCs w:val="13"/>
          <w:color w:val="auto"/>
        </w:rPr>
        <w:t>Restricted Stock</w:t>
      </w:r>
    </w:p>
    <w:p>
      <w:pPr>
        <w:jc w:val="center"/>
        <w:spacing w:after="0" w:line="218" w:lineRule="auto"/>
        <w:rPr>
          <w:sz w:val="20"/>
          <w:szCs w:val="20"/>
          <w:color w:val="auto"/>
        </w:rPr>
      </w:pPr>
      <w:r>
        <w:rPr>
          <w:rFonts w:ascii="Arial" w:cs="Arial" w:eastAsia="Arial" w:hAnsi="Arial"/>
          <w:sz w:val="13"/>
          <w:szCs w:val="13"/>
          <w:color w:val="auto"/>
        </w:rPr>
        <w:t>TSR Award</w:t>
      </w:r>
    </w:p>
    <w:p>
      <w:pPr>
        <w:jc w:val="center"/>
        <w:spacing w:after="0" w:line="218" w:lineRule="auto"/>
        <w:rPr>
          <w:sz w:val="20"/>
          <w:szCs w:val="20"/>
          <w:color w:val="auto"/>
        </w:rPr>
      </w:pPr>
      <w:r>
        <w:rPr>
          <w:rFonts w:ascii="Arial" w:cs="Arial" w:eastAsia="Arial" w:hAnsi="Arial"/>
          <w:sz w:val="13"/>
          <w:szCs w:val="13"/>
          <w:color w:val="auto"/>
        </w:rPr>
        <w:t>ROIC Award</w:t>
      </w:r>
    </w:p>
    <w:p>
      <w:pPr>
        <w:jc w:val="center"/>
        <w:spacing w:after="0" w:line="236" w:lineRule="auto"/>
        <w:rPr>
          <w:sz w:val="20"/>
          <w:szCs w:val="20"/>
          <w:color w:val="auto"/>
        </w:rPr>
      </w:pPr>
      <w:r>
        <w:rPr>
          <w:rFonts w:ascii="Arial" w:cs="Arial" w:eastAsia="Arial" w:hAnsi="Arial"/>
          <w:sz w:val="12"/>
          <w:szCs w:val="12"/>
          <w:color w:val="auto"/>
        </w:rPr>
        <w:t>Non-Equity Incentive Plan</w:t>
      </w:r>
    </w:p>
    <w:p>
      <w:pPr>
        <w:jc w:val="center"/>
        <w:spacing w:after="0"/>
        <w:rPr>
          <w:sz w:val="20"/>
          <w:szCs w:val="20"/>
          <w:color w:val="auto"/>
        </w:rPr>
      </w:pPr>
      <w:r>
        <w:rPr>
          <w:rFonts w:ascii="Arial" w:cs="Arial" w:eastAsia="Arial" w:hAnsi="Arial"/>
          <w:sz w:val="13"/>
          <w:szCs w:val="13"/>
          <w:color w:val="auto"/>
        </w:rPr>
        <w:t>Award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Restricted Stock</w:t>
      </w:r>
    </w:p>
    <w:p>
      <w:pPr>
        <w:ind w:left="400"/>
        <w:spacing w:after="0" w:line="218" w:lineRule="auto"/>
        <w:rPr>
          <w:sz w:val="20"/>
          <w:szCs w:val="20"/>
          <w:color w:val="auto"/>
        </w:rPr>
      </w:pPr>
      <w:r>
        <w:rPr>
          <w:rFonts w:ascii="Arial" w:cs="Arial" w:eastAsia="Arial" w:hAnsi="Arial"/>
          <w:sz w:val="13"/>
          <w:szCs w:val="13"/>
          <w:color w:val="auto"/>
        </w:rPr>
        <w:t>TSR Award</w:t>
      </w:r>
    </w:p>
    <w:p>
      <w:pPr>
        <w:ind w:left="360"/>
        <w:spacing w:after="0" w:line="218" w:lineRule="auto"/>
        <w:rPr>
          <w:sz w:val="20"/>
          <w:szCs w:val="20"/>
          <w:color w:val="auto"/>
        </w:rPr>
      </w:pPr>
      <w:r>
        <w:rPr>
          <w:rFonts w:ascii="Arial" w:cs="Arial" w:eastAsia="Arial" w:hAnsi="Arial"/>
          <w:sz w:val="13"/>
          <w:szCs w:val="13"/>
          <w:color w:val="auto"/>
        </w:rPr>
        <w:t>ROIC Award</w:t>
      </w:r>
    </w:p>
    <w:p>
      <w:pPr>
        <w:spacing w:after="0" w:line="236" w:lineRule="auto"/>
        <w:rPr>
          <w:sz w:val="20"/>
          <w:szCs w:val="20"/>
          <w:color w:val="auto"/>
        </w:rPr>
      </w:pPr>
      <w:r>
        <w:rPr>
          <w:rFonts w:ascii="Arial" w:cs="Arial" w:eastAsia="Arial" w:hAnsi="Arial"/>
          <w:sz w:val="12"/>
          <w:szCs w:val="12"/>
          <w:color w:val="auto"/>
        </w:rPr>
        <w:t>Non-Equity Incentive Plan</w:t>
      </w:r>
    </w:p>
    <w:p>
      <w:pPr>
        <w:ind w:left="640"/>
        <w:spacing w:after="0"/>
        <w:rPr>
          <w:sz w:val="20"/>
          <w:szCs w:val="20"/>
          <w:color w:val="auto"/>
        </w:rPr>
      </w:pPr>
      <w:r>
        <w:rPr>
          <w:rFonts w:ascii="Arial" w:cs="Arial" w:eastAsia="Arial" w:hAnsi="Arial"/>
          <w:sz w:val="13"/>
          <w:szCs w:val="13"/>
          <w:color w:val="auto"/>
        </w:rPr>
        <w:t>Award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Restricted Stock</w:t>
      </w:r>
    </w:p>
    <w:p>
      <w:pPr>
        <w:spacing w:after="0" w:line="236" w:lineRule="auto"/>
        <w:rPr>
          <w:sz w:val="20"/>
          <w:szCs w:val="20"/>
          <w:color w:val="auto"/>
        </w:rPr>
      </w:pPr>
      <w:r>
        <w:rPr>
          <w:rFonts w:ascii="Arial" w:cs="Arial" w:eastAsia="Arial" w:hAnsi="Arial"/>
          <w:sz w:val="12"/>
          <w:szCs w:val="12"/>
          <w:color w:val="auto"/>
        </w:rPr>
        <w:t>Non-Equity Incentive Plan</w:t>
      </w:r>
    </w:p>
    <w:p>
      <w:pPr>
        <w:ind w:left="640"/>
        <w:spacing w:after="0"/>
        <w:rPr>
          <w:sz w:val="20"/>
          <w:szCs w:val="20"/>
          <w:color w:val="auto"/>
        </w:rPr>
      </w:pPr>
      <w:r>
        <w:rPr>
          <w:rFonts w:ascii="Arial" w:cs="Arial" w:eastAsia="Arial" w:hAnsi="Arial"/>
          <w:sz w:val="13"/>
          <w:szCs w:val="13"/>
          <w:color w:val="auto"/>
        </w:rPr>
        <w:t>Award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Restricted Stock</w:t>
      </w:r>
    </w:p>
    <w:p>
      <w:pPr>
        <w:ind w:left="400"/>
        <w:spacing w:after="0" w:line="218" w:lineRule="auto"/>
        <w:rPr>
          <w:sz w:val="20"/>
          <w:szCs w:val="20"/>
          <w:color w:val="auto"/>
        </w:rPr>
      </w:pPr>
      <w:r>
        <w:rPr>
          <w:rFonts w:ascii="Arial" w:cs="Arial" w:eastAsia="Arial" w:hAnsi="Arial"/>
          <w:sz w:val="13"/>
          <w:szCs w:val="13"/>
          <w:color w:val="auto"/>
        </w:rPr>
        <w:t>TSR Award</w:t>
      </w:r>
    </w:p>
    <w:p>
      <w:pPr>
        <w:ind w:left="360"/>
        <w:spacing w:after="0" w:line="218" w:lineRule="auto"/>
        <w:rPr>
          <w:sz w:val="20"/>
          <w:szCs w:val="20"/>
          <w:color w:val="auto"/>
        </w:rPr>
      </w:pPr>
      <w:r>
        <w:rPr>
          <w:rFonts w:ascii="Arial" w:cs="Arial" w:eastAsia="Arial" w:hAnsi="Arial"/>
          <w:sz w:val="13"/>
          <w:szCs w:val="13"/>
          <w:color w:val="auto"/>
        </w:rPr>
        <w:t>ROIC Award</w:t>
      </w:r>
    </w:p>
    <w:p>
      <w:pPr>
        <w:spacing w:after="0" w:line="236" w:lineRule="auto"/>
        <w:rPr>
          <w:sz w:val="20"/>
          <w:szCs w:val="20"/>
          <w:color w:val="auto"/>
        </w:rPr>
      </w:pPr>
      <w:r>
        <w:rPr>
          <w:rFonts w:ascii="Arial" w:cs="Arial" w:eastAsia="Arial" w:hAnsi="Arial"/>
          <w:sz w:val="12"/>
          <w:szCs w:val="12"/>
          <w:color w:val="auto"/>
        </w:rPr>
        <w:t>Non-Equity Incentive Plan</w:t>
      </w:r>
    </w:p>
    <w:p>
      <w:pPr>
        <w:ind w:left="640"/>
        <w:spacing w:after="0"/>
        <w:rPr>
          <w:sz w:val="20"/>
          <w:szCs w:val="20"/>
          <w:color w:val="auto"/>
        </w:rPr>
      </w:pPr>
      <w:r>
        <w:rPr>
          <w:rFonts w:ascii="Arial" w:cs="Arial" w:eastAsia="Arial" w:hAnsi="Arial"/>
          <w:sz w:val="13"/>
          <w:szCs w:val="13"/>
          <w:color w:val="auto"/>
        </w:rPr>
        <w:t>Award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Restricted Stock</w:t>
      </w:r>
    </w:p>
    <w:p>
      <w:pPr>
        <w:ind w:left="400"/>
        <w:spacing w:after="0" w:line="218" w:lineRule="auto"/>
        <w:rPr>
          <w:sz w:val="20"/>
          <w:szCs w:val="20"/>
          <w:color w:val="auto"/>
        </w:rPr>
      </w:pPr>
      <w:r>
        <w:rPr>
          <w:rFonts w:ascii="Arial" w:cs="Arial" w:eastAsia="Arial" w:hAnsi="Arial"/>
          <w:sz w:val="13"/>
          <w:szCs w:val="13"/>
          <w:color w:val="auto"/>
        </w:rPr>
        <w:t>TSR Award</w:t>
      </w:r>
    </w:p>
    <w:p>
      <w:pPr>
        <w:ind w:left="360"/>
        <w:spacing w:after="0" w:line="218" w:lineRule="auto"/>
        <w:rPr>
          <w:sz w:val="20"/>
          <w:szCs w:val="20"/>
          <w:color w:val="auto"/>
        </w:rPr>
      </w:pPr>
      <w:r>
        <w:rPr>
          <w:rFonts w:ascii="Arial" w:cs="Arial" w:eastAsia="Arial" w:hAnsi="Arial"/>
          <w:sz w:val="13"/>
          <w:szCs w:val="13"/>
          <w:color w:val="auto"/>
        </w:rPr>
        <w:t>ROIC Award</w:t>
      </w:r>
    </w:p>
    <w:p>
      <w:pPr>
        <w:spacing w:after="0" w:line="236" w:lineRule="auto"/>
        <w:rPr>
          <w:sz w:val="20"/>
          <w:szCs w:val="20"/>
          <w:color w:val="auto"/>
        </w:rPr>
      </w:pPr>
      <w:r>
        <w:rPr>
          <w:rFonts w:ascii="Arial" w:cs="Arial" w:eastAsia="Arial" w:hAnsi="Arial"/>
          <w:sz w:val="12"/>
          <w:szCs w:val="12"/>
          <w:color w:val="auto"/>
        </w:rPr>
        <w:t>Non-Equity Incentive Plan</w:t>
      </w:r>
    </w:p>
    <w:p>
      <w:pPr>
        <w:ind w:left="640"/>
        <w:spacing w:after="0"/>
        <w:rPr>
          <w:sz w:val="20"/>
          <w:szCs w:val="20"/>
          <w:color w:val="auto"/>
        </w:rPr>
      </w:pPr>
      <w:r>
        <w:rPr>
          <w:rFonts w:ascii="Arial" w:cs="Arial" w:eastAsia="Arial" w:hAnsi="Arial"/>
          <w:sz w:val="13"/>
          <w:szCs w:val="13"/>
          <w:color w:val="auto"/>
        </w:rPr>
        <w:t>Award</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Option</w:t>
      </w:r>
    </w:p>
    <w:p>
      <w:pPr>
        <w:ind w:left="280"/>
        <w:spacing w:after="0" w:line="218" w:lineRule="auto"/>
        <w:rPr>
          <w:sz w:val="20"/>
          <w:szCs w:val="20"/>
          <w:color w:val="auto"/>
        </w:rPr>
      </w:pPr>
      <w:r>
        <w:rPr>
          <w:rFonts w:ascii="Arial" w:cs="Arial" w:eastAsia="Arial" w:hAnsi="Arial"/>
          <w:sz w:val="13"/>
          <w:szCs w:val="13"/>
          <w:color w:val="auto"/>
        </w:rPr>
        <w:t>Restricted Stock</w:t>
      </w:r>
    </w:p>
    <w:p>
      <w:pPr>
        <w:spacing w:after="0" w:line="236" w:lineRule="auto"/>
        <w:rPr>
          <w:sz w:val="20"/>
          <w:szCs w:val="20"/>
          <w:color w:val="auto"/>
        </w:rPr>
      </w:pPr>
      <w:r>
        <w:rPr>
          <w:rFonts w:ascii="Arial" w:cs="Arial" w:eastAsia="Arial" w:hAnsi="Arial"/>
          <w:sz w:val="12"/>
          <w:szCs w:val="12"/>
          <w:color w:val="auto"/>
        </w:rPr>
        <w:t>Non-Equity Incentive Plan</w:t>
      </w:r>
    </w:p>
    <w:p>
      <w:pPr>
        <w:ind w:left="640"/>
        <w:spacing w:after="0" w:line="218" w:lineRule="auto"/>
        <w:rPr>
          <w:sz w:val="20"/>
          <w:szCs w:val="20"/>
          <w:color w:val="auto"/>
        </w:rPr>
      </w:pPr>
      <w:r>
        <w:rPr>
          <w:rFonts w:ascii="Arial" w:cs="Arial" w:eastAsia="Arial" w:hAnsi="Arial"/>
          <w:sz w:val="13"/>
          <w:szCs w:val="13"/>
          <w:color w:val="auto"/>
        </w:rPr>
        <w:t>Award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All</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7"/>
              </w:rPr>
              <w:t>Other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0"/>
              </w:rPr>
              <w:t>Stock</w:t>
            </w:r>
          </w:p>
        </w:tc>
        <w:tc>
          <w:tcPr>
            <w:tcW w:w="720" w:type="dxa"/>
            <w:vAlign w:val="bottom"/>
            <w:gridSpan w:val="2"/>
          </w:tcPr>
          <w:p>
            <w:pPr>
              <w:jc w:val="center"/>
              <w:ind w:right="60"/>
              <w:spacing w:after="0" w:line="136" w:lineRule="exact"/>
              <w:rPr>
                <w:sz w:val="20"/>
                <w:szCs w:val="20"/>
                <w:color w:val="auto"/>
              </w:rPr>
            </w:pPr>
            <w:r>
              <w:rPr>
                <w:rFonts w:ascii="Arial" w:cs="Arial" w:eastAsia="Arial" w:hAnsi="Arial"/>
                <w:sz w:val="13"/>
                <w:szCs w:val="13"/>
                <w:b w:val="1"/>
                <w:bCs w:val="1"/>
                <w:color w:val="auto"/>
                <w:w w:val="98"/>
              </w:rPr>
              <w:t>All Other</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Awards:</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5"/>
              </w:rPr>
              <w:t>Option</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Number</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Awards:</w:t>
            </w:r>
          </w:p>
        </w:tc>
        <w:tc>
          <w:tcPr>
            <w:tcW w:w="12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Exercise</w:t>
            </w: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1"/>
              </w:rPr>
              <w:t>of</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2"/>
              </w:rPr>
              <w:t>Number of</w:t>
            </w:r>
          </w:p>
        </w:tc>
        <w:tc>
          <w:tcPr>
            <w:tcW w:w="120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87"/>
              </w:rPr>
              <w:t>or Base</w:t>
            </w: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7"/>
              </w:rPr>
              <w:t>Shares</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0"/>
              </w:rPr>
              <w:t>Securities</w:t>
            </w:r>
          </w:p>
        </w:tc>
        <w:tc>
          <w:tcPr>
            <w:tcW w:w="12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2"/>
              </w:rPr>
              <w:t>Price of</w:t>
            </w: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gridSpan w:val="7"/>
          </w:tcPr>
          <w:p>
            <w:pPr>
              <w:jc w:val="center"/>
              <w:ind w:right="60"/>
              <w:spacing w:after="0" w:line="136" w:lineRule="exact"/>
              <w:rPr>
                <w:sz w:val="20"/>
                <w:szCs w:val="20"/>
                <w:color w:val="auto"/>
              </w:rPr>
            </w:pPr>
            <w:r>
              <w:rPr>
                <w:rFonts w:ascii="Arial" w:cs="Arial" w:eastAsia="Arial" w:hAnsi="Arial"/>
                <w:sz w:val="13"/>
                <w:szCs w:val="13"/>
                <w:b w:val="1"/>
                <w:bCs w:val="1"/>
                <w:color w:val="auto"/>
                <w:w w:val="91"/>
              </w:rPr>
              <w:t>Estimated Future payouts</w:t>
            </w:r>
          </w:p>
        </w:tc>
        <w:tc>
          <w:tcPr>
            <w:tcW w:w="560" w:type="dxa"/>
            <w:vAlign w:val="bottom"/>
          </w:tcPr>
          <w:p>
            <w:pPr>
              <w:spacing w:after="0"/>
              <w:rPr>
                <w:sz w:val="11"/>
                <w:szCs w:val="11"/>
                <w:color w:val="auto"/>
              </w:rPr>
            </w:pPr>
          </w:p>
        </w:tc>
        <w:tc>
          <w:tcPr>
            <w:tcW w:w="2080" w:type="dxa"/>
            <w:vAlign w:val="bottom"/>
            <w:gridSpan w:val="5"/>
          </w:tcPr>
          <w:p>
            <w:pPr>
              <w:jc w:val="center"/>
              <w:ind w:right="620"/>
              <w:spacing w:after="0" w:line="136" w:lineRule="exact"/>
              <w:rPr>
                <w:sz w:val="20"/>
                <w:szCs w:val="20"/>
                <w:color w:val="auto"/>
              </w:rPr>
            </w:pPr>
            <w:r>
              <w:rPr>
                <w:rFonts w:ascii="Arial" w:cs="Arial" w:eastAsia="Arial" w:hAnsi="Arial"/>
                <w:sz w:val="13"/>
                <w:szCs w:val="13"/>
                <w:b w:val="1"/>
                <w:bCs w:val="1"/>
                <w:color w:val="auto"/>
                <w:w w:val="91"/>
              </w:rPr>
              <w:t>Estimated Future Payouts</w:t>
            </w: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of Stock</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4"/>
              </w:rPr>
              <w:t>Underlying</w:t>
            </w:r>
          </w:p>
        </w:tc>
        <w:tc>
          <w:tcPr>
            <w:tcW w:w="12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5"/>
              </w:rPr>
              <w:t>Option</w:t>
            </w: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80" w:type="dxa"/>
            <w:vAlign w:val="bottom"/>
            <w:gridSpan w:val="7"/>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Under Non-Equity Incentive</w:t>
            </w:r>
          </w:p>
        </w:tc>
        <w:tc>
          <w:tcPr>
            <w:tcW w:w="2640" w:type="dxa"/>
            <w:vAlign w:val="bottom"/>
            <w:gridSpan w:val="6"/>
          </w:tcPr>
          <w:p>
            <w:pPr>
              <w:jc w:val="center"/>
              <w:ind w:right="60"/>
              <w:spacing w:after="0" w:line="136" w:lineRule="exact"/>
              <w:rPr>
                <w:sz w:val="20"/>
                <w:szCs w:val="20"/>
                <w:color w:val="auto"/>
              </w:rPr>
            </w:pPr>
            <w:r>
              <w:rPr>
                <w:rFonts w:ascii="Arial" w:cs="Arial" w:eastAsia="Arial" w:hAnsi="Arial"/>
                <w:sz w:val="13"/>
                <w:szCs w:val="13"/>
                <w:b w:val="1"/>
                <w:bCs w:val="1"/>
                <w:color w:val="auto"/>
                <w:w w:val="94"/>
              </w:rPr>
              <w:t>Under Equity Incentive Plan</w:t>
            </w: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or Units</w:t>
            </w:r>
          </w:p>
        </w:tc>
        <w:tc>
          <w:tcPr>
            <w:tcW w:w="7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Options</w:t>
            </w:r>
          </w:p>
        </w:tc>
        <w:tc>
          <w:tcPr>
            <w:tcW w:w="120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3"/>
              </w:rPr>
              <w:t>Awards</w:t>
            </w:r>
          </w:p>
        </w:tc>
      </w:tr>
      <w:tr>
        <w:trPr>
          <w:trHeight w:val="156"/>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3"/>
                <w:szCs w:val="13"/>
                <w:b w:val="1"/>
                <w:bCs w:val="1"/>
                <w:color w:val="auto"/>
                <w:w w:val="94"/>
              </w:rPr>
              <w:t>Plan Awards</w:t>
            </w:r>
            <w:r>
              <w:rPr>
                <w:rFonts w:ascii="Arial" w:cs="Arial" w:eastAsia="Arial" w:hAnsi="Arial"/>
                <w:sz w:val="9"/>
                <w:szCs w:val="9"/>
                <w:b w:val="1"/>
                <w:bCs w:val="1"/>
                <w:color w:val="auto"/>
                <w:w w:val="94"/>
              </w:rPr>
              <w:t>(1)</w:t>
            </w: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9"/>
                <w:szCs w:val="9"/>
                <w:b w:val="1"/>
                <w:bCs w:val="1"/>
                <w:color w:val="auto"/>
                <w:w w:val="93"/>
              </w:rPr>
              <w:t>(2)</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w:t>
            </w:r>
            <w:r>
              <w:rPr>
                <w:rFonts w:ascii="Arial" w:cs="Arial" w:eastAsia="Arial" w:hAnsi="Arial"/>
                <w:sz w:val="9"/>
                <w:szCs w:val="9"/>
                <w:b w:val="1"/>
                <w:bCs w:val="1"/>
                <w:color w:val="auto"/>
                <w:w w:val="96"/>
              </w:rPr>
              <w:t>(3)</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9"/>
                <w:szCs w:val="9"/>
                <w:b w:val="1"/>
                <w:bCs w:val="1"/>
                <w:color w:val="auto"/>
              </w:rPr>
              <w:t>(4)</w:t>
            </w:r>
          </w:p>
        </w:tc>
        <w:tc>
          <w:tcPr>
            <w:tcW w:w="8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r>
      <w:tr>
        <w:trPr>
          <w:trHeight w:val="108"/>
        </w:trPr>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w w:val="98"/>
              </w:rPr>
              <w:t>Thres-</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right="54"/>
              <w:spacing w:after="0" w:line="108" w:lineRule="exact"/>
              <w:rPr>
                <w:sz w:val="20"/>
                <w:szCs w:val="20"/>
                <w:color w:val="auto"/>
              </w:rPr>
            </w:pPr>
            <w:r>
              <w:rPr>
                <w:rFonts w:ascii="Arial" w:cs="Arial" w:eastAsia="Arial" w:hAnsi="Arial"/>
                <w:sz w:val="12"/>
                <w:szCs w:val="12"/>
                <w:b w:val="1"/>
                <w:bCs w:val="1"/>
                <w:color w:val="auto"/>
              </w:rPr>
              <w:t>Maxi-</w:t>
            </w:r>
          </w:p>
        </w:tc>
        <w:tc>
          <w:tcPr>
            <w:tcW w:w="6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9"/>
              </w:rPr>
              <w:t>Thresh-</w:t>
            </w: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Maxi-</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6"/>
        </w:trPr>
        <w:tc>
          <w:tcPr>
            <w:tcW w:w="40" w:type="dxa"/>
            <w:vAlign w:val="bottom"/>
          </w:tcPr>
          <w:p>
            <w:pPr>
              <w:spacing w:after="0"/>
              <w:rPr>
                <w:sz w:val="11"/>
                <w:szCs w:val="11"/>
                <w:color w:val="auto"/>
              </w:rPr>
            </w:pPr>
          </w:p>
        </w:tc>
        <w:tc>
          <w:tcPr>
            <w:tcW w:w="860" w:type="dxa"/>
            <w:vAlign w:val="bottom"/>
            <w:gridSpan w:val="2"/>
          </w:tcPr>
          <w:p>
            <w:pPr>
              <w:ind w:left="220"/>
              <w:spacing w:after="0" w:line="136" w:lineRule="exact"/>
              <w:rPr>
                <w:sz w:val="20"/>
                <w:szCs w:val="20"/>
                <w:color w:val="auto"/>
              </w:rPr>
            </w:pPr>
            <w:r>
              <w:rPr>
                <w:rFonts w:ascii="Arial" w:cs="Arial" w:eastAsia="Arial" w:hAnsi="Arial"/>
                <w:sz w:val="13"/>
                <w:szCs w:val="13"/>
                <w:b w:val="1"/>
                <w:bCs w:val="1"/>
                <w:color w:val="auto"/>
              </w:rPr>
              <w:t>Grant</w:t>
            </w:r>
          </w:p>
        </w:tc>
        <w:tc>
          <w:tcPr>
            <w:tcW w:w="40" w:type="dxa"/>
            <w:vAlign w:val="bottom"/>
          </w:tcPr>
          <w:p>
            <w:pPr>
              <w:spacing w:after="0"/>
              <w:rPr>
                <w:sz w:val="11"/>
                <w:szCs w:val="11"/>
                <w:color w:val="auto"/>
              </w:rPr>
            </w:pPr>
          </w:p>
        </w:tc>
        <w:tc>
          <w:tcPr>
            <w:tcW w:w="68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87"/>
              </w:rPr>
              <w:t>hold</w:t>
            </w:r>
          </w:p>
        </w:tc>
        <w:tc>
          <w:tcPr>
            <w:tcW w:w="920" w:type="dxa"/>
            <w:vAlign w:val="bottom"/>
            <w:gridSpan w:val="3"/>
          </w:tcPr>
          <w:p>
            <w:pPr>
              <w:ind w:left="180"/>
              <w:spacing w:after="0" w:line="136" w:lineRule="exact"/>
              <w:rPr>
                <w:sz w:val="20"/>
                <w:szCs w:val="20"/>
                <w:color w:val="auto"/>
              </w:rPr>
            </w:pPr>
            <w:r>
              <w:rPr>
                <w:rFonts w:ascii="Arial" w:cs="Arial" w:eastAsia="Arial" w:hAnsi="Arial"/>
                <w:sz w:val="13"/>
                <w:szCs w:val="13"/>
                <w:b w:val="1"/>
                <w:bCs w:val="1"/>
                <w:color w:val="auto"/>
              </w:rPr>
              <w:t>Target</w:t>
            </w:r>
          </w:p>
        </w:tc>
        <w:tc>
          <w:tcPr>
            <w:tcW w:w="68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6"/>
              </w:rPr>
              <w:t>mum</w:t>
            </w:r>
          </w:p>
        </w:tc>
        <w:tc>
          <w:tcPr>
            <w:tcW w:w="5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1"/>
              </w:rPr>
              <w:t>old</w:t>
            </w:r>
          </w:p>
        </w:tc>
        <w:tc>
          <w:tcPr>
            <w:tcW w:w="60" w:type="dxa"/>
            <w:vAlign w:val="bottom"/>
          </w:tcPr>
          <w:p>
            <w:pPr>
              <w:spacing w:after="0"/>
              <w:rPr>
                <w:sz w:val="11"/>
                <w:szCs w:val="11"/>
                <w:color w:val="auto"/>
              </w:rPr>
            </w:pPr>
          </w:p>
        </w:tc>
        <w:tc>
          <w:tcPr>
            <w:tcW w:w="9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0"/>
              </w:rPr>
              <w:t>Target</w:t>
            </w:r>
          </w:p>
        </w:tc>
        <w:tc>
          <w:tcPr>
            <w:tcW w:w="106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96"/>
              </w:rPr>
              <w:t>mum</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40" w:type="dxa"/>
            <w:vAlign w:val="bottom"/>
          </w:tcPr>
          <w:p>
            <w:pPr>
              <w:spacing w:after="0"/>
              <w:rPr>
                <w:sz w:val="13"/>
                <w:szCs w:val="13"/>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Date</w:t>
            </w:r>
          </w:p>
        </w:tc>
        <w:tc>
          <w:tcPr>
            <w:tcW w:w="80" w:type="dxa"/>
            <w:vAlign w:val="bottom"/>
          </w:tcPr>
          <w:p>
            <w:pPr>
              <w:spacing w:after="0"/>
              <w:rPr>
                <w:sz w:val="13"/>
                <w:szCs w:val="13"/>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48"/>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12,845</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6"/>
        </w:trPr>
        <w:tc>
          <w:tcPr>
            <w:tcW w:w="900" w:type="dxa"/>
            <w:vAlign w:val="bottom"/>
            <w:gridSpan w:val="3"/>
          </w:tcPr>
          <w:p>
            <w:pPr>
              <w:ind w:left="280"/>
              <w:spacing w:after="0" w:line="136" w:lineRule="exact"/>
              <w:rPr>
                <w:sz w:val="20"/>
                <w:szCs w:val="20"/>
                <w:color w:val="auto"/>
              </w:rPr>
            </w:pPr>
            <w:r>
              <w:rPr>
                <w:rFonts w:ascii="Arial" w:cs="Arial" w:eastAsia="Arial" w:hAnsi="Arial"/>
                <w:sz w:val="13"/>
                <w:szCs w:val="13"/>
                <w:color w:val="auto"/>
              </w:rPr>
              <w:t>9/20/2019</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28,130</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2"/>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46,493</w:t>
            </w: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92,986</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139,478</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6"/>
        </w:trPr>
        <w:tc>
          <w:tcPr>
            <w:tcW w:w="40" w:type="dxa"/>
            <w:vAlign w:val="bottom"/>
            <w:shd w:val="clear" w:color="auto" w:fill="C6D9F1"/>
          </w:tcPr>
          <w:p>
            <w:pPr>
              <w:spacing w:after="0"/>
              <w:rPr>
                <w:sz w:val="11"/>
                <w:szCs w:val="11"/>
                <w:color w:val="auto"/>
              </w:rPr>
            </w:pPr>
          </w:p>
        </w:tc>
        <w:tc>
          <w:tcPr>
            <w:tcW w:w="860" w:type="dxa"/>
            <w:vAlign w:val="bottom"/>
            <w:gridSpan w:val="2"/>
            <w:shd w:val="clear" w:color="auto" w:fill="C6D9F1"/>
          </w:tcPr>
          <w:p>
            <w:pPr>
              <w:ind w:left="240"/>
              <w:spacing w:after="0" w:line="136" w:lineRule="exact"/>
              <w:rPr>
                <w:sz w:val="20"/>
                <w:szCs w:val="20"/>
                <w:color w:val="auto"/>
              </w:rPr>
            </w:pPr>
            <w:r>
              <w:rPr>
                <w:rFonts w:ascii="Arial" w:cs="Arial" w:eastAsia="Arial" w:hAnsi="Arial"/>
                <w:sz w:val="13"/>
                <w:szCs w:val="13"/>
                <w:color w:val="auto"/>
              </w:rPr>
              <w:t>3/14/2019</w:t>
            </w:r>
          </w:p>
        </w:tc>
        <w:tc>
          <w:tcPr>
            <w:tcW w:w="40" w:type="dxa"/>
            <w:vAlign w:val="bottom"/>
            <w:shd w:val="clear" w:color="auto" w:fill="C6D9F1"/>
          </w:tcPr>
          <w:p>
            <w:pPr>
              <w:spacing w:after="0"/>
              <w:rPr>
                <w:sz w:val="11"/>
                <w:szCs w:val="11"/>
                <w:color w:val="auto"/>
              </w:rPr>
            </w:pPr>
          </w:p>
        </w:tc>
        <w:tc>
          <w:tcPr>
            <w:tcW w:w="680" w:type="dxa"/>
            <w:vAlign w:val="bottom"/>
            <w:gridSpan w:val="2"/>
            <w:shd w:val="clear" w:color="auto" w:fill="C6D9F1"/>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3"/>
            <w:shd w:val="clear" w:color="auto" w:fill="C6D9F1"/>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6D9F1"/>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560" w:type="dxa"/>
            <w:vAlign w:val="bottom"/>
            <w:shd w:val="clear" w:color="auto" w:fill="C6D9F1"/>
          </w:tcPr>
          <w:p>
            <w:pPr>
              <w:jc w:val="right"/>
              <w:spacing w:after="0" w:line="136" w:lineRule="exact"/>
              <w:rPr>
                <w:sz w:val="20"/>
                <w:szCs w:val="20"/>
                <w:color w:val="auto"/>
              </w:rPr>
            </w:pPr>
            <w:r>
              <w:rPr>
                <w:rFonts w:ascii="Arial" w:cs="Arial" w:eastAsia="Arial" w:hAnsi="Arial"/>
                <w:sz w:val="13"/>
                <w:szCs w:val="13"/>
                <w:color w:val="auto"/>
              </w:rPr>
              <w:t>35,651</w:t>
            </w:r>
          </w:p>
        </w:tc>
        <w:tc>
          <w:tcPr>
            <w:tcW w:w="1020" w:type="dxa"/>
            <w:vAlign w:val="bottom"/>
            <w:gridSpan w:val="3"/>
            <w:shd w:val="clear" w:color="auto" w:fill="C6D9F1"/>
          </w:tcPr>
          <w:p>
            <w:pPr>
              <w:jc w:val="right"/>
              <w:ind w:right="80"/>
              <w:spacing w:after="0" w:line="136" w:lineRule="exact"/>
              <w:rPr>
                <w:sz w:val="20"/>
                <w:szCs w:val="20"/>
                <w:color w:val="auto"/>
              </w:rPr>
            </w:pPr>
            <w:r>
              <w:rPr>
                <w:rFonts w:ascii="Arial" w:cs="Arial" w:eastAsia="Arial" w:hAnsi="Arial"/>
                <w:sz w:val="13"/>
                <w:szCs w:val="13"/>
                <w:color w:val="auto"/>
              </w:rPr>
              <w:t>101,861</w:t>
            </w:r>
          </w:p>
        </w:tc>
        <w:tc>
          <w:tcPr>
            <w:tcW w:w="1060" w:type="dxa"/>
            <w:vAlign w:val="bottom"/>
            <w:gridSpan w:val="2"/>
            <w:shd w:val="clear" w:color="auto" w:fill="C6D9F1"/>
          </w:tcPr>
          <w:p>
            <w:pPr>
              <w:jc w:val="right"/>
              <w:ind w:right="80"/>
              <w:spacing w:after="0" w:line="136" w:lineRule="exact"/>
              <w:rPr>
                <w:sz w:val="20"/>
                <w:szCs w:val="20"/>
                <w:color w:val="auto"/>
              </w:rPr>
            </w:pPr>
            <w:r>
              <w:rPr>
                <w:rFonts w:ascii="Arial" w:cs="Arial" w:eastAsia="Arial" w:hAnsi="Arial"/>
                <w:sz w:val="13"/>
                <w:szCs w:val="13"/>
                <w:color w:val="auto"/>
              </w:rPr>
              <w:t>152,791</w:t>
            </w:r>
          </w:p>
        </w:tc>
        <w:tc>
          <w:tcPr>
            <w:tcW w:w="1060" w:type="dxa"/>
            <w:vAlign w:val="bottom"/>
            <w:gridSpan w:val="2"/>
            <w:shd w:val="clear" w:color="auto" w:fill="C6D9F1"/>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6D9F1"/>
          </w:tcPr>
          <w:p>
            <w:pPr>
              <w:spacing w:after="0"/>
              <w:rPr>
                <w:sz w:val="11"/>
                <w:szCs w:val="11"/>
                <w:color w:val="auto"/>
              </w:rPr>
            </w:pPr>
          </w:p>
        </w:tc>
        <w:tc>
          <w:tcPr>
            <w:tcW w:w="80" w:type="dxa"/>
            <w:vAlign w:val="bottom"/>
            <w:shd w:val="clear" w:color="auto" w:fill="C6D9F1"/>
          </w:tcPr>
          <w:p>
            <w:pPr>
              <w:spacing w:after="0"/>
              <w:rPr>
                <w:sz w:val="11"/>
                <w:szCs w:val="11"/>
                <w:color w:val="auto"/>
              </w:rPr>
            </w:pPr>
          </w:p>
        </w:tc>
        <w:tc>
          <w:tcPr>
            <w:tcW w:w="1120" w:type="dxa"/>
            <w:vAlign w:val="bottom"/>
            <w:shd w:val="clear" w:color="auto" w:fill="C6D9F1"/>
          </w:tcPr>
          <w:p>
            <w:pPr>
              <w:spacing w:after="0"/>
              <w:rPr>
                <w:sz w:val="11"/>
                <w:szCs w:val="11"/>
                <w:color w:val="auto"/>
              </w:rPr>
            </w:pPr>
          </w:p>
        </w:tc>
        <w:tc>
          <w:tcPr>
            <w:tcW w:w="80" w:type="dxa"/>
            <w:vAlign w:val="bottom"/>
            <w:shd w:val="clear" w:color="auto" w:fill="C6D9F1"/>
          </w:tcPr>
          <w:p>
            <w:pPr>
              <w:spacing w:after="0"/>
              <w:rPr>
                <w:sz w:val="11"/>
                <w:szCs w:val="11"/>
                <w:color w:val="auto"/>
              </w:rPr>
            </w:pPr>
          </w:p>
        </w:tc>
      </w:tr>
      <w:tr>
        <w:trPr>
          <w:trHeight w:val="272"/>
        </w:trPr>
        <w:tc>
          <w:tcPr>
            <w:tcW w:w="40" w:type="dxa"/>
            <w:vAlign w:val="bottom"/>
            <w:shd w:val="clear" w:color="auto" w:fill="C6D9F1"/>
          </w:tcPr>
          <w:p>
            <w:pPr>
              <w:spacing w:after="0"/>
              <w:rPr>
                <w:sz w:val="23"/>
                <w:szCs w:val="23"/>
                <w:color w:val="auto"/>
              </w:rPr>
            </w:pPr>
          </w:p>
        </w:tc>
        <w:tc>
          <w:tcPr>
            <w:tcW w:w="780" w:type="dxa"/>
            <w:vAlign w:val="bottom"/>
            <w:shd w:val="clear" w:color="auto" w:fill="C6D9F1"/>
          </w:tcPr>
          <w:p>
            <w:pPr>
              <w:spacing w:after="0"/>
              <w:rPr>
                <w:sz w:val="23"/>
                <w:szCs w:val="23"/>
                <w:color w:val="auto"/>
              </w:rPr>
            </w:pPr>
          </w:p>
        </w:tc>
        <w:tc>
          <w:tcPr>
            <w:tcW w:w="80" w:type="dxa"/>
            <w:vAlign w:val="bottom"/>
            <w:shd w:val="clear" w:color="auto" w:fill="C6D9F1"/>
          </w:tcPr>
          <w:p>
            <w:pPr>
              <w:spacing w:after="0"/>
              <w:rPr>
                <w:sz w:val="23"/>
                <w:szCs w:val="23"/>
                <w:color w:val="auto"/>
              </w:rPr>
            </w:pPr>
          </w:p>
        </w:tc>
        <w:tc>
          <w:tcPr>
            <w:tcW w:w="720" w:type="dxa"/>
            <w:vAlign w:val="bottom"/>
            <w:gridSpan w:val="3"/>
            <w:shd w:val="clear" w:color="auto" w:fill="C6D9F1"/>
          </w:tcPr>
          <w:p>
            <w:pPr>
              <w:jc w:val="right"/>
              <w:ind w:right="120"/>
              <w:spacing w:after="0"/>
              <w:rPr>
                <w:sz w:val="20"/>
                <w:szCs w:val="20"/>
                <w:color w:val="auto"/>
              </w:rPr>
            </w:pPr>
            <w:r>
              <w:rPr>
                <w:rFonts w:ascii="Arial" w:cs="Arial" w:eastAsia="Arial" w:hAnsi="Arial"/>
                <w:sz w:val="13"/>
                <w:szCs w:val="13"/>
                <w:color w:val="auto"/>
              </w:rPr>
              <w:t>270,000</w:t>
            </w:r>
          </w:p>
        </w:tc>
        <w:tc>
          <w:tcPr>
            <w:tcW w:w="80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540,000</w:t>
            </w:r>
          </w:p>
        </w:tc>
        <w:tc>
          <w:tcPr>
            <w:tcW w:w="120" w:type="dxa"/>
            <w:vAlign w:val="bottom"/>
            <w:shd w:val="clear" w:color="auto" w:fill="C6D9F1"/>
          </w:tcPr>
          <w:p>
            <w:pPr>
              <w:spacing w:after="0"/>
              <w:rPr>
                <w:sz w:val="23"/>
                <w:szCs w:val="23"/>
                <w:color w:val="auto"/>
              </w:rPr>
            </w:pPr>
          </w:p>
        </w:tc>
        <w:tc>
          <w:tcPr>
            <w:tcW w:w="68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810,000</w:t>
            </w:r>
          </w:p>
        </w:tc>
        <w:tc>
          <w:tcPr>
            <w:tcW w:w="560" w:type="dxa"/>
            <w:vAlign w:val="bottom"/>
            <w:shd w:val="clear" w:color="auto" w:fill="C6D9F1"/>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6D9F1"/>
          </w:tcPr>
          <w:p>
            <w:pPr>
              <w:spacing w:after="0"/>
              <w:rPr>
                <w:sz w:val="23"/>
                <w:szCs w:val="23"/>
                <w:color w:val="auto"/>
              </w:rPr>
            </w:pPr>
          </w:p>
        </w:tc>
        <w:tc>
          <w:tcPr>
            <w:tcW w:w="9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r>
      <w:tr>
        <w:trPr>
          <w:trHeight w:val="256"/>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102,143</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6"/>
        </w:trPr>
        <w:tc>
          <w:tcPr>
            <w:tcW w:w="900" w:type="dxa"/>
            <w:vAlign w:val="bottom"/>
            <w:gridSpan w:val="3"/>
          </w:tcPr>
          <w:p>
            <w:pPr>
              <w:ind w:left="280"/>
              <w:spacing w:after="0" w:line="136" w:lineRule="exact"/>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1"/>
                <w:szCs w:val="11"/>
                <w:color w:val="auto"/>
              </w:rPr>
            </w:pP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369,692</w:t>
            </w:r>
          </w:p>
        </w:tc>
        <w:tc>
          <w:tcPr>
            <w:tcW w:w="10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739,384</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1,109,076</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r>
      <w:tr>
        <w:trPr>
          <w:trHeight w:val="165"/>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283,498</w:t>
            </w: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809,994</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1,214,991</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72"/>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486,000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972,000</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1,458,000</w:t>
            </w:r>
          </w:p>
        </w:tc>
        <w:tc>
          <w:tcPr>
            <w:tcW w:w="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72"/>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10/7/2019</w:t>
            </w:r>
          </w:p>
        </w:tc>
        <w:tc>
          <w:tcPr>
            <w:tcW w:w="4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30,303</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72"/>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180,250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360,500</w:t>
            </w: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540,750</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42"/>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12,687</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6"/>
        </w:trPr>
        <w:tc>
          <w:tcPr>
            <w:tcW w:w="900" w:type="dxa"/>
            <w:vAlign w:val="bottom"/>
            <w:gridSpan w:val="3"/>
          </w:tcPr>
          <w:p>
            <w:pPr>
              <w:ind w:left="280"/>
              <w:spacing w:after="0" w:line="136" w:lineRule="exact"/>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1"/>
                <w:szCs w:val="11"/>
                <w:color w:val="auto"/>
              </w:rPr>
            </w:pP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45,917</w:t>
            </w:r>
          </w:p>
        </w:tc>
        <w:tc>
          <w:tcPr>
            <w:tcW w:w="10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91,835</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137,752</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r>
      <w:tr>
        <w:trPr>
          <w:trHeight w:val="165"/>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35,213</w:t>
            </w: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100,608</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150,912</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72"/>
        </w:trPr>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92,326</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184,652</w:t>
            </w:r>
          </w:p>
        </w:tc>
        <w:tc>
          <w:tcPr>
            <w:tcW w:w="12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276,978</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42"/>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10,907</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36"/>
        </w:trPr>
        <w:tc>
          <w:tcPr>
            <w:tcW w:w="900" w:type="dxa"/>
            <w:vAlign w:val="bottom"/>
            <w:gridSpan w:val="3"/>
          </w:tcPr>
          <w:p>
            <w:pPr>
              <w:ind w:left="280"/>
              <w:spacing w:after="0" w:line="136" w:lineRule="exact"/>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1"/>
                <w:szCs w:val="11"/>
                <w:color w:val="auto"/>
              </w:rPr>
            </w:pPr>
          </w:p>
        </w:tc>
        <w:tc>
          <w:tcPr>
            <w:tcW w:w="68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3"/>
                <w:szCs w:val="13"/>
                <w:color w:val="auto"/>
              </w:rPr>
              <w:t>39,477</w:t>
            </w:r>
          </w:p>
        </w:tc>
        <w:tc>
          <w:tcPr>
            <w:tcW w:w="102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78,954</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118,431</w:t>
            </w: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r>
      <w:tr>
        <w:trPr>
          <w:trHeight w:val="152"/>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30,272</w:t>
            </w: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86,493</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129,739</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2"/>
        </w:trPr>
        <w:tc>
          <w:tcPr>
            <w:tcW w:w="40" w:type="dxa"/>
            <w:vAlign w:val="bottom"/>
            <w:shd w:val="clear" w:color="auto" w:fill="C6D9F1"/>
          </w:tcPr>
          <w:p>
            <w:pPr>
              <w:spacing w:after="0"/>
              <w:rPr>
                <w:sz w:val="23"/>
                <w:szCs w:val="23"/>
                <w:color w:val="auto"/>
              </w:rPr>
            </w:pPr>
          </w:p>
        </w:tc>
        <w:tc>
          <w:tcPr>
            <w:tcW w:w="780" w:type="dxa"/>
            <w:vAlign w:val="bottom"/>
            <w:shd w:val="clear" w:color="auto" w:fill="C6D9F1"/>
          </w:tcPr>
          <w:p>
            <w:pPr>
              <w:spacing w:after="0"/>
              <w:rPr>
                <w:sz w:val="23"/>
                <w:szCs w:val="23"/>
                <w:color w:val="auto"/>
              </w:rPr>
            </w:pPr>
          </w:p>
        </w:tc>
        <w:tc>
          <w:tcPr>
            <w:tcW w:w="80" w:type="dxa"/>
            <w:vAlign w:val="bottom"/>
            <w:shd w:val="clear" w:color="auto" w:fill="C6D9F1"/>
          </w:tcPr>
          <w:p>
            <w:pPr>
              <w:spacing w:after="0"/>
              <w:rPr>
                <w:sz w:val="23"/>
                <w:szCs w:val="23"/>
                <w:color w:val="auto"/>
              </w:rPr>
            </w:pPr>
          </w:p>
        </w:tc>
        <w:tc>
          <w:tcPr>
            <w:tcW w:w="720" w:type="dxa"/>
            <w:vAlign w:val="bottom"/>
            <w:gridSpan w:val="3"/>
            <w:shd w:val="clear" w:color="auto" w:fill="C6D9F1"/>
          </w:tcPr>
          <w:p>
            <w:pPr>
              <w:jc w:val="right"/>
              <w:ind w:right="120"/>
              <w:spacing w:after="0"/>
              <w:rPr>
                <w:sz w:val="20"/>
                <w:szCs w:val="20"/>
                <w:color w:val="auto"/>
              </w:rPr>
            </w:pPr>
            <w:r>
              <w:rPr>
                <w:rFonts w:ascii="Arial" w:cs="Arial" w:eastAsia="Arial" w:hAnsi="Arial"/>
                <w:sz w:val="13"/>
                <w:szCs w:val="13"/>
                <w:color w:val="auto"/>
              </w:rPr>
              <w:t>78,612</w:t>
            </w:r>
          </w:p>
        </w:tc>
        <w:tc>
          <w:tcPr>
            <w:tcW w:w="80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157,225</w:t>
            </w:r>
          </w:p>
        </w:tc>
        <w:tc>
          <w:tcPr>
            <w:tcW w:w="120" w:type="dxa"/>
            <w:vAlign w:val="bottom"/>
            <w:shd w:val="clear" w:color="auto" w:fill="C6D9F1"/>
          </w:tcPr>
          <w:p>
            <w:pPr>
              <w:spacing w:after="0"/>
              <w:rPr>
                <w:sz w:val="23"/>
                <w:szCs w:val="23"/>
                <w:color w:val="auto"/>
              </w:rPr>
            </w:pPr>
          </w:p>
        </w:tc>
        <w:tc>
          <w:tcPr>
            <w:tcW w:w="68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235,837</w:t>
            </w:r>
          </w:p>
        </w:tc>
        <w:tc>
          <w:tcPr>
            <w:tcW w:w="560" w:type="dxa"/>
            <w:vAlign w:val="bottom"/>
            <w:shd w:val="clear" w:color="auto" w:fill="C6D9F1"/>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6D9F1"/>
          </w:tcPr>
          <w:p>
            <w:pPr>
              <w:spacing w:after="0"/>
              <w:rPr>
                <w:sz w:val="23"/>
                <w:szCs w:val="23"/>
                <w:color w:val="auto"/>
              </w:rPr>
            </w:pPr>
          </w:p>
        </w:tc>
        <w:tc>
          <w:tcPr>
            <w:tcW w:w="9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r>
      <w:tr>
        <w:trPr>
          <w:trHeight w:val="256"/>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13,700</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7.93</w:t>
            </w:r>
          </w:p>
        </w:tc>
      </w:tr>
      <w:tr>
        <w:trPr>
          <w:trHeight w:val="165"/>
        </w:trPr>
        <w:tc>
          <w:tcPr>
            <w:tcW w:w="900" w:type="dxa"/>
            <w:vAlign w:val="bottom"/>
            <w:gridSpan w:val="3"/>
          </w:tcPr>
          <w:p>
            <w:pPr>
              <w:ind w:left="280"/>
              <w:spacing w:after="0"/>
              <w:rPr>
                <w:sz w:val="20"/>
                <w:szCs w:val="20"/>
                <w:color w:val="auto"/>
              </w:rPr>
            </w:pPr>
            <w:r>
              <w:rPr>
                <w:rFonts w:ascii="Arial" w:cs="Arial" w:eastAsia="Arial" w:hAnsi="Arial"/>
                <w:sz w:val="13"/>
                <w:szCs w:val="13"/>
                <w:color w:val="auto"/>
              </w:rPr>
              <w:t>3/14/2019</w:t>
            </w:r>
          </w:p>
        </w:tc>
        <w:tc>
          <w:tcPr>
            <w:tcW w:w="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13,642</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252"/>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82,500</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165,000</w:t>
            </w: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247,500</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-1587500</wp:posOffset>
            </wp:positionH>
            <wp:positionV relativeFrom="paragraph">
              <wp:posOffset>-1807210</wp:posOffset>
            </wp:positionV>
            <wp:extent cx="7201535" cy="3448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1535" cy="344805"/>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-944245</wp:posOffset>
            </wp:positionV>
            <wp:extent cx="7201535" cy="517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1535" cy="517525"/>
                    </a:xfrm>
                    <a:prstGeom prst="rect">
                      <a:avLst/>
                    </a:prstGeom>
                    <a:noFill/>
                  </pic:spPr>
                </pic:pic>
              </a:graphicData>
            </a:graphic>
          </wp:anchor>
        </w:drawing>
        <w:drawing>
          <wp:anchor simplePos="0" relativeHeight="251657728" behindDoc="1" locked="0" layoutInCell="0" allowOverlap="1">
            <wp:simplePos x="0" y="0"/>
            <wp:positionH relativeFrom="column">
              <wp:posOffset>-1587500</wp:posOffset>
            </wp:positionH>
            <wp:positionV relativeFrom="paragraph">
              <wp:posOffset>-2936240</wp:posOffset>
            </wp:positionV>
            <wp:extent cx="7201535" cy="6115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1535" cy="6115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661" w:space="300"/>
            <w:col w:w="1420" w:space="120"/>
            <w:col w:w="8840"/>
          </w:cols>
          <w:pgMar w:left="319" w:top="349" w:right="239" w:bottom="1440" w:gutter="0" w:footer="0" w:header="0"/>
          <w:type w:val="continuous"/>
        </w:sectPr>
      </w:pPr>
    </w:p>
    <w:tbl>
      <w:tblPr>
        <w:tblLayout w:type="fixed"/>
        <w:tblInd w:w="1" w:type="dxa"/>
        <w:tblCellMar>
          <w:top w:w="0" w:type="dxa"/>
          <w:left w:w="0" w:type="dxa"/>
          <w:bottom w:w="0" w:type="dxa"/>
          <w:right w:w="0" w:type="dxa"/>
        </w:tblCellMar>
      </w:tblPr>
      <w:tr>
        <w:trPr>
          <w:trHeight w:val="126"/>
        </w:trPr>
        <w:tc>
          <w:tcPr>
            <w:tcW w:w="2500" w:type="dxa"/>
            <w:vAlign w:val="bottom"/>
            <w:shd w:val="clear" w:color="auto" w:fill="C6D9F1"/>
          </w:tcPr>
          <w:p>
            <w:pPr>
              <w:spacing w:after="0" w:line="126" w:lineRule="exact"/>
              <w:rPr>
                <w:sz w:val="20"/>
                <w:szCs w:val="20"/>
                <w:color w:val="auto"/>
              </w:rPr>
            </w:pPr>
            <w:r>
              <w:rPr>
                <w:rFonts w:ascii="Arial" w:cs="Arial" w:eastAsia="Arial" w:hAnsi="Arial"/>
                <w:sz w:val="13"/>
                <w:szCs w:val="13"/>
                <w:color w:val="auto"/>
              </w:rPr>
              <w:t>Mr. Atkinson</w:t>
            </w:r>
          </w:p>
        </w:tc>
        <w:tc>
          <w:tcPr>
            <w:tcW w:w="940" w:type="dxa"/>
            <w:vAlign w:val="bottom"/>
            <w:shd w:val="clear" w:color="auto" w:fill="C6D9F1"/>
          </w:tcPr>
          <w:p>
            <w:pPr>
              <w:spacing w:after="0"/>
              <w:rPr>
                <w:sz w:val="10"/>
                <w:szCs w:val="10"/>
                <w:color w:val="auto"/>
              </w:rPr>
            </w:pPr>
          </w:p>
        </w:tc>
        <w:tc>
          <w:tcPr>
            <w:tcW w:w="780" w:type="dxa"/>
            <w:vAlign w:val="bottom"/>
            <w:shd w:val="clear" w:color="auto" w:fill="C6D9F1"/>
          </w:tcPr>
          <w:p>
            <w:pPr>
              <w:spacing w:after="0"/>
              <w:rPr>
                <w:sz w:val="10"/>
                <w:szCs w:val="10"/>
                <w:color w:val="auto"/>
              </w:rPr>
            </w:pPr>
          </w:p>
        </w:tc>
        <w:tc>
          <w:tcPr>
            <w:tcW w:w="820" w:type="dxa"/>
            <w:vAlign w:val="bottom"/>
            <w:shd w:val="clear" w:color="auto" w:fill="C6D9F1"/>
          </w:tcPr>
          <w:p>
            <w:pPr>
              <w:spacing w:after="0"/>
              <w:rPr>
                <w:sz w:val="10"/>
                <w:szCs w:val="10"/>
                <w:color w:val="auto"/>
              </w:rPr>
            </w:pPr>
          </w:p>
        </w:tc>
        <w:tc>
          <w:tcPr>
            <w:tcW w:w="740" w:type="dxa"/>
            <w:vAlign w:val="bottom"/>
            <w:shd w:val="clear" w:color="auto" w:fill="C6D9F1"/>
          </w:tcPr>
          <w:p>
            <w:pPr>
              <w:spacing w:after="0"/>
              <w:rPr>
                <w:sz w:val="10"/>
                <w:szCs w:val="10"/>
                <w:color w:val="auto"/>
              </w:rPr>
            </w:pPr>
          </w:p>
        </w:tc>
        <w:tc>
          <w:tcPr>
            <w:tcW w:w="780" w:type="dxa"/>
            <w:vAlign w:val="bottom"/>
            <w:shd w:val="clear" w:color="auto" w:fill="C6D9F1"/>
          </w:tcPr>
          <w:p>
            <w:pPr>
              <w:spacing w:after="0"/>
              <w:rPr>
                <w:sz w:val="10"/>
                <w:szCs w:val="10"/>
                <w:color w:val="auto"/>
              </w:rPr>
            </w:pPr>
          </w:p>
        </w:tc>
        <w:tc>
          <w:tcPr>
            <w:tcW w:w="980" w:type="dxa"/>
            <w:vAlign w:val="bottom"/>
            <w:shd w:val="clear" w:color="auto" w:fill="C6D9F1"/>
          </w:tcPr>
          <w:p>
            <w:pPr>
              <w:spacing w:after="0"/>
              <w:rPr>
                <w:sz w:val="10"/>
                <w:szCs w:val="10"/>
                <w:color w:val="auto"/>
              </w:rPr>
            </w:pPr>
          </w:p>
        </w:tc>
        <w:tc>
          <w:tcPr>
            <w:tcW w:w="1100" w:type="dxa"/>
            <w:vAlign w:val="bottom"/>
            <w:shd w:val="clear" w:color="auto" w:fill="C6D9F1"/>
          </w:tcPr>
          <w:p>
            <w:pPr>
              <w:spacing w:after="0"/>
              <w:rPr>
                <w:sz w:val="10"/>
                <w:szCs w:val="10"/>
                <w:color w:val="auto"/>
              </w:rPr>
            </w:pPr>
          </w:p>
        </w:tc>
        <w:tc>
          <w:tcPr>
            <w:tcW w:w="1000" w:type="dxa"/>
            <w:vAlign w:val="bottom"/>
            <w:shd w:val="clear" w:color="auto" w:fill="C6D9F1"/>
          </w:tcPr>
          <w:p>
            <w:pPr>
              <w:spacing w:after="0"/>
              <w:rPr>
                <w:sz w:val="10"/>
                <w:szCs w:val="10"/>
                <w:color w:val="auto"/>
              </w:rPr>
            </w:pPr>
          </w:p>
        </w:tc>
        <w:tc>
          <w:tcPr>
            <w:tcW w:w="960" w:type="dxa"/>
            <w:vAlign w:val="bottom"/>
            <w:shd w:val="clear" w:color="auto" w:fill="C6D9F1"/>
          </w:tcPr>
          <w:p>
            <w:pPr>
              <w:spacing w:after="0"/>
              <w:rPr>
                <w:sz w:val="10"/>
                <w:szCs w:val="10"/>
                <w:color w:val="auto"/>
              </w:rPr>
            </w:pPr>
          </w:p>
        </w:tc>
        <w:tc>
          <w:tcPr>
            <w:tcW w:w="740" w:type="dxa"/>
            <w:vAlign w:val="bottom"/>
            <w:shd w:val="clear" w:color="auto" w:fill="C6D9F1"/>
          </w:tcPr>
          <w:p>
            <w:pPr>
              <w:spacing w:after="0"/>
              <w:rPr>
                <w:sz w:val="10"/>
                <w:szCs w:val="10"/>
                <w:color w:val="auto"/>
              </w:rPr>
            </w:pPr>
          </w:p>
        </w:tc>
      </w:tr>
      <w:tr>
        <w:trPr>
          <w:trHeight w:val="136"/>
        </w:trPr>
        <w:tc>
          <w:tcPr>
            <w:tcW w:w="2500" w:type="dxa"/>
            <w:vAlign w:val="bottom"/>
            <w:shd w:val="clear" w:color="auto" w:fill="C6D9F1"/>
          </w:tcPr>
          <w:p>
            <w:pPr>
              <w:jc w:val="center"/>
              <w:ind w:left="774"/>
              <w:spacing w:after="0" w:line="136" w:lineRule="exact"/>
              <w:rPr>
                <w:sz w:val="20"/>
                <w:szCs w:val="20"/>
                <w:color w:val="auto"/>
              </w:rPr>
            </w:pPr>
            <w:r>
              <w:rPr>
                <w:rFonts w:ascii="Arial" w:cs="Arial" w:eastAsia="Arial" w:hAnsi="Arial"/>
                <w:sz w:val="13"/>
                <w:szCs w:val="13"/>
                <w:color w:val="auto"/>
                <w:w w:val="90"/>
              </w:rPr>
              <w:t>Restricted Stock</w:t>
            </w:r>
          </w:p>
        </w:tc>
        <w:tc>
          <w:tcPr>
            <w:tcW w:w="9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3/14/2019</w:t>
            </w:r>
          </w:p>
        </w:tc>
        <w:tc>
          <w:tcPr>
            <w:tcW w:w="780" w:type="dxa"/>
            <w:vAlign w:val="bottom"/>
            <w:shd w:val="clear" w:color="auto" w:fill="C6D9F1"/>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820" w:type="dxa"/>
            <w:vAlign w:val="bottom"/>
            <w:shd w:val="clear" w:color="auto" w:fill="C6D9F1"/>
          </w:tcPr>
          <w:p>
            <w:pPr>
              <w:jc w:val="right"/>
              <w:ind w:right="114"/>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w:t>
            </w:r>
          </w:p>
        </w:tc>
        <w:tc>
          <w:tcPr>
            <w:tcW w:w="780" w:type="dxa"/>
            <w:vAlign w:val="bottom"/>
            <w:shd w:val="clear" w:color="auto" w:fill="C6D9F1"/>
          </w:tcPr>
          <w:p>
            <w:pPr>
              <w:jc w:val="right"/>
              <w:ind w:right="214"/>
              <w:spacing w:after="0" w:line="136" w:lineRule="exact"/>
              <w:rPr>
                <w:sz w:val="20"/>
                <w:szCs w:val="20"/>
                <w:color w:val="auto"/>
              </w:rPr>
            </w:pPr>
            <w:r>
              <w:rPr>
                <w:rFonts w:ascii="Arial" w:cs="Arial" w:eastAsia="Arial" w:hAnsi="Arial"/>
                <w:sz w:val="13"/>
                <w:szCs w:val="13"/>
                <w:color w:val="auto"/>
              </w:rPr>
              <w:t>—</w:t>
            </w:r>
          </w:p>
        </w:tc>
        <w:tc>
          <w:tcPr>
            <w:tcW w:w="980" w:type="dxa"/>
            <w:vAlign w:val="bottom"/>
            <w:shd w:val="clear" w:color="auto" w:fill="C6D9F1"/>
          </w:tcPr>
          <w:p>
            <w:pPr>
              <w:jc w:val="right"/>
              <w:ind w:right="254"/>
              <w:spacing w:after="0" w:line="136" w:lineRule="exact"/>
              <w:rPr>
                <w:sz w:val="20"/>
                <w:szCs w:val="20"/>
                <w:color w:val="auto"/>
              </w:rPr>
            </w:pPr>
            <w:r>
              <w:rPr>
                <w:rFonts w:ascii="Arial" w:cs="Arial" w:eastAsia="Arial" w:hAnsi="Arial"/>
                <w:sz w:val="13"/>
                <w:szCs w:val="13"/>
                <w:color w:val="auto"/>
              </w:rPr>
              <w:t>—</w:t>
            </w:r>
          </w:p>
        </w:tc>
        <w:tc>
          <w:tcPr>
            <w:tcW w:w="1100" w:type="dxa"/>
            <w:vAlign w:val="bottom"/>
            <w:shd w:val="clear" w:color="auto" w:fill="C6D9F1"/>
          </w:tcPr>
          <w:p>
            <w:pPr>
              <w:jc w:val="right"/>
              <w:ind w:right="294"/>
              <w:spacing w:after="0" w:line="136" w:lineRule="exact"/>
              <w:rPr>
                <w:sz w:val="20"/>
                <w:szCs w:val="20"/>
                <w:color w:val="auto"/>
              </w:rPr>
            </w:pPr>
            <w:r>
              <w:rPr>
                <w:rFonts w:ascii="Arial" w:cs="Arial" w:eastAsia="Arial" w:hAnsi="Arial"/>
                <w:sz w:val="13"/>
                <w:szCs w:val="13"/>
                <w:color w:val="auto"/>
              </w:rPr>
              <w:t>—</w:t>
            </w:r>
          </w:p>
        </w:tc>
        <w:tc>
          <w:tcPr>
            <w:tcW w:w="1000" w:type="dxa"/>
            <w:vAlign w:val="bottom"/>
            <w:shd w:val="clear" w:color="auto" w:fill="C6D9F1"/>
          </w:tcPr>
          <w:p>
            <w:pPr>
              <w:jc w:val="right"/>
              <w:ind w:right="234"/>
              <w:spacing w:after="0" w:line="136" w:lineRule="exact"/>
              <w:rPr>
                <w:sz w:val="20"/>
                <w:szCs w:val="20"/>
                <w:color w:val="auto"/>
              </w:rPr>
            </w:pPr>
            <w:r>
              <w:rPr>
                <w:rFonts w:ascii="Arial" w:cs="Arial" w:eastAsia="Arial" w:hAnsi="Arial"/>
                <w:sz w:val="13"/>
                <w:szCs w:val="13"/>
                <w:color w:val="auto"/>
              </w:rPr>
              <w:t>10,004</w:t>
            </w:r>
          </w:p>
        </w:tc>
        <w:tc>
          <w:tcPr>
            <w:tcW w:w="960" w:type="dxa"/>
            <w:vAlign w:val="bottom"/>
            <w:shd w:val="clear" w:color="auto" w:fill="C6D9F1"/>
          </w:tcPr>
          <w:p>
            <w:pPr>
              <w:ind w:left="300"/>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ind w:left="540"/>
              <w:spacing w:after="0" w:line="136" w:lineRule="exact"/>
              <w:rPr>
                <w:sz w:val="20"/>
                <w:szCs w:val="20"/>
                <w:color w:val="auto"/>
              </w:rPr>
            </w:pPr>
            <w:r>
              <w:rPr>
                <w:rFonts w:ascii="Arial" w:cs="Arial" w:eastAsia="Arial" w:hAnsi="Arial"/>
                <w:sz w:val="13"/>
                <w:szCs w:val="13"/>
                <w:color w:val="auto"/>
              </w:rPr>
              <w:t>—</w:t>
            </w:r>
          </w:p>
        </w:tc>
      </w:tr>
      <w:tr>
        <w:trPr>
          <w:trHeight w:val="136"/>
        </w:trPr>
        <w:tc>
          <w:tcPr>
            <w:tcW w:w="2500" w:type="dxa"/>
            <w:vAlign w:val="bottom"/>
            <w:shd w:val="clear" w:color="auto" w:fill="C6D9F1"/>
          </w:tcPr>
          <w:p>
            <w:pPr>
              <w:jc w:val="center"/>
              <w:ind w:left="774"/>
              <w:spacing w:after="0" w:line="136" w:lineRule="exact"/>
              <w:rPr>
                <w:sz w:val="20"/>
                <w:szCs w:val="20"/>
                <w:color w:val="auto"/>
              </w:rPr>
            </w:pPr>
            <w:r>
              <w:rPr>
                <w:rFonts w:ascii="Arial" w:cs="Arial" w:eastAsia="Arial" w:hAnsi="Arial"/>
                <w:sz w:val="13"/>
                <w:szCs w:val="13"/>
                <w:color w:val="auto"/>
                <w:w w:val="93"/>
              </w:rPr>
              <w:t>TSR Award</w:t>
            </w:r>
          </w:p>
        </w:tc>
        <w:tc>
          <w:tcPr>
            <w:tcW w:w="9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3/14/2019</w:t>
            </w:r>
          </w:p>
        </w:tc>
        <w:tc>
          <w:tcPr>
            <w:tcW w:w="780" w:type="dxa"/>
            <w:vAlign w:val="bottom"/>
            <w:shd w:val="clear" w:color="auto" w:fill="C6D9F1"/>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820" w:type="dxa"/>
            <w:vAlign w:val="bottom"/>
            <w:shd w:val="clear" w:color="auto" w:fill="C6D9F1"/>
          </w:tcPr>
          <w:p>
            <w:pPr>
              <w:jc w:val="right"/>
              <w:ind w:right="114"/>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w:t>
            </w:r>
          </w:p>
        </w:tc>
        <w:tc>
          <w:tcPr>
            <w:tcW w:w="780" w:type="dxa"/>
            <w:vAlign w:val="bottom"/>
            <w:shd w:val="clear" w:color="auto" w:fill="C6D9F1"/>
          </w:tcPr>
          <w:p>
            <w:pPr>
              <w:jc w:val="right"/>
              <w:ind w:right="214"/>
              <w:spacing w:after="0" w:line="136" w:lineRule="exact"/>
              <w:rPr>
                <w:sz w:val="20"/>
                <w:szCs w:val="20"/>
                <w:color w:val="auto"/>
              </w:rPr>
            </w:pPr>
            <w:r>
              <w:rPr>
                <w:rFonts w:ascii="Arial" w:cs="Arial" w:eastAsia="Arial" w:hAnsi="Arial"/>
                <w:sz w:val="13"/>
                <w:szCs w:val="13"/>
                <w:color w:val="auto"/>
              </w:rPr>
              <w:t>36,206</w:t>
            </w:r>
          </w:p>
        </w:tc>
        <w:tc>
          <w:tcPr>
            <w:tcW w:w="980" w:type="dxa"/>
            <w:vAlign w:val="bottom"/>
            <w:shd w:val="clear" w:color="auto" w:fill="C6D9F1"/>
          </w:tcPr>
          <w:p>
            <w:pPr>
              <w:jc w:val="right"/>
              <w:ind w:right="254"/>
              <w:spacing w:after="0" w:line="136" w:lineRule="exact"/>
              <w:rPr>
                <w:sz w:val="20"/>
                <w:szCs w:val="20"/>
                <w:color w:val="auto"/>
              </w:rPr>
            </w:pPr>
            <w:r>
              <w:rPr>
                <w:rFonts w:ascii="Arial" w:cs="Arial" w:eastAsia="Arial" w:hAnsi="Arial"/>
                <w:sz w:val="13"/>
                <w:szCs w:val="13"/>
                <w:color w:val="auto"/>
              </w:rPr>
              <w:t>72,412</w:t>
            </w:r>
          </w:p>
        </w:tc>
        <w:tc>
          <w:tcPr>
            <w:tcW w:w="1100" w:type="dxa"/>
            <w:vAlign w:val="bottom"/>
            <w:shd w:val="clear" w:color="auto" w:fill="C6D9F1"/>
          </w:tcPr>
          <w:p>
            <w:pPr>
              <w:jc w:val="right"/>
              <w:ind w:right="294"/>
              <w:spacing w:after="0" w:line="136" w:lineRule="exact"/>
              <w:rPr>
                <w:sz w:val="20"/>
                <w:szCs w:val="20"/>
                <w:color w:val="auto"/>
              </w:rPr>
            </w:pPr>
            <w:r>
              <w:rPr>
                <w:rFonts w:ascii="Arial" w:cs="Arial" w:eastAsia="Arial" w:hAnsi="Arial"/>
                <w:sz w:val="13"/>
                <w:szCs w:val="13"/>
                <w:color w:val="auto"/>
              </w:rPr>
              <w:t>108,618</w:t>
            </w:r>
          </w:p>
        </w:tc>
        <w:tc>
          <w:tcPr>
            <w:tcW w:w="1000" w:type="dxa"/>
            <w:vAlign w:val="bottom"/>
            <w:shd w:val="clear" w:color="auto" w:fill="C6D9F1"/>
          </w:tcPr>
          <w:p>
            <w:pPr>
              <w:jc w:val="right"/>
              <w:ind w:right="234"/>
              <w:spacing w:after="0" w:line="136" w:lineRule="exact"/>
              <w:rPr>
                <w:sz w:val="20"/>
                <w:szCs w:val="20"/>
                <w:color w:val="auto"/>
              </w:rPr>
            </w:pPr>
            <w:r>
              <w:rPr>
                <w:rFonts w:ascii="Arial" w:cs="Arial" w:eastAsia="Arial" w:hAnsi="Arial"/>
                <w:sz w:val="13"/>
                <w:szCs w:val="13"/>
                <w:color w:val="auto"/>
              </w:rPr>
              <w:t>—</w:t>
            </w:r>
          </w:p>
        </w:tc>
        <w:tc>
          <w:tcPr>
            <w:tcW w:w="960" w:type="dxa"/>
            <w:vAlign w:val="bottom"/>
            <w:shd w:val="clear" w:color="auto" w:fill="C6D9F1"/>
          </w:tcPr>
          <w:p>
            <w:pPr>
              <w:ind w:left="300"/>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ind w:left="540"/>
              <w:spacing w:after="0" w:line="136" w:lineRule="exact"/>
              <w:rPr>
                <w:sz w:val="20"/>
                <w:szCs w:val="20"/>
                <w:color w:val="auto"/>
              </w:rPr>
            </w:pPr>
            <w:r>
              <w:rPr>
                <w:rFonts w:ascii="Arial" w:cs="Arial" w:eastAsia="Arial" w:hAnsi="Arial"/>
                <w:sz w:val="13"/>
                <w:szCs w:val="13"/>
                <w:color w:val="auto"/>
              </w:rPr>
              <w:t>—</w:t>
            </w:r>
          </w:p>
        </w:tc>
      </w:tr>
      <w:tr>
        <w:trPr>
          <w:trHeight w:val="136"/>
        </w:trPr>
        <w:tc>
          <w:tcPr>
            <w:tcW w:w="2500" w:type="dxa"/>
            <w:vAlign w:val="bottom"/>
            <w:shd w:val="clear" w:color="auto" w:fill="C6D9F1"/>
          </w:tcPr>
          <w:p>
            <w:pPr>
              <w:jc w:val="center"/>
              <w:ind w:left="774"/>
              <w:spacing w:after="0" w:line="136" w:lineRule="exact"/>
              <w:rPr>
                <w:sz w:val="20"/>
                <w:szCs w:val="20"/>
                <w:color w:val="auto"/>
              </w:rPr>
            </w:pPr>
            <w:r>
              <w:rPr>
                <w:rFonts w:ascii="Arial" w:cs="Arial" w:eastAsia="Arial" w:hAnsi="Arial"/>
                <w:sz w:val="13"/>
                <w:szCs w:val="13"/>
                <w:color w:val="auto"/>
                <w:w w:val="95"/>
              </w:rPr>
              <w:t>ROIC Award</w:t>
            </w:r>
          </w:p>
        </w:tc>
        <w:tc>
          <w:tcPr>
            <w:tcW w:w="9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3/14/2019</w:t>
            </w:r>
          </w:p>
        </w:tc>
        <w:tc>
          <w:tcPr>
            <w:tcW w:w="780" w:type="dxa"/>
            <w:vAlign w:val="bottom"/>
            <w:shd w:val="clear" w:color="auto" w:fill="C6D9F1"/>
          </w:tcPr>
          <w:p>
            <w:pPr>
              <w:jc w:val="right"/>
              <w:ind w:right="154"/>
              <w:spacing w:after="0" w:line="136" w:lineRule="exact"/>
              <w:rPr>
                <w:sz w:val="20"/>
                <w:szCs w:val="20"/>
                <w:color w:val="auto"/>
              </w:rPr>
            </w:pPr>
            <w:r>
              <w:rPr>
                <w:rFonts w:ascii="Arial" w:cs="Arial" w:eastAsia="Arial" w:hAnsi="Arial"/>
                <w:sz w:val="13"/>
                <w:szCs w:val="13"/>
                <w:color w:val="auto"/>
              </w:rPr>
              <w:t>—</w:t>
            </w:r>
          </w:p>
        </w:tc>
        <w:tc>
          <w:tcPr>
            <w:tcW w:w="820" w:type="dxa"/>
            <w:vAlign w:val="bottom"/>
            <w:shd w:val="clear" w:color="auto" w:fill="C6D9F1"/>
          </w:tcPr>
          <w:p>
            <w:pPr>
              <w:jc w:val="right"/>
              <w:ind w:right="114"/>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jc w:val="right"/>
              <w:ind w:right="54"/>
              <w:spacing w:after="0" w:line="136" w:lineRule="exact"/>
              <w:rPr>
                <w:sz w:val="20"/>
                <w:szCs w:val="20"/>
                <w:color w:val="auto"/>
              </w:rPr>
            </w:pPr>
            <w:r>
              <w:rPr>
                <w:rFonts w:ascii="Arial" w:cs="Arial" w:eastAsia="Arial" w:hAnsi="Arial"/>
                <w:sz w:val="13"/>
                <w:szCs w:val="13"/>
                <w:color w:val="auto"/>
              </w:rPr>
              <w:t>—</w:t>
            </w:r>
          </w:p>
        </w:tc>
        <w:tc>
          <w:tcPr>
            <w:tcW w:w="780" w:type="dxa"/>
            <w:vAlign w:val="bottom"/>
            <w:shd w:val="clear" w:color="auto" w:fill="C6D9F1"/>
          </w:tcPr>
          <w:p>
            <w:pPr>
              <w:jc w:val="right"/>
              <w:ind w:right="214"/>
              <w:spacing w:after="0" w:line="136" w:lineRule="exact"/>
              <w:rPr>
                <w:sz w:val="20"/>
                <w:szCs w:val="20"/>
                <w:color w:val="auto"/>
              </w:rPr>
            </w:pPr>
            <w:r>
              <w:rPr>
                <w:rFonts w:ascii="Arial" w:cs="Arial" w:eastAsia="Arial" w:hAnsi="Arial"/>
                <w:sz w:val="13"/>
                <w:szCs w:val="13"/>
                <w:color w:val="auto"/>
              </w:rPr>
              <w:t>27,766</w:t>
            </w:r>
          </w:p>
        </w:tc>
        <w:tc>
          <w:tcPr>
            <w:tcW w:w="980" w:type="dxa"/>
            <w:vAlign w:val="bottom"/>
            <w:shd w:val="clear" w:color="auto" w:fill="C6D9F1"/>
          </w:tcPr>
          <w:p>
            <w:pPr>
              <w:jc w:val="right"/>
              <w:ind w:right="254"/>
              <w:spacing w:after="0" w:line="136" w:lineRule="exact"/>
              <w:rPr>
                <w:sz w:val="20"/>
                <w:szCs w:val="20"/>
                <w:color w:val="auto"/>
              </w:rPr>
            </w:pPr>
            <w:r>
              <w:rPr>
                <w:rFonts w:ascii="Arial" w:cs="Arial" w:eastAsia="Arial" w:hAnsi="Arial"/>
                <w:sz w:val="13"/>
                <w:szCs w:val="13"/>
                <w:color w:val="auto"/>
              </w:rPr>
              <w:t>79,332</w:t>
            </w:r>
          </w:p>
        </w:tc>
        <w:tc>
          <w:tcPr>
            <w:tcW w:w="1100" w:type="dxa"/>
            <w:vAlign w:val="bottom"/>
            <w:shd w:val="clear" w:color="auto" w:fill="C6D9F1"/>
          </w:tcPr>
          <w:p>
            <w:pPr>
              <w:jc w:val="right"/>
              <w:ind w:right="294"/>
              <w:spacing w:after="0" w:line="136" w:lineRule="exact"/>
              <w:rPr>
                <w:sz w:val="20"/>
                <w:szCs w:val="20"/>
                <w:color w:val="auto"/>
              </w:rPr>
            </w:pPr>
            <w:r>
              <w:rPr>
                <w:rFonts w:ascii="Arial" w:cs="Arial" w:eastAsia="Arial" w:hAnsi="Arial"/>
                <w:sz w:val="13"/>
                <w:szCs w:val="13"/>
                <w:color w:val="auto"/>
              </w:rPr>
              <w:t>118,998</w:t>
            </w:r>
          </w:p>
        </w:tc>
        <w:tc>
          <w:tcPr>
            <w:tcW w:w="1000" w:type="dxa"/>
            <w:vAlign w:val="bottom"/>
            <w:shd w:val="clear" w:color="auto" w:fill="C6D9F1"/>
          </w:tcPr>
          <w:p>
            <w:pPr>
              <w:jc w:val="right"/>
              <w:ind w:right="234"/>
              <w:spacing w:after="0" w:line="136" w:lineRule="exact"/>
              <w:rPr>
                <w:sz w:val="20"/>
                <w:szCs w:val="20"/>
                <w:color w:val="auto"/>
              </w:rPr>
            </w:pPr>
            <w:r>
              <w:rPr>
                <w:rFonts w:ascii="Arial" w:cs="Arial" w:eastAsia="Arial" w:hAnsi="Arial"/>
                <w:sz w:val="13"/>
                <w:szCs w:val="13"/>
                <w:color w:val="auto"/>
              </w:rPr>
              <w:t>—</w:t>
            </w:r>
          </w:p>
        </w:tc>
        <w:tc>
          <w:tcPr>
            <w:tcW w:w="960" w:type="dxa"/>
            <w:vAlign w:val="bottom"/>
            <w:shd w:val="clear" w:color="auto" w:fill="C6D9F1"/>
          </w:tcPr>
          <w:p>
            <w:pPr>
              <w:spacing w:after="0"/>
              <w:rPr>
                <w:sz w:val="11"/>
                <w:szCs w:val="11"/>
                <w:color w:val="auto"/>
              </w:rPr>
            </w:pPr>
          </w:p>
        </w:tc>
        <w:tc>
          <w:tcPr>
            <w:tcW w:w="740" w:type="dxa"/>
            <w:vAlign w:val="bottom"/>
            <w:shd w:val="clear" w:color="auto" w:fill="C6D9F1"/>
          </w:tcPr>
          <w:p>
            <w:pPr>
              <w:spacing w:after="0"/>
              <w:rPr>
                <w:sz w:val="11"/>
                <w:szCs w:val="11"/>
                <w:color w:val="auto"/>
              </w:rPr>
            </w:pPr>
          </w:p>
        </w:tc>
      </w:tr>
      <w:tr>
        <w:trPr>
          <w:trHeight w:val="136"/>
        </w:trPr>
        <w:tc>
          <w:tcPr>
            <w:tcW w:w="2500" w:type="dxa"/>
            <w:vAlign w:val="bottom"/>
            <w:shd w:val="clear" w:color="auto" w:fill="C6D9F1"/>
          </w:tcPr>
          <w:p>
            <w:pPr>
              <w:jc w:val="center"/>
              <w:ind w:left="774"/>
              <w:spacing w:after="0" w:line="136" w:lineRule="exact"/>
              <w:rPr>
                <w:sz w:val="20"/>
                <w:szCs w:val="20"/>
                <w:color w:val="auto"/>
              </w:rPr>
            </w:pPr>
            <w:r>
              <w:rPr>
                <w:rFonts w:ascii="Arial" w:cs="Arial" w:eastAsia="Arial" w:hAnsi="Arial"/>
                <w:sz w:val="13"/>
                <w:szCs w:val="13"/>
                <w:color w:val="auto"/>
                <w:w w:val="94"/>
              </w:rPr>
              <w:t>Non-Equity Incentive Plan</w:t>
            </w:r>
          </w:p>
        </w:tc>
        <w:tc>
          <w:tcPr>
            <w:tcW w:w="940" w:type="dxa"/>
            <w:vAlign w:val="bottom"/>
            <w:shd w:val="clear" w:color="auto" w:fill="C6D9F1"/>
          </w:tcPr>
          <w:p>
            <w:pPr>
              <w:spacing w:after="0"/>
              <w:rPr>
                <w:sz w:val="11"/>
                <w:szCs w:val="11"/>
                <w:color w:val="auto"/>
              </w:rPr>
            </w:pPr>
          </w:p>
        </w:tc>
        <w:tc>
          <w:tcPr>
            <w:tcW w:w="780" w:type="dxa"/>
            <w:vAlign w:val="bottom"/>
            <w:shd w:val="clear" w:color="auto" w:fill="C6D9F1"/>
          </w:tcPr>
          <w:p>
            <w:pPr>
              <w:spacing w:after="0"/>
              <w:rPr>
                <w:sz w:val="11"/>
                <w:szCs w:val="11"/>
                <w:color w:val="auto"/>
              </w:rPr>
            </w:pPr>
          </w:p>
        </w:tc>
        <w:tc>
          <w:tcPr>
            <w:tcW w:w="820" w:type="dxa"/>
            <w:vAlign w:val="bottom"/>
            <w:shd w:val="clear" w:color="auto" w:fill="C6D9F1"/>
          </w:tcPr>
          <w:p>
            <w:pPr>
              <w:spacing w:after="0"/>
              <w:rPr>
                <w:sz w:val="11"/>
                <w:szCs w:val="11"/>
                <w:color w:val="auto"/>
              </w:rPr>
            </w:pPr>
          </w:p>
        </w:tc>
        <w:tc>
          <w:tcPr>
            <w:tcW w:w="740" w:type="dxa"/>
            <w:vAlign w:val="bottom"/>
            <w:shd w:val="clear" w:color="auto" w:fill="C6D9F1"/>
          </w:tcPr>
          <w:p>
            <w:pPr>
              <w:spacing w:after="0"/>
              <w:rPr>
                <w:sz w:val="11"/>
                <w:szCs w:val="11"/>
                <w:color w:val="auto"/>
              </w:rPr>
            </w:pPr>
          </w:p>
        </w:tc>
        <w:tc>
          <w:tcPr>
            <w:tcW w:w="780" w:type="dxa"/>
            <w:vAlign w:val="bottom"/>
            <w:shd w:val="clear" w:color="auto" w:fill="C6D9F1"/>
          </w:tcPr>
          <w:p>
            <w:pPr>
              <w:spacing w:after="0"/>
              <w:rPr>
                <w:sz w:val="11"/>
                <w:szCs w:val="11"/>
                <w:color w:val="auto"/>
              </w:rPr>
            </w:pPr>
          </w:p>
        </w:tc>
        <w:tc>
          <w:tcPr>
            <w:tcW w:w="980" w:type="dxa"/>
            <w:vAlign w:val="bottom"/>
            <w:shd w:val="clear" w:color="auto" w:fill="C6D9F1"/>
          </w:tcPr>
          <w:p>
            <w:pPr>
              <w:spacing w:after="0"/>
              <w:rPr>
                <w:sz w:val="11"/>
                <w:szCs w:val="11"/>
                <w:color w:val="auto"/>
              </w:rPr>
            </w:pPr>
          </w:p>
        </w:tc>
        <w:tc>
          <w:tcPr>
            <w:tcW w:w="1100" w:type="dxa"/>
            <w:vAlign w:val="bottom"/>
            <w:shd w:val="clear" w:color="auto" w:fill="C6D9F1"/>
          </w:tcPr>
          <w:p>
            <w:pPr>
              <w:spacing w:after="0"/>
              <w:rPr>
                <w:sz w:val="11"/>
                <w:szCs w:val="11"/>
                <w:color w:val="auto"/>
              </w:rPr>
            </w:pPr>
          </w:p>
        </w:tc>
        <w:tc>
          <w:tcPr>
            <w:tcW w:w="1000" w:type="dxa"/>
            <w:vAlign w:val="bottom"/>
            <w:shd w:val="clear" w:color="auto" w:fill="C6D9F1"/>
          </w:tcPr>
          <w:p>
            <w:pPr>
              <w:spacing w:after="0"/>
              <w:rPr>
                <w:sz w:val="11"/>
                <w:szCs w:val="11"/>
                <w:color w:val="auto"/>
              </w:rPr>
            </w:pPr>
          </w:p>
        </w:tc>
        <w:tc>
          <w:tcPr>
            <w:tcW w:w="960" w:type="dxa"/>
            <w:vAlign w:val="bottom"/>
            <w:shd w:val="clear" w:color="auto" w:fill="C6D9F1"/>
          </w:tcPr>
          <w:p>
            <w:pPr>
              <w:spacing w:after="0"/>
              <w:rPr>
                <w:sz w:val="11"/>
                <w:szCs w:val="11"/>
                <w:color w:val="auto"/>
              </w:rPr>
            </w:pPr>
          </w:p>
        </w:tc>
        <w:tc>
          <w:tcPr>
            <w:tcW w:w="740" w:type="dxa"/>
            <w:vAlign w:val="bottom"/>
            <w:shd w:val="clear" w:color="auto" w:fill="C6D9F1"/>
          </w:tcPr>
          <w:p>
            <w:pPr>
              <w:spacing w:after="0"/>
              <w:rPr>
                <w:sz w:val="11"/>
                <w:szCs w:val="11"/>
                <w:color w:val="auto"/>
              </w:rPr>
            </w:pPr>
          </w:p>
        </w:tc>
      </w:tr>
      <w:tr>
        <w:trPr>
          <w:trHeight w:val="152"/>
        </w:trPr>
        <w:tc>
          <w:tcPr>
            <w:tcW w:w="2500" w:type="dxa"/>
            <w:vAlign w:val="bottom"/>
            <w:shd w:val="clear" w:color="auto" w:fill="C6D9F1"/>
          </w:tcPr>
          <w:p>
            <w:pPr>
              <w:ind w:left="1600"/>
              <w:spacing w:after="0"/>
              <w:rPr>
                <w:sz w:val="20"/>
                <w:szCs w:val="20"/>
                <w:color w:val="auto"/>
              </w:rPr>
            </w:pPr>
            <w:r>
              <w:rPr>
                <w:rFonts w:ascii="Arial" w:cs="Arial" w:eastAsia="Arial" w:hAnsi="Arial"/>
                <w:sz w:val="13"/>
                <w:szCs w:val="13"/>
                <w:color w:val="auto"/>
              </w:rPr>
              <w:t>Award</w:t>
            </w:r>
          </w:p>
        </w:tc>
        <w:tc>
          <w:tcPr>
            <w:tcW w:w="940" w:type="dxa"/>
            <w:vAlign w:val="bottom"/>
            <w:shd w:val="clear" w:color="auto" w:fill="C6D9F1"/>
          </w:tcPr>
          <w:p>
            <w:pPr>
              <w:spacing w:after="0"/>
              <w:rPr>
                <w:sz w:val="13"/>
                <w:szCs w:val="13"/>
                <w:color w:val="auto"/>
              </w:rPr>
            </w:pPr>
          </w:p>
        </w:tc>
        <w:tc>
          <w:tcPr>
            <w:tcW w:w="780" w:type="dxa"/>
            <w:vAlign w:val="bottom"/>
            <w:shd w:val="clear" w:color="auto" w:fill="C6D9F1"/>
          </w:tcPr>
          <w:p>
            <w:pPr>
              <w:jc w:val="right"/>
              <w:ind w:right="154"/>
              <w:spacing w:after="0"/>
              <w:rPr>
                <w:sz w:val="20"/>
                <w:szCs w:val="20"/>
                <w:color w:val="auto"/>
              </w:rPr>
            </w:pPr>
            <w:r>
              <w:rPr>
                <w:rFonts w:ascii="Arial" w:cs="Arial" w:eastAsia="Arial" w:hAnsi="Arial"/>
                <w:sz w:val="13"/>
                <w:szCs w:val="13"/>
                <w:color w:val="auto"/>
              </w:rPr>
              <w:t>80,500</w:t>
            </w:r>
          </w:p>
        </w:tc>
        <w:tc>
          <w:tcPr>
            <w:tcW w:w="820" w:type="dxa"/>
            <w:vAlign w:val="bottom"/>
            <w:shd w:val="clear" w:color="auto" w:fill="C6D9F1"/>
          </w:tcPr>
          <w:p>
            <w:pPr>
              <w:jc w:val="right"/>
              <w:ind w:right="114"/>
              <w:spacing w:after="0"/>
              <w:rPr>
                <w:sz w:val="20"/>
                <w:szCs w:val="20"/>
                <w:color w:val="auto"/>
              </w:rPr>
            </w:pPr>
            <w:r>
              <w:rPr>
                <w:rFonts w:ascii="Arial" w:cs="Arial" w:eastAsia="Arial" w:hAnsi="Arial"/>
                <w:sz w:val="13"/>
                <w:szCs w:val="13"/>
                <w:color w:val="auto"/>
              </w:rPr>
              <w:t>161,000</w:t>
            </w:r>
          </w:p>
        </w:tc>
        <w:tc>
          <w:tcPr>
            <w:tcW w:w="740" w:type="dxa"/>
            <w:vAlign w:val="bottom"/>
            <w:shd w:val="clear" w:color="auto" w:fill="C6D9F1"/>
          </w:tcPr>
          <w:p>
            <w:pPr>
              <w:jc w:val="right"/>
              <w:ind w:right="54"/>
              <w:spacing w:after="0"/>
              <w:rPr>
                <w:sz w:val="20"/>
                <w:szCs w:val="20"/>
                <w:color w:val="auto"/>
              </w:rPr>
            </w:pPr>
            <w:r>
              <w:rPr>
                <w:rFonts w:ascii="Arial" w:cs="Arial" w:eastAsia="Arial" w:hAnsi="Arial"/>
                <w:sz w:val="13"/>
                <w:szCs w:val="13"/>
                <w:color w:val="auto"/>
              </w:rPr>
              <w:t>241,500</w:t>
            </w:r>
          </w:p>
        </w:tc>
        <w:tc>
          <w:tcPr>
            <w:tcW w:w="780" w:type="dxa"/>
            <w:vAlign w:val="bottom"/>
            <w:shd w:val="clear" w:color="auto" w:fill="C6D9F1"/>
          </w:tcPr>
          <w:p>
            <w:pPr>
              <w:jc w:val="right"/>
              <w:ind w:right="2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6D9F1"/>
          </w:tcPr>
          <w:p>
            <w:pPr>
              <w:jc w:val="right"/>
              <w:ind w:right="25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6D9F1"/>
          </w:tcPr>
          <w:p>
            <w:pPr>
              <w:jc w:val="right"/>
              <w:ind w:right="29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6D9F1"/>
          </w:tcPr>
          <w:p>
            <w:pPr>
              <w:jc w:val="right"/>
              <w:ind w:right="234"/>
              <w:spacing w:after="0"/>
              <w:rPr>
                <w:sz w:val="20"/>
                <w:szCs w:val="20"/>
                <w:color w:val="auto"/>
              </w:rPr>
            </w:pPr>
            <w:r>
              <w:rPr>
                <w:rFonts w:ascii="Arial" w:cs="Arial" w:eastAsia="Arial" w:hAnsi="Arial"/>
                <w:sz w:val="13"/>
                <w:szCs w:val="13"/>
                <w:color w:val="auto"/>
              </w:rPr>
              <w:t>—</w:t>
            </w:r>
          </w:p>
        </w:tc>
        <w:tc>
          <w:tcPr>
            <w:tcW w:w="960" w:type="dxa"/>
            <w:vAlign w:val="bottom"/>
            <w:shd w:val="clear" w:color="auto" w:fill="C6D9F1"/>
          </w:tcPr>
          <w:p>
            <w:pPr>
              <w:ind w:left="3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6D9F1"/>
          </w:tcPr>
          <w:p>
            <w:pPr>
              <w:ind w:left="540"/>
              <w:spacing w:after="0"/>
              <w:rPr>
                <w:sz w:val="20"/>
                <w:szCs w:val="20"/>
                <w:color w:val="auto"/>
              </w:rPr>
            </w:pPr>
            <w:r>
              <w:rPr>
                <w:rFonts w:ascii="Arial" w:cs="Arial" w:eastAsia="Arial" w:hAnsi="Arial"/>
                <w:sz w:val="13"/>
                <w:szCs w:val="13"/>
                <w:color w:val="auto"/>
              </w:rPr>
              <w:t>—</w:t>
            </w:r>
          </w:p>
        </w:tc>
      </w:tr>
      <w:tr>
        <w:trPr>
          <w:trHeight w:val="136"/>
        </w:trPr>
        <w:tc>
          <w:tcPr>
            <w:tcW w:w="2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r>
    </w:tbl>
    <w:p>
      <w:pPr>
        <w:spacing w:after="0" w:line="86" w:lineRule="exact"/>
        <w:rPr>
          <w:sz w:val="20"/>
          <w:szCs w:val="20"/>
          <w:color w:val="auto"/>
        </w:rPr>
      </w:pPr>
    </w:p>
    <w:p>
      <w:pPr>
        <w:jc w:val="both"/>
        <w:ind w:left="501" w:right="100" w:hanging="501"/>
        <w:spacing w:after="0" w:line="260" w:lineRule="auto"/>
        <w:tabs>
          <w:tab w:leader="none" w:pos="501" w:val="left"/>
        </w:tabs>
        <w:numPr>
          <w:ilvl w:val="0"/>
          <w:numId w:val="43"/>
        </w:numPr>
        <w:rPr>
          <w:rFonts w:ascii="Arial" w:cs="Arial" w:eastAsia="Arial" w:hAnsi="Arial"/>
          <w:sz w:val="16"/>
          <w:szCs w:val="16"/>
          <w:color w:val="auto"/>
        </w:rPr>
      </w:pPr>
      <w:r>
        <w:rPr>
          <w:rFonts w:ascii="Arial" w:cs="Arial" w:eastAsia="Arial" w:hAnsi="Arial"/>
          <w:sz w:val="16"/>
          <w:szCs w:val="16"/>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w:t>
      </w:r>
    </w:p>
    <w:p>
      <w:pPr>
        <w:spacing w:after="0" w:line="2" w:lineRule="exact"/>
        <w:rPr>
          <w:rFonts w:ascii="Arial" w:cs="Arial" w:eastAsia="Arial" w:hAnsi="Arial"/>
          <w:sz w:val="16"/>
          <w:szCs w:val="16"/>
          <w:color w:val="auto"/>
        </w:rPr>
      </w:pPr>
    </w:p>
    <w:p>
      <w:pPr>
        <w:jc w:val="both"/>
        <w:ind w:left="501" w:right="100" w:hanging="501"/>
        <w:spacing w:after="0" w:line="286" w:lineRule="auto"/>
        <w:tabs>
          <w:tab w:leader="none" w:pos="501" w:val="left"/>
        </w:tabs>
        <w:numPr>
          <w:ilvl w:val="0"/>
          <w:numId w:val="43"/>
        </w:numPr>
        <w:rPr>
          <w:rFonts w:ascii="Arial" w:cs="Arial" w:eastAsia="Arial" w:hAnsi="Arial"/>
          <w:sz w:val="15"/>
          <w:szCs w:val="15"/>
          <w:color w:val="auto"/>
        </w:rPr>
      </w:pPr>
      <w:r>
        <w:rPr>
          <w:rFonts w:ascii="Arial" w:cs="Arial" w:eastAsia="Arial" w:hAnsi="Arial"/>
          <w:sz w:val="15"/>
          <w:szCs w:val="15"/>
          <w:color w:val="auto"/>
        </w:rPr>
        <w:t>Amounts represent the grant date fair value, as computed in accordance with FASB ASC Topic 718. The grant date fair value of TSR Awards was determined using a Monte Carlo simulation model. The grant date fair value of ROIC Awards was based on the closing price of our stock on the date of grant. The PSUs vest over a three-year performance period. Additional information regarding the PSUs are set forth under Note 19 of the Notes to Consolidated Financial Statements included in our Annual Report on Form 10-K for the year ended December 31, 2019 filed with the SEC on March 16, 2020.</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41"/>
          </w:cols>
          <w:pgMar w:left="319" w:top="349" w:right="239" w:bottom="1440" w:gutter="0" w:footer="0" w:header="0"/>
          <w:type w:val="continuous"/>
        </w:sectPr>
      </w:pPr>
    </w:p>
    <w:bookmarkStart w:id="40" w:name="page41"/>
    <w:bookmarkEnd w:id="40"/>
    <w:p>
      <w:pPr>
        <w:ind w:left="501"/>
        <w:spacing w:after="0" w:line="264" w:lineRule="auto"/>
        <w:rPr>
          <w:sz w:val="20"/>
          <w:szCs w:val="20"/>
          <w:color w:val="auto"/>
        </w:rPr>
      </w:pPr>
      <w:r>
        <w:rPr>
          <w:rFonts w:ascii="Arial" w:cs="Arial" w:eastAsia="Arial" w:hAnsi="Arial"/>
          <w:sz w:val="16"/>
          <w:szCs w:val="16"/>
          <w:color w:val="auto"/>
        </w:rPr>
        <w:t>See also “Compensation Discussion &amp; Analysis — What We Pay and Why: Elements of Compensation — Long-Term Incentive Compensation” for additional information regarding our PSUs, including information regarding performance criteria.</w:t>
      </w:r>
    </w:p>
    <w:p>
      <w:pPr>
        <w:spacing w:after="0" w:line="2" w:lineRule="exact"/>
        <w:rPr>
          <w:sz w:val="20"/>
          <w:szCs w:val="20"/>
          <w:color w:val="auto"/>
        </w:rPr>
      </w:pPr>
    </w:p>
    <w:p>
      <w:pPr>
        <w:ind w:left="501" w:hanging="501"/>
        <w:spacing w:after="0" w:line="257" w:lineRule="auto"/>
        <w:tabs>
          <w:tab w:leader="none" w:pos="5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ASC Topic 718. Shares of restricted stock vest over a period of three years beginning on the first anniversary of the date of grant.</w:t>
      </w:r>
    </w:p>
    <w:p>
      <w:pPr>
        <w:spacing w:after="0" w:line="1" w:lineRule="exact"/>
        <w:rPr>
          <w:rFonts w:ascii="Arial" w:cs="Arial" w:eastAsia="Arial" w:hAnsi="Arial"/>
          <w:sz w:val="16"/>
          <w:szCs w:val="16"/>
          <w:color w:val="auto"/>
        </w:rPr>
      </w:pPr>
    </w:p>
    <w:p>
      <w:pPr>
        <w:jc w:val="both"/>
        <w:ind w:left="501" w:hanging="501"/>
        <w:spacing w:after="0" w:line="274" w:lineRule="auto"/>
        <w:tabs>
          <w:tab w:leader="none" w:pos="501" w:val="left"/>
        </w:tabs>
        <w:numPr>
          <w:ilvl w:val="0"/>
          <w:numId w:val="44"/>
        </w:numPr>
        <w:rPr>
          <w:rFonts w:ascii="Arial" w:cs="Arial" w:eastAsia="Arial" w:hAnsi="Arial"/>
          <w:sz w:val="15"/>
          <w:szCs w:val="15"/>
          <w:color w:val="auto"/>
        </w:rPr>
      </w:pPr>
      <w:r>
        <w:rPr>
          <w:rFonts w:ascii="Arial" w:cs="Arial" w:eastAsia="Arial" w:hAnsi="Arial"/>
          <w:sz w:val="15"/>
          <w:szCs w:val="15"/>
          <w:color w:val="auto"/>
        </w:rPr>
        <w:t>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19 of the Notes to Consolidated Financial Statements included in our Annual Report on Form 10-K for the year ended December 31, 2019 filed with the SEC on March 16, 2020.</w:t>
      </w:r>
    </w:p>
    <w:p>
      <w:pPr>
        <w:spacing w:after="0" w:line="2" w:lineRule="exact"/>
        <w:rPr>
          <w:rFonts w:ascii="Arial" w:cs="Arial" w:eastAsia="Arial" w:hAnsi="Arial"/>
          <w:sz w:val="15"/>
          <w:szCs w:val="15"/>
          <w:color w:val="auto"/>
        </w:rPr>
      </w:pPr>
    </w:p>
    <w:p>
      <w:pPr>
        <w:ind w:left="501" w:hanging="501"/>
        <w:spacing w:after="0" w:line="275" w:lineRule="auto"/>
        <w:tabs>
          <w:tab w:leader="none" w:pos="501"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grant date fair values of PSUs in the table above assumes target performance, but the actual number of performance shares distributed at the end of the performance period is dependent upon the achievement of stated performance goals.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49" w:right="339" w:bottom="1440" w:gutter="0" w:footer="0" w:header="0"/>
        </w:sectPr>
      </w:pPr>
    </w:p>
    <w:bookmarkStart w:id="41" w:name="page42"/>
    <w:bookmarkEnd w:id="41"/>
    <w:p>
      <w:pPr>
        <w:ind w:left="900"/>
        <w:spacing w:after="0"/>
        <w:rPr>
          <w:sz w:val="20"/>
          <w:szCs w:val="20"/>
          <w:color w:val="auto"/>
        </w:rPr>
      </w:pPr>
      <w:r>
        <w:rPr>
          <w:rFonts w:ascii="Arial" w:cs="Arial" w:eastAsia="Arial" w:hAnsi="Arial"/>
          <w:sz w:val="15"/>
          <w:szCs w:val="15"/>
          <w:color w:val="auto"/>
        </w:rPr>
        <w:t>The following table sets forth information with respect to outstanding equity awards as of December 31, 2019.</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Outstanding Equity Awards at Fiscal Year-End 2019</w:t>
      </w:r>
    </w:p>
    <w:p>
      <w:pPr>
        <w:sectPr>
          <w:pgSz w:w="11900" w:h="16838" w:orient="portrait"/>
          <w:cols w:equalWidth="0" w:num="1">
            <w:col w:w="11320"/>
          </w:cols>
          <w:pgMar w:left="220" w:top="74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4445</wp:posOffset>
            </wp:positionV>
            <wp:extent cx="58039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0390" cy="158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2"/>
          <w:szCs w:val="12"/>
          <w:color w:val="auto"/>
        </w:rPr>
        <w:t>Mr. Veltman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Mr. Holder</w:t>
      </w:r>
    </w:p>
    <w:p>
      <w:pPr>
        <w:spacing w:after="0" w:line="122" w:lineRule="exact"/>
        <w:rPr>
          <w:sz w:val="20"/>
          <w:szCs w:val="20"/>
          <w:color w:val="auto"/>
        </w:rPr>
      </w:pPr>
    </w:p>
    <w:p>
      <w:pPr>
        <w:ind w:left="100" w:right="60"/>
        <w:spacing w:after="0" w:line="283" w:lineRule="auto"/>
        <w:rPr>
          <w:sz w:val="20"/>
          <w:szCs w:val="20"/>
          <w:color w:val="auto"/>
        </w:rPr>
      </w:pPr>
      <w:r>
        <w:rPr>
          <w:rFonts w:ascii="Arial" w:cs="Arial" w:eastAsia="Arial" w:hAnsi="Arial"/>
          <w:sz w:val="12"/>
          <w:szCs w:val="12"/>
          <w:color w:val="auto"/>
        </w:rPr>
        <w:t>Mr. DeByle Mr. Burwell</w:t>
      </w:r>
    </w:p>
    <w:p>
      <w:pPr>
        <w:spacing w:after="0" w:line="200" w:lineRule="exact"/>
        <w:rPr>
          <w:sz w:val="20"/>
          <w:szCs w:val="20"/>
          <w:color w:val="auto"/>
        </w:rPr>
      </w:pPr>
    </w:p>
    <w:p>
      <w:pPr>
        <w:spacing w:after="0" w:line="29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Mr. Heiter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Arial" w:cs="Arial" w:eastAsia="Arial" w:hAnsi="Arial"/>
          <w:sz w:val="12"/>
          <w:szCs w:val="12"/>
          <w:color w:val="auto"/>
        </w:rPr>
        <w:t>Mr. Qualters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Mr. Buchan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
        <w:spacing w:after="0"/>
        <w:rPr>
          <w:sz w:val="20"/>
          <w:szCs w:val="20"/>
          <w:color w:val="auto"/>
        </w:rPr>
      </w:pPr>
      <w:r>
        <w:rPr>
          <w:rFonts w:ascii="Arial" w:cs="Arial" w:eastAsia="Arial" w:hAnsi="Arial"/>
          <w:sz w:val="12"/>
          <w:szCs w:val="12"/>
          <w:color w:val="auto"/>
        </w:rPr>
        <w:t>Mr. Atkinson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Grant/Award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104267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42670" cy="762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FY 2014 Option</w:t>
      </w:r>
    </w:p>
    <w:p>
      <w:pPr>
        <w:spacing w:after="0" w:line="218" w:lineRule="auto"/>
        <w:rPr>
          <w:sz w:val="20"/>
          <w:szCs w:val="20"/>
          <w:color w:val="auto"/>
        </w:rPr>
      </w:pPr>
      <w:r>
        <w:rPr>
          <w:rFonts w:ascii="Arial" w:cs="Arial" w:eastAsia="Arial" w:hAnsi="Arial"/>
          <w:sz w:val="13"/>
          <w:szCs w:val="13"/>
          <w:color w:val="auto"/>
        </w:rPr>
        <w:t>FY 2017 RSU</w:t>
      </w:r>
    </w:p>
    <w:p>
      <w:pPr>
        <w:spacing w:after="0" w:line="218" w:lineRule="auto"/>
        <w:rPr>
          <w:sz w:val="20"/>
          <w:szCs w:val="20"/>
          <w:color w:val="auto"/>
        </w:rPr>
      </w:pPr>
      <w:r>
        <w:rPr>
          <w:rFonts w:ascii="Arial" w:cs="Arial" w:eastAsia="Arial" w:hAnsi="Arial"/>
          <w:sz w:val="13"/>
          <w:szCs w:val="13"/>
          <w:color w:val="auto"/>
        </w:rPr>
        <w:t>FY 2018 RSU</w:t>
      </w:r>
    </w:p>
    <w:p>
      <w:pPr>
        <w:spacing w:after="0" w:line="218" w:lineRule="auto"/>
        <w:rPr>
          <w:sz w:val="20"/>
          <w:szCs w:val="20"/>
          <w:color w:val="auto"/>
        </w:rPr>
      </w:pPr>
      <w:r>
        <w:rPr>
          <w:rFonts w:ascii="Arial" w:cs="Arial" w:eastAsia="Arial" w:hAnsi="Arial"/>
          <w:sz w:val="13"/>
          <w:szCs w:val="13"/>
          <w:color w:val="auto"/>
        </w:rPr>
        <w:t>FY 2018 TSR Award</w:t>
      </w:r>
    </w:p>
    <w:p>
      <w:pPr>
        <w:spacing w:after="0" w:line="218" w:lineRule="auto"/>
        <w:rPr>
          <w:sz w:val="20"/>
          <w:szCs w:val="20"/>
          <w:color w:val="auto"/>
        </w:rPr>
      </w:pPr>
      <w:r>
        <w:rPr>
          <w:rFonts w:ascii="Arial" w:cs="Arial" w:eastAsia="Arial" w:hAnsi="Arial"/>
          <w:sz w:val="13"/>
          <w:szCs w:val="13"/>
          <w:color w:val="auto"/>
        </w:rPr>
        <w:t>FY 2018 ROIC Award</w:t>
      </w:r>
    </w:p>
    <w:p>
      <w:pPr>
        <w:spacing w:after="0" w:line="218" w:lineRule="auto"/>
        <w:rPr>
          <w:sz w:val="20"/>
          <w:szCs w:val="20"/>
          <w:color w:val="auto"/>
        </w:rPr>
      </w:pPr>
      <w:r>
        <w:rPr>
          <w:rFonts w:ascii="Arial" w:cs="Arial" w:eastAsia="Arial" w:hAnsi="Arial"/>
          <w:sz w:val="13"/>
          <w:szCs w:val="13"/>
          <w:color w:val="auto"/>
        </w:rPr>
        <w:t>FY 2019 RSU</w:t>
      </w:r>
    </w:p>
    <w:p>
      <w:pPr>
        <w:spacing w:after="0" w:line="218" w:lineRule="auto"/>
        <w:rPr>
          <w:sz w:val="20"/>
          <w:szCs w:val="20"/>
          <w:color w:val="auto"/>
        </w:rPr>
      </w:pPr>
      <w:r>
        <w:rPr>
          <w:rFonts w:ascii="Arial" w:cs="Arial" w:eastAsia="Arial" w:hAnsi="Arial"/>
          <w:sz w:val="13"/>
          <w:szCs w:val="13"/>
          <w:color w:val="auto"/>
        </w:rPr>
        <w:t>FY 2019 TSR Award</w:t>
      </w:r>
    </w:p>
    <w:p>
      <w:pPr>
        <w:spacing w:after="0" w:line="218" w:lineRule="auto"/>
        <w:rPr>
          <w:sz w:val="20"/>
          <w:szCs w:val="20"/>
          <w:color w:val="auto"/>
        </w:rPr>
      </w:pPr>
      <w:r>
        <w:rPr>
          <w:rFonts w:ascii="Arial" w:cs="Arial" w:eastAsia="Arial" w:hAnsi="Arial"/>
          <w:sz w:val="13"/>
          <w:szCs w:val="13"/>
          <w:color w:val="auto"/>
        </w:rPr>
        <w:t>FY 2019 ROIC Award</w:t>
      </w:r>
    </w:p>
    <w:p>
      <w:pPr>
        <w:spacing w:after="0" w:line="218" w:lineRule="auto"/>
        <w:rPr>
          <w:sz w:val="20"/>
          <w:szCs w:val="20"/>
          <w:color w:val="auto"/>
        </w:rPr>
      </w:pPr>
      <w:r>
        <w:rPr>
          <w:rFonts w:ascii="Arial" w:cs="Arial" w:eastAsia="Arial" w:hAnsi="Arial"/>
          <w:sz w:val="13"/>
          <w:szCs w:val="13"/>
          <w:color w:val="auto"/>
        </w:rPr>
        <w:t>FY 2013 Option</w:t>
      </w:r>
    </w:p>
    <w:p>
      <w:pPr>
        <w:spacing w:after="0" w:line="218" w:lineRule="auto"/>
        <w:rPr>
          <w:sz w:val="20"/>
          <w:szCs w:val="20"/>
          <w:color w:val="auto"/>
        </w:rPr>
      </w:pPr>
      <w:r>
        <w:rPr>
          <w:rFonts w:ascii="Arial" w:cs="Arial" w:eastAsia="Arial" w:hAnsi="Arial"/>
          <w:sz w:val="13"/>
          <w:szCs w:val="13"/>
          <w:color w:val="auto"/>
        </w:rPr>
        <w:t>FY 2014 Option</w:t>
      </w:r>
    </w:p>
    <w:p>
      <w:pPr>
        <w:spacing w:after="0" w:line="218" w:lineRule="auto"/>
        <w:rPr>
          <w:sz w:val="20"/>
          <w:szCs w:val="20"/>
          <w:color w:val="auto"/>
        </w:rPr>
      </w:pPr>
      <w:r>
        <w:rPr>
          <w:rFonts w:ascii="Arial" w:cs="Arial" w:eastAsia="Arial" w:hAnsi="Arial"/>
          <w:sz w:val="13"/>
          <w:szCs w:val="13"/>
          <w:color w:val="auto"/>
        </w:rPr>
        <w:t>FY 2019 RSU</w:t>
      </w:r>
    </w:p>
    <w:p>
      <w:pPr>
        <w:spacing w:after="0" w:line="218" w:lineRule="auto"/>
        <w:rPr>
          <w:sz w:val="20"/>
          <w:szCs w:val="20"/>
          <w:color w:val="auto"/>
        </w:rPr>
      </w:pPr>
      <w:r>
        <w:rPr>
          <w:rFonts w:ascii="Arial" w:cs="Arial" w:eastAsia="Arial" w:hAnsi="Arial"/>
          <w:sz w:val="13"/>
          <w:szCs w:val="13"/>
          <w:color w:val="auto"/>
        </w:rPr>
        <w:t>FY 2011 Option</w:t>
      </w:r>
    </w:p>
    <w:p>
      <w:pPr>
        <w:spacing w:after="0" w:line="219" w:lineRule="auto"/>
        <w:rPr>
          <w:sz w:val="20"/>
          <w:szCs w:val="20"/>
          <w:color w:val="auto"/>
        </w:rPr>
      </w:pPr>
      <w:r>
        <w:rPr>
          <w:rFonts w:ascii="Arial" w:cs="Arial" w:eastAsia="Arial" w:hAnsi="Arial"/>
          <w:sz w:val="13"/>
          <w:szCs w:val="13"/>
          <w:color w:val="auto"/>
        </w:rPr>
        <w:t>FY 2012 Option</w:t>
      </w:r>
    </w:p>
    <w:p>
      <w:pPr>
        <w:spacing w:after="0" w:line="218" w:lineRule="auto"/>
        <w:rPr>
          <w:sz w:val="20"/>
          <w:szCs w:val="20"/>
          <w:color w:val="auto"/>
        </w:rPr>
      </w:pPr>
      <w:r>
        <w:rPr>
          <w:rFonts w:ascii="Arial" w:cs="Arial" w:eastAsia="Arial" w:hAnsi="Arial"/>
          <w:sz w:val="13"/>
          <w:szCs w:val="13"/>
          <w:color w:val="auto"/>
        </w:rPr>
        <w:t>FY 2013 Option</w:t>
      </w:r>
    </w:p>
    <w:p>
      <w:pPr>
        <w:spacing w:after="0" w:line="218" w:lineRule="auto"/>
        <w:rPr>
          <w:sz w:val="20"/>
          <w:szCs w:val="20"/>
          <w:color w:val="auto"/>
        </w:rPr>
      </w:pPr>
      <w:r>
        <w:rPr>
          <w:rFonts w:ascii="Arial" w:cs="Arial" w:eastAsia="Arial" w:hAnsi="Arial"/>
          <w:sz w:val="13"/>
          <w:szCs w:val="13"/>
          <w:color w:val="auto"/>
        </w:rPr>
        <w:t>FY 2014 Option</w:t>
      </w:r>
    </w:p>
    <w:p>
      <w:pPr>
        <w:spacing w:after="0" w:line="218" w:lineRule="auto"/>
        <w:rPr>
          <w:sz w:val="20"/>
          <w:szCs w:val="20"/>
          <w:color w:val="auto"/>
        </w:rPr>
      </w:pPr>
      <w:r>
        <w:rPr>
          <w:rFonts w:ascii="Arial" w:cs="Arial" w:eastAsia="Arial" w:hAnsi="Arial"/>
          <w:sz w:val="13"/>
          <w:szCs w:val="13"/>
          <w:color w:val="auto"/>
        </w:rPr>
        <w:t>FY 2017 Option</w:t>
      </w:r>
    </w:p>
    <w:p>
      <w:pPr>
        <w:spacing w:after="0" w:line="218" w:lineRule="auto"/>
        <w:rPr>
          <w:sz w:val="20"/>
          <w:szCs w:val="20"/>
          <w:color w:val="auto"/>
        </w:rPr>
      </w:pPr>
      <w:r>
        <w:rPr>
          <w:rFonts w:ascii="Arial" w:cs="Arial" w:eastAsia="Arial" w:hAnsi="Arial"/>
          <w:sz w:val="13"/>
          <w:szCs w:val="13"/>
          <w:color w:val="auto"/>
        </w:rPr>
        <w:t>FY 2017 RSU</w:t>
      </w:r>
    </w:p>
    <w:p>
      <w:pPr>
        <w:spacing w:after="0" w:line="218" w:lineRule="auto"/>
        <w:rPr>
          <w:sz w:val="20"/>
          <w:szCs w:val="20"/>
          <w:color w:val="auto"/>
        </w:rPr>
      </w:pPr>
      <w:r>
        <w:rPr>
          <w:rFonts w:ascii="Arial" w:cs="Arial" w:eastAsia="Arial" w:hAnsi="Arial"/>
          <w:sz w:val="13"/>
          <w:szCs w:val="13"/>
          <w:color w:val="auto"/>
        </w:rPr>
        <w:t>FY 2018 RSU</w:t>
      </w:r>
    </w:p>
    <w:p>
      <w:pPr>
        <w:spacing w:after="0" w:line="218" w:lineRule="auto"/>
        <w:rPr>
          <w:sz w:val="20"/>
          <w:szCs w:val="20"/>
          <w:color w:val="auto"/>
        </w:rPr>
      </w:pPr>
      <w:r>
        <w:rPr>
          <w:rFonts w:ascii="Arial" w:cs="Arial" w:eastAsia="Arial" w:hAnsi="Arial"/>
          <w:sz w:val="13"/>
          <w:szCs w:val="13"/>
          <w:color w:val="auto"/>
        </w:rPr>
        <w:t>FY 2018 TSR Award</w:t>
      </w:r>
    </w:p>
    <w:p>
      <w:pPr>
        <w:spacing w:after="0" w:line="218" w:lineRule="auto"/>
        <w:rPr>
          <w:sz w:val="20"/>
          <w:szCs w:val="20"/>
          <w:color w:val="auto"/>
        </w:rPr>
      </w:pPr>
      <w:r>
        <w:rPr>
          <w:rFonts w:ascii="Arial" w:cs="Arial" w:eastAsia="Arial" w:hAnsi="Arial"/>
          <w:sz w:val="13"/>
          <w:szCs w:val="13"/>
          <w:color w:val="auto"/>
        </w:rPr>
        <w:t>FY 2018 ROIC Award</w:t>
      </w:r>
    </w:p>
    <w:p>
      <w:pPr>
        <w:spacing w:after="0" w:line="218" w:lineRule="auto"/>
        <w:rPr>
          <w:sz w:val="20"/>
          <w:szCs w:val="20"/>
          <w:color w:val="auto"/>
        </w:rPr>
      </w:pPr>
      <w:r>
        <w:rPr>
          <w:rFonts w:ascii="Arial" w:cs="Arial" w:eastAsia="Arial" w:hAnsi="Arial"/>
          <w:sz w:val="13"/>
          <w:szCs w:val="13"/>
          <w:color w:val="auto"/>
        </w:rPr>
        <w:t>FY 2019 RSU</w:t>
      </w:r>
    </w:p>
    <w:p>
      <w:pPr>
        <w:spacing w:after="0" w:line="218" w:lineRule="auto"/>
        <w:rPr>
          <w:sz w:val="20"/>
          <w:szCs w:val="20"/>
          <w:color w:val="auto"/>
        </w:rPr>
      </w:pPr>
      <w:r>
        <w:rPr>
          <w:rFonts w:ascii="Arial" w:cs="Arial" w:eastAsia="Arial" w:hAnsi="Arial"/>
          <w:sz w:val="13"/>
          <w:szCs w:val="13"/>
          <w:color w:val="auto"/>
        </w:rPr>
        <w:t>FY 2019 TSR Award</w:t>
      </w:r>
    </w:p>
    <w:p>
      <w:pPr>
        <w:spacing w:after="0" w:line="218" w:lineRule="auto"/>
        <w:rPr>
          <w:sz w:val="20"/>
          <w:szCs w:val="20"/>
          <w:color w:val="auto"/>
        </w:rPr>
      </w:pPr>
      <w:r>
        <w:rPr>
          <w:rFonts w:ascii="Arial" w:cs="Arial" w:eastAsia="Arial" w:hAnsi="Arial"/>
          <w:sz w:val="13"/>
          <w:szCs w:val="13"/>
          <w:color w:val="auto"/>
        </w:rPr>
        <w:t>FY 2019 ROIC Award</w:t>
      </w:r>
    </w:p>
    <w:p>
      <w:pPr>
        <w:spacing w:after="0" w:line="218" w:lineRule="auto"/>
        <w:rPr>
          <w:sz w:val="20"/>
          <w:szCs w:val="20"/>
          <w:color w:val="auto"/>
        </w:rPr>
      </w:pPr>
      <w:r>
        <w:rPr>
          <w:rFonts w:ascii="Arial" w:cs="Arial" w:eastAsia="Arial" w:hAnsi="Arial"/>
          <w:sz w:val="13"/>
          <w:szCs w:val="13"/>
          <w:color w:val="auto"/>
        </w:rPr>
        <w:t>FY 2014 Option</w:t>
      </w:r>
    </w:p>
    <w:p>
      <w:pPr>
        <w:spacing w:after="0" w:line="219" w:lineRule="auto"/>
        <w:rPr>
          <w:sz w:val="20"/>
          <w:szCs w:val="20"/>
          <w:color w:val="auto"/>
        </w:rPr>
      </w:pPr>
      <w:r>
        <w:rPr>
          <w:rFonts w:ascii="Arial" w:cs="Arial" w:eastAsia="Arial" w:hAnsi="Arial"/>
          <w:sz w:val="13"/>
          <w:szCs w:val="13"/>
          <w:color w:val="auto"/>
        </w:rPr>
        <w:t>FY 2015 Option</w:t>
      </w:r>
    </w:p>
    <w:p>
      <w:pPr>
        <w:spacing w:after="0" w:line="218" w:lineRule="auto"/>
        <w:rPr>
          <w:sz w:val="20"/>
          <w:szCs w:val="20"/>
          <w:color w:val="auto"/>
        </w:rPr>
      </w:pPr>
      <w:r>
        <w:rPr>
          <w:rFonts w:ascii="Arial" w:cs="Arial" w:eastAsia="Arial" w:hAnsi="Arial"/>
          <w:sz w:val="13"/>
          <w:szCs w:val="13"/>
          <w:color w:val="auto"/>
        </w:rPr>
        <w:t>FY 2017 RSU</w:t>
      </w:r>
    </w:p>
    <w:p>
      <w:pPr>
        <w:spacing w:after="0" w:line="218" w:lineRule="auto"/>
        <w:rPr>
          <w:sz w:val="20"/>
          <w:szCs w:val="20"/>
          <w:color w:val="auto"/>
        </w:rPr>
      </w:pPr>
      <w:r>
        <w:rPr>
          <w:rFonts w:ascii="Arial" w:cs="Arial" w:eastAsia="Arial" w:hAnsi="Arial"/>
          <w:sz w:val="13"/>
          <w:szCs w:val="13"/>
          <w:color w:val="auto"/>
        </w:rPr>
        <w:t>FY 2018 RSU</w:t>
      </w:r>
    </w:p>
    <w:p>
      <w:pPr>
        <w:spacing w:after="0" w:line="218" w:lineRule="auto"/>
        <w:rPr>
          <w:sz w:val="20"/>
          <w:szCs w:val="20"/>
          <w:color w:val="auto"/>
        </w:rPr>
      </w:pPr>
      <w:r>
        <w:rPr>
          <w:rFonts w:ascii="Arial" w:cs="Arial" w:eastAsia="Arial" w:hAnsi="Arial"/>
          <w:sz w:val="13"/>
          <w:szCs w:val="13"/>
          <w:color w:val="auto"/>
        </w:rPr>
        <w:t>FY 2018 TSR Award</w:t>
      </w:r>
    </w:p>
    <w:p>
      <w:pPr>
        <w:spacing w:after="0" w:line="218" w:lineRule="auto"/>
        <w:rPr>
          <w:sz w:val="20"/>
          <w:szCs w:val="20"/>
          <w:color w:val="auto"/>
        </w:rPr>
      </w:pPr>
      <w:r>
        <w:rPr>
          <w:rFonts w:ascii="Arial" w:cs="Arial" w:eastAsia="Arial" w:hAnsi="Arial"/>
          <w:sz w:val="13"/>
          <w:szCs w:val="13"/>
          <w:color w:val="auto"/>
        </w:rPr>
        <w:t>FY 2018 ROIC Award</w:t>
      </w:r>
    </w:p>
    <w:p>
      <w:pPr>
        <w:spacing w:after="0" w:line="218" w:lineRule="auto"/>
        <w:rPr>
          <w:sz w:val="20"/>
          <w:szCs w:val="20"/>
          <w:color w:val="auto"/>
        </w:rPr>
      </w:pPr>
      <w:r>
        <w:rPr>
          <w:rFonts w:ascii="Arial" w:cs="Arial" w:eastAsia="Arial" w:hAnsi="Arial"/>
          <w:sz w:val="13"/>
          <w:szCs w:val="13"/>
          <w:color w:val="auto"/>
        </w:rPr>
        <w:t>FY 2019 RSU</w:t>
      </w:r>
    </w:p>
    <w:p>
      <w:pPr>
        <w:spacing w:after="0" w:line="218" w:lineRule="auto"/>
        <w:rPr>
          <w:sz w:val="20"/>
          <w:szCs w:val="20"/>
          <w:color w:val="auto"/>
        </w:rPr>
      </w:pPr>
      <w:r>
        <w:rPr>
          <w:rFonts w:ascii="Arial" w:cs="Arial" w:eastAsia="Arial" w:hAnsi="Arial"/>
          <w:sz w:val="13"/>
          <w:szCs w:val="13"/>
          <w:color w:val="auto"/>
        </w:rPr>
        <w:t>FY 2019 TSR Award</w:t>
      </w:r>
    </w:p>
    <w:p>
      <w:pPr>
        <w:spacing w:after="0" w:line="218" w:lineRule="auto"/>
        <w:rPr>
          <w:sz w:val="20"/>
          <w:szCs w:val="20"/>
          <w:color w:val="auto"/>
        </w:rPr>
      </w:pPr>
      <w:r>
        <w:rPr>
          <w:rFonts w:ascii="Arial" w:cs="Arial" w:eastAsia="Arial" w:hAnsi="Arial"/>
          <w:sz w:val="13"/>
          <w:szCs w:val="13"/>
          <w:color w:val="auto"/>
        </w:rPr>
        <w:t>FY 2019 ROIC Award</w:t>
      </w:r>
    </w:p>
    <w:p>
      <w:pPr>
        <w:spacing w:after="0" w:line="218" w:lineRule="auto"/>
        <w:rPr>
          <w:sz w:val="20"/>
          <w:szCs w:val="20"/>
          <w:color w:val="auto"/>
        </w:rPr>
      </w:pPr>
      <w:r>
        <w:rPr>
          <w:rFonts w:ascii="Arial" w:cs="Arial" w:eastAsia="Arial" w:hAnsi="Arial"/>
          <w:sz w:val="13"/>
          <w:szCs w:val="13"/>
          <w:color w:val="auto"/>
        </w:rPr>
        <w:t>FY 2014 Option</w:t>
      </w:r>
    </w:p>
    <w:p>
      <w:pPr>
        <w:spacing w:after="0" w:line="218" w:lineRule="auto"/>
        <w:rPr>
          <w:sz w:val="20"/>
          <w:szCs w:val="20"/>
          <w:color w:val="auto"/>
        </w:rPr>
      </w:pPr>
      <w:r>
        <w:rPr>
          <w:rFonts w:ascii="Arial" w:cs="Arial" w:eastAsia="Arial" w:hAnsi="Arial"/>
          <w:sz w:val="13"/>
          <w:szCs w:val="13"/>
          <w:color w:val="auto"/>
        </w:rPr>
        <w:t>FY 2015 Option</w:t>
      </w:r>
    </w:p>
    <w:p>
      <w:pPr>
        <w:spacing w:after="0" w:line="218" w:lineRule="auto"/>
        <w:rPr>
          <w:sz w:val="20"/>
          <w:szCs w:val="20"/>
          <w:color w:val="auto"/>
        </w:rPr>
      </w:pPr>
      <w:r>
        <w:rPr>
          <w:rFonts w:ascii="Arial" w:cs="Arial" w:eastAsia="Arial" w:hAnsi="Arial"/>
          <w:sz w:val="13"/>
          <w:szCs w:val="13"/>
          <w:color w:val="auto"/>
        </w:rPr>
        <w:t>FY 2016 Option</w:t>
      </w:r>
    </w:p>
    <w:p>
      <w:pPr>
        <w:spacing w:after="0" w:line="219" w:lineRule="auto"/>
        <w:rPr>
          <w:sz w:val="20"/>
          <w:szCs w:val="20"/>
          <w:color w:val="auto"/>
        </w:rPr>
      </w:pPr>
      <w:r>
        <w:rPr>
          <w:rFonts w:ascii="Arial" w:cs="Arial" w:eastAsia="Arial" w:hAnsi="Arial"/>
          <w:sz w:val="13"/>
          <w:szCs w:val="13"/>
          <w:color w:val="auto"/>
        </w:rPr>
        <w:t>FY 2017 Option</w:t>
      </w:r>
    </w:p>
    <w:p>
      <w:pPr>
        <w:spacing w:after="0" w:line="218" w:lineRule="auto"/>
        <w:rPr>
          <w:sz w:val="20"/>
          <w:szCs w:val="20"/>
          <w:color w:val="auto"/>
        </w:rPr>
      </w:pPr>
      <w:r>
        <w:rPr>
          <w:rFonts w:ascii="Arial" w:cs="Arial" w:eastAsia="Arial" w:hAnsi="Arial"/>
          <w:sz w:val="13"/>
          <w:szCs w:val="13"/>
          <w:color w:val="auto"/>
        </w:rPr>
        <w:t>FY 2017 RSU</w:t>
      </w:r>
    </w:p>
    <w:p>
      <w:pPr>
        <w:spacing w:after="0" w:line="218" w:lineRule="auto"/>
        <w:rPr>
          <w:sz w:val="20"/>
          <w:szCs w:val="20"/>
          <w:color w:val="auto"/>
        </w:rPr>
      </w:pPr>
      <w:r>
        <w:rPr>
          <w:rFonts w:ascii="Arial" w:cs="Arial" w:eastAsia="Arial" w:hAnsi="Arial"/>
          <w:sz w:val="13"/>
          <w:szCs w:val="13"/>
          <w:color w:val="auto"/>
        </w:rPr>
        <w:t>FY 2018 Option</w:t>
      </w:r>
    </w:p>
    <w:p>
      <w:pPr>
        <w:spacing w:after="0" w:line="218" w:lineRule="auto"/>
        <w:rPr>
          <w:sz w:val="20"/>
          <w:szCs w:val="20"/>
          <w:color w:val="auto"/>
        </w:rPr>
      </w:pPr>
      <w:r>
        <w:rPr>
          <w:rFonts w:ascii="Arial" w:cs="Arial" w:eastAsia="Arial" w:hAnsi="Arial"/>
          <w:sz w:val="13"/>
          <w:szCs w:val="13"/>
          <w:color w:val="auto"/>
        </w:rPr>
        <w:t>FY 2018 RSU</w:t>
      </w:r>
    </w:p>
    <w:p>
      <w:pPr>
        <w:spacing w:after="0" w:line="218" w:lineRule="auto"/>
        <w:rPr>
          <w:sz w:val="20"/>
          <w:szCs w:val="20"/>
          <w:color w:val="auto"/>
        </w:rPr>
      </w:pPr>
      <w:r>
        <w:rPr>
          <w:rFonts w:ascii="Arial" w:cs="Arial" w:eastAsia="Arial" w:hAnsi="Arial"/>
          <w:sz w:val="13"/>
          <w:szCs w:val="13"/>
          <w:color w:val="auto"/>
        </w:rPr>
        <w:t>FY 2019 Option</w:t>
      </w:r>
    </w:p>
    <w:p>
      <w:pPr>
        <w:spacing w:after="0" w:line="218" w:lineRule="auto"/>
        <w:rPr>
          <w:sz w:val="20"/>
          <w:szCs w:val="20"/>
          <w:color w:val="auto"/>
        </w:rPr>
      </w:pPr>
      <w:r>
        <w:rPr>
          <w:rFonts w:ascii="Arial" w:cs="Arial" w:eastAsia="Arial" w:hAnsi="Arial"/>
          <w:sz w:val="13"/>
          <w:szCs w:val="13"/>
          <w:color w:val="auto"/>
        </w:rPr>
        <w:t>FY 2019 RSU</w:t>
      </w:r>
    </w:p>
    <w:p>
      <w:pPr>
        <w:spacing w:after="0" w:line="230" w:lineRule="auto"/>
        <w:rPr>
          <w:sz w:val="20"/>
          <w:szCs w:val="20"/>
          <w:color w:val="auto"/>
        </w:rPr>
      </w:pPr>
      <w:r>
        <w:rPr>
          <w:rFonts w:ascii="Arial" w:cs="Arial" w:eastAsia="Arial" w:hAnsi="Arial"/>
          <w:sz w:val="13"/>
          <w:szCs w:val="13"/>
          <w:color w:val="auto"/>
        </w:rPr>
        <w:t>FY 2017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line="234" w:lineRule="auto"/>
        <w:rPr>
          <w:sz w:val="20"/>
          <w:szCs w:val="20"/>
          <w:color w:val="auto"/>
        </w:rPr>
      </w:pPr>
      <w:r>
        <w:rPr>
          <w:rFonts w:ascii="Arial" w:cs="Arial" w:eastAsia="Arial" w:hAnsi="Arial"/>
          <w:sz w:val="11"/>
          <w:szCs w:val="11"/>
          <w:b w:val="1"/>
          <w:bCs w:val="1"/>
          <w:color w:val="auto"/>
        </w:rPr>
        <w:t xml:space="preserve">Number of Securities Underlying Unexercised Options Exercisable </w:t>
      </w: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-1905</wp:posOffset>
            </wp:positionV>
            <wp:extent cx="56451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jc w:val="right"/>
        <w:spacing w:after="0" w:line="221" w:lineRule="auto"/>
        <w:rPr>
          <w:sz w:val="20"/>
          <w:szCs w:val="20"/>
          <w:color w:val="auto"/>
        </w:rPr>
      </w:pPr>
      <w:r>
        <w:rPr>
          <w:rFonts w:ascii="Arial" w:cs="Arial" w:eastAsia="Arial" w:hAnsi="Arial"/>
          <w:sz w:val="13"/>
          <w:szCs w:val="13"/>
          <w:color w:val="auto"/>
        </w:rPr>
        <w:t>3,000</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100,000</w:t>
      </w:r>
    </w:p>
    <w:p>
      <w:pPr>
        <w:jc w:val="right"/>
        <w:spacing w:after="0" w:line="218" w:lineRule="auto"/>
        <w:rPr>
          <w:sz w:val="20"/>
          <w:szCs w:val="20"/>
          <w:color w:val="auto"/>
        </w:rPr>
      </w:pPr>
      <w:r>
        <w:rPr>
          <w:rFonts w:ascii="Arial" w:cs="Arial" w:eastAsia="Arial" w:hAnsi="Arial"/>
          <w:sz w:val="13"/>
          <w:szCs w:val="13"/>
          <w:color w:val="auto"/>
        </w:rPr>
        <w:t>25,000</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9" w:lineRule="auto"/>
        <w:rPr>
          <w:sz w:val="20"/>
          <w:szCs w:val="20"/>
          <w:color w:val="auto"/>
        </w:rPr>
      </w:pPr>
      <w:r>
        <w:rPr>
          <w:rFonts w:ascii="Arial" w:cs="Arial" w:eastAsia="Arial" w:hAnsi="Arial"/>
          <w:sz w:val="13"/>
          <w:szCs w:val="13"/>
          <w:color w:val="auto"/>
        </w:rPr>
        <w:t>6,000</w:t>
      </w:r>
    </w:p>
    <w:p>
      <w:pPr>
        <w:jc w:val="right"/>
        <w:spacing w:after="0" w:line="218" w:lineRule="auto"/>
        <w:rPr>
          <w:sz w:val="20"/>
          <w:szCs w:val="20"/>
          <w:color w:val="auto"/>
        </w:rPr>
      </w:pPr>
      <w:r>
        <w:rPr>
          <w:rFonts w:ascii="Arial" w:cs="Arial" w:eastAsia="Arial" w:hAnsi="Arial"/>
          <w:sz w:val="13"/>
          <w:szCs w:val="13"/>
          <w:color w:val="auto"/>
        </w:rPr>
        <w:t>6,000</w:t>
      </w:r>
    </w:p>
    <w:p>
      <w:pPr>
        <w:jc w:val="right"/>
        <w:spacing w:after="0" w:line="218" w:lineRule="auto"/>
        <w:rPr>
          <w:sz w:val="20"/>
          <w:szCs w:val="20"/>
          <w:color w:val="auto"/>
        </w:rPr>
      </w:pPr>
      <w:r>
        <w:rPr>
          <w:rFonts w:ascii="Arial" w:cs="Arial" w:eastAsia="Arial" w:hAnsi="Arial"/>
          <w:sz w:val="13"/>
          <w:szCs w:val="13"/>
          <w:color w:val="auto"/>
        </w:rPr>
        <w:t>11,000</w:t>
      </w:r>
    </w:p>
    <w:p>
      <w:pPr>
        <w:jc w:val="right"/>
        <w:spacing w:after="0" w:line="218" w:lineRule="auto"/>
        <w:rPr>
          <w:sz w:val="20"/>
          <w:szCs w:val="20"/>
          <w:color w:val="auto"/>
        </w:rPr>
      </w:pPr>
      <w:r>
        <w:rPr>
          <w:rFonts w:ascii="Arial" w:cs="Arial" w:eastAsia="Arial" w:hAnsi="Arial"/>
          <w:sz w:val="13"/>
          <w:szCs w:val="13"/>
          <w:color w:val="auto"/>
        </w:rPr>
        <w:t>3,000</w:t>
      </w:r>
    </w:p>
    <w:p>
      <w:pPr>
        <w:jc w:val="right"/>
        <w:spacing w:after="0" w:line="218" w:lineRule="auto"/>
        <w:rPr>
          <w:sz w:val="20"/>
          <w:szCs w:val="20"/>
          <w:color w:val="auto"/>
        </w:rPr>
      </w:pPr>
      <w:r>
        <w:rPr>
          <w:rFonts w:ascii="Arial" w:cs="Arial" w:eastAsia="Arial" w:hAnsi="Arial"/>
          <w:sz w:val="13"/>
          <w:szCs w:val="13"/>
          <w:color w:val="auto"/>
        </w:rPr>
        <w:t>21,500</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9"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2,300</w:t>
      </w:r>
    </w:p>
    <w:p>
      <w:pPr>
        <w:jc w:val="right"/>
        <w:spacing w:after="0" w:line="218" w:lineRule="auto"/>
        <w:rPr>
          <w:sz w:val="20"/>
          <w:szCs w:val="20"/>
          <w:color w:val="auto"/>
        </w:rPr>
      </w:pPr>
      <w:r>
        <w:rPr>
          <w:rFonts w:ascii="Arial" w:cs="Arial" w:eastAsia="Arial" w:hAnsi="Arial"/>
          <w:sz w:val="13"/>
          <w:szCs w:val="13"/>
          <w:color w:val="auto"/>
        </w:rPr>
        <w:t>3,000</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2,300</w:t>
      </w:r>
    </w:p>
    <w:p>
      <w:pPr>
        <w:jc w:val="right"/>
        <w:spacing w:after="0" w:line="218" w:lineRule="auto"/>
        <w:rPr>
          <w:sz w:val="20"/>
          <w:szCs w:val="20"/>
          <w:color w:val="auto"/>
        </w:rPr>
      </w:pPr>
      <w:r>
        <w:rPr>
          <w:rFonts w:ascii="Arial" w:cs="Arial" w:eastAsia="Arial" w:hAnsi="Arial"/>
          <w:sz w:val="13"/>
          <w:szCs w:val="13"/>
          <w:color w:val="auto"/>
        </w:rPr>
        <w:t>4,000</w:t>
      </w:r>
    </w:p>
    <w:p>
      <w:pPr>
        <w:jc w:val="right"/>
        <w:spacing w:after="0" w:line="219" w:lineRule="auto"/>
        <w:rPr>
          <w:sz w:val="20"/>
          <w:szCs w:val="20"/>
          <w:color w:val="auto"/>
        </w:rPr>
      </w:pPr>
      <w:r>
        <w:rPr>
          <w:rFonts w:ascii="Arial" w:cs="Arial" w:eastAsia="Arial" w:hAnsi="Arial"/>
          <w:sz w:val="13"/>
          <w:szCs w:val="13"/>
          <w:color w:val="auto"/>
        </w:rPr>
        <w:t>8,400</w:t>
      </w:r>
    </w:p>
    <w:p>
      <w:pPr>
        <w:jc w:val="right"/>
        <w:spacing w:after="0" w:line="218" w:lineRule="auto"/>
        <w:rPr>
          <w:sz w:val="20"/>
          <w:szCs w:val="20"/>
          <w:color w:val="auto"/>
        </w:rPr>
      </w:pPr>
      <w:r>
        <w:rPr>
          <w:rFonts w:ascii="Arial" w:cs="Arial" w:eastAsia="Arial" w:hAnsi="Arial"/>
          <w:sz w:val="13"/>
          <w:szCs w:val="13"/>
          <w:color w:val="auto"/>
        </w:rPr>
        <w:t>2,667</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1,434</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18" w:lineRule="auto"/>
        <w:rPr>
          <w:sz w:val="20"/>
          <w:szCs w:val="20"/>
          <w:color w:val="auto"/>
        </w:rPr>
      </w:pPr>
      <w:r>
        <w:rPr>
          <w:rFonts w:ascii="Arial" w:cs="Arial" w:eastAsia="Arial" w:hAnsi="Arial"/>
          <w:sz w:val="13"/>
          <w:szCs w:val="13"/>
          <w:color w:val="auto"/>
        </w:rPr>
        <w:t>—</w:t>
      </w:r>
    </w:p>
    <w:p>
      <w:pPr>
        <w:jc w:val="right"/>
        <w:spacing w:after="0" w:line="230" w:lineRule="auto"/>
        <w:rPr>
          <w:sz w:val="20"/>
          <w:szCs w:val="20"/>
          <w:color w:val="auto"/>
        </w:rPr>
      </w:pPr>
      <w:r>
        <w:rPr>
          <w:rFonts w:ascii="Arial" w:cs="Arial" w:eastAsia="Arial" w:hAnsi="Arial"/>
          <w:sz w:val="13"/>
          <w:szCs w:val="13"/>
          <w:color w:val="auto"/>
        </w:rPr>
        <w:t>8,800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169"/>
        </w:trPr>
        <w:tc>
          <w:tcPr>
            <w:tcW w:w="78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b w:val="1"/>
                <w:bCs w:val="1"/>
                <w:color w:val="auto"/>
              </w:rPr>
              <w:t>Option Awards</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3"/>
                <w:szCs w:val="13"/>
                <w:b w:val="1"/>
                <w:bCs w:val="1"/>
                <w:color w:val="auto"/>
                <w:w w:val="90"/>
              </w:rPr>
              <w:t>Stock Awards</w:t>
            </w:r>
          </w:p>
        </w:tc>
        <w:tc>
          <w:tcPr>
            <w:tcW w:w="960" w:type="dxa"/>
            <w:vAlign w:val="bottom"/>
          </w:tcPr>
          <w:p>
            <w:pPr>
              <w:spacing w:after="0"/>
              <w:rPr>
                <w:sz w:val="14"/>
                <w:szCs w:val="14"/>
                <w:color w:val="auto"/>
              </w:rPr>
            </w:pPr>
          </w:p>
        </w:tc>
        <w:tc>
          <w:tcPr>
            <w:tcW w:w="900" w:type="dxa"/>
            <w:vAlign w:val="bottom"/>
            <w:vMerge w:val="restart"/>
          </w:tcPr>
          <w:p>
            <w:pPr>
              <w:jc w:val="center"/>
              <w:ind w:left="294"/>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02"/>
        </w:trPr>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jc w:val="center"/>
              <w:ind w:right="274"/>
              <w:spacing w:after="0" w:line="136" w:lineRule="exact"/>
              <w:rPr>
                <w:sz w:val="20"/>
                <w:szCs w:val="20"/>
                <w:color w:val="auto"/>
              </w:rPr>
            </w:pPr>
            <w:r>
              <w:rPr>
                <w:rFonts w:ascii="Arial" w:cs="Arial" w:eastAsia="Arial" w:hAnsi="Arial"/>
                <w:sz w:val="13"/>
                <w:szCs w:val="13"/>
                <w:b w:val="1"/>
                <w:bCs w:val="1"/>
                <w:color w:val="auto"/>
                <w:w w:val="95"/>
              </w:rPr>
              <w:t>Equity</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92"/>
              </w:rPr>
              <w:t>Incentive</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2"/>
              </w:rPr>
              <w:t>Incentive</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rPr>
              <w:t>Market</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87"/>
              </w:rPr>
              <w:t>Plan</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jc w:val="center"/>
              <w:ind w:right="216"/>
              <w:spacing w:after="0" w:line="136" w:lineRule="exact"/>
              <w:rPr>
                <w:sz w:val="20"/>
                <w:szCs w:val="20"/>
                <w:color w:val="auto"/>
              </w:rPr>
            </w:pPr>
            <w:r>
              <w:rPr>
                <w:rFonts w:ascii="Arial" w:cs="Arial" w:eastAsia="Arial" w:hAnsi="Arial"/>
                <w:sz w:val="13"/>
                <w:szCs w:val="13"/>
                <w:b w:val="1"/>
                <w:bCs w:val="1"/>
                <w:color w:val="auto"/>
                <w:w w:val="92"/>
              </w:rPr>
              <w:t>Value</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3"/>
              </w:rPr>
              <w:t>Awards:</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jc w:val="center"/>
              <w:ind w:left="114"/>
              <w:spacing w:after="0" w:line="136"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81"/>
              </w:rPr>
              <w:t>of</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7"/>
              </w:rPr>
              <w:t>Number</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93"/>
              </w:rPr>
              <w:t>or Payout</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2"/>
              </w:rPr>
              <w:t>Incentive</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Number</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87"/>
              </w:rPr>
              <w:t>Shares</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7"/>
              </w:rPr>
              <w:t>of</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jc w:val="center"/>
              <w:ind w:left="114"/>
              <w:spacing w:after="0" w:line="136" w:lineRule="exact"/>
              <w:rPr>
                <w:sz w:val="20"/>
                <w:szCs w:val="20"/>
                <w:color w:val="auto"/>
              </w:rPr>
            </w:pPr>
            <w:r>
              <w:rPr>
                <w:rFonts w:ascii="Arial" w:cs="Arial" w:eastAsia="Arial" w:hAnsi="Arial"/>
                <w:sz w:val="13"/>
                <w:szCs w:val="13"/>
                <w:b w:val="1"/>
                <w:bCs w:val="1"/>
                <w:color w:val="auto"/>
                <w:w w:val="94"/>
              </w:rPr>
              <w:t>Plan</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1"/>
              </w:rPr>
              <w:t>of</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rPr>
              <w:t>or</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3"/>
              </w:rPr>
              <w:t>Unearned</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93"/>
              </w:rPr>
              <w:t>Unearned</w:t>
            </w:r>
          </w:p>
        </w:tc>
        <w:tc>
          <w:tcPr>
            <w:tcW w:w="0" w:type="dxa"/>
            <w:vAlign w:val="bottom"/>
          </w:tcPr>
          <w:p>
            <w:pPr>
              <w:spacing w:after="0"/>
              <w:rPr>
                <w:sz w:val="1"/>
                <w:szCs w:val="1"/>
                <w:color w:val="auto"/>
              </w:rPr>
            </w:pPr>
          </w:p>
        </w:tc>
      </w:tr>
      <w:tr>
        <w:trPr>
          <w:trHeight w:val="136"/>
        </w:trPr>
        <w:tc>
          <w:tcPr>
            <w:tcW w:w="780" w:type="dxa"/>
            <w:vAlign w:val="bottom"/>
          </w:tcPr>
          <w:p>
            <w:pPr>
              <w:spacing w:after="0"/>
              <w:rPr>
                <w:sz w:val="11"/>
                <w:szCs w:val="11"/>
                <w:color w:val="auto"/>
              </w:rPr>
            </w:pP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3"/>
              </w:rPr>
              <w:t>Awards:</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Shares</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92"/>
              </w:rPr>
              <w:t>Units</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85"/>
              </w:rPr>
              <w:t>Shares,</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89"/>
              </w:rPr>
              <w:t>Shares,</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Number of</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2"/>
              </w:rPr>
              <w:t>Number of</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or Units</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81"/>
              </w:rPr>
              <w:t>of</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89"/>
              </w:rPr>
              <w:t>Units or</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3"/>
              </w:rPr>
              <w:t>Units or</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6"/>
              </w:rPr>
              <w:t>Securities</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0"/>
              </w:rPr>
              <w:t>Securities</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of Stock</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84"/>
              </w:rPr>
              <w:t>Stock</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2"/>
              </w:rPr>
              <w:t>Other</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Underlying</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4"/>
              </w:rPr>
              <w:t>Underlying</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That</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94"/>
              </w:rPr>
              <w:t>That</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88"/>
              </w:rPr>
              <w:t>Rights</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Unexercised</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87"/>
              </w:rPr>
              <w:t>Unexercised</w:t>
            </w:r>
          </w:p>
        </w:tc>
        <w:tc>
          <w:tcPr>
            <w:tcW w:w="7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Option</w:t>
            </w:r>
          </w:p>
        </w:tc>
        <w:tc>
          <w:tcPr>
            <w:tcW w:w="86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6"/>
              </w:rPr>
              <w:t>Have</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96"/>
              </w:rPr>
              <w:t>Have</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rPr>
              <w:t>That</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4"/>
              </w:rPr>
              <w:t>That</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Options</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93"/>
              </w:rPr>
              <w:t>Unearned</w:t>
            </w:r>
          </w:p>
        </w:tc>
        <w:tc>
          <w:tcPr>
            <w:tcW w:w="7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5"/>
              </w:rPr>
              <w:t>Exercise</w:t>
            </w:r>
          </w:p>
        </w:tc>
        <w:tc>
          <w:tcPr>
            <w:tcW w:w="8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Option</w:t>
            </w: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Not</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rPr>
              <w:t>Not</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92"/>
              </w:rPr>
              <w:t>Have Not</w:t>
            </w:r>
          </w:p>
        </w:tc>
        <w:tc>
          <w:tcPr>
            <w:tcW w:w="900" w:type="dxa"/>
            <w:vAlign w:val="bottom"/>
          </w:tcPr>
          <w:p>
            <w:pPr>
              <w:jc w:val="center"/>
              <w:ind w:left="294"/>
              <w:spacing w:after="0" w:line="136" w:lineRule="exact"/>
              <w:rPr>
                <w:sz w:val="20"/>
                <w:szCs w:val="20"/>
                <w:color w:val="auto"/>
              </w:rPr>
            </w:pPr>
            <w:r>
              <w:rPr>
                <w:rFonts w:ascii="Arial" w:cs="Arial" w:eastAsia="Arial" w:hAnsi="Arial"/>
                <w:sz w:val="13"/>
                <w:szCs w:val="13"/>
                <w:b w:val="1"/>
                <w:bCs w:val="1"/>
                <w:color w:val="auto"/>
                <w:w w:val="95"/>
              </w:rPr>
              <w:t>Have Not</w:t>
            </w:r>
          </w:p>
        </w:tc>
        <w:tc>
          <w:tcPr>
            <w:tcW w:w="0" w:type="dxa"/>
            <w:vAlign w:val="bottom"/>
          </w:tcPr>
          <w:p>
            <w:pPr>
              <w:spacing w:after="0"/>
              <w:rPr>
                <w:sz w:val="1"/>
                <w:szCs w:val="1"/>
                <w:color w:val="auto"/>
              </w:rPr>
            </w:pPr>
          </w:p>
        </w:tc>
      </w:tr>
      <w:tr>
        <w:trPr>
          <w:trHeight w:val="136"/>
        </w:trPr>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8"/>
              </w:rPr>
              <w:t>Unexercisable</w:t>
            </w:r>
          </w:p>
        </w:tc>
        <w:tc>
          <w:tcPr>
            <w:tcW w:w="1160" w:type="dxa"/>
            <w:vAlign w:val="bottom"/>
          </w:tcPr>
          <w:p>
            <w:pPr>
              <w:jc w:val="center"/>
              <w:ind w:left="94"/>
              <w:spacing w:after="0" w:line="136" w:lineRule="exact"/>
              <w:rPr>
                <w:sz w:val="20"/>
                <w:szCs w:val="20"/>
                <w:color w:val="auto"/>
              </w:rPr>
            </w:pPr>
            <w:r>
              <w:rPr>
                <w:rFonts w:ascii="Arial" w:cs="Arial" w:eastAsia="Arial" w:hAnsi="Arial"/>
                <w:sz w:val="13"/>
                <w:szCs w:val="13"/>
                <w:b w:val="1"/>
                <w:bCs w:val="1"/>
                <w:color w:val="auto"/>
                <w:w w:val="89"/>
              </w:rPr>
              <w:t>Options</w:t>
            </w:r>
          </w:p>
        </w:tc>
        <w:tc>
          <w:tcPr>
            <w:tcW w:w="7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Price</w:t>
            </w:r>
          </w:p>
        </w:tc>
        <w:tc>
          <w:tcPr>
            <w:tcW w:w="8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Expiration</w:t>
            </w: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Vested</w:t>
            </w:r>
          </w:p>
        </w:tc>
        <w:tc>
          <w:tcPr>
            <w:tcW w:w="1040" w:type="dxa"/>
            <w:vAlign w:val="bottom"/>
          </w:tcPr>
          <w:p>
            <w:pPr>
              <w:jc w:val="center"/>
              <w:ind w:right="236"/>
              <w:spacing w:after="0" w:line="136" w:lineRule="exact"/>
              <w:rPr>
                <w:sz w:val="20"/>
                <w:szCs w:val="20"/>
                <w:color w:val="auto"/>
              </w:rPr>
            </w:pPr>
            <w:r>
              <w:rPr>
                <w:rFonts w:ascii="Arial" w:cs="Arial" w:eastAsia="Arial" w:hAnsi="Arial"/>
                <w:sz w:val="13"/>
                <w:szCs w:val="13"/>
                <w:b w:val="1"/>
                <w:bCs w:val="1"/>
                <w:color w:val="auto"/>
                <w:w w:val="89"/>
              </w:rPr>
              <w:t>Vested</w:t>
            </w:r>
          </w:p>
        </w:tc>
        <w:tc>
          <w:tcPr>
            <w:tcW w:w="960" w:type="dxa"/>
            <w:vAlign w:val="bottom"/>
          </w:tcPr>
          <w:p>
            <w:pPr>
              <w:jc w:val="center"/>
              <w:ind w:right="254"/>
              <w:spacing w:after="0" w:line="136" w:lineRule="exact"/>
              <w:rPr>
                <w:sz w:val="20"/>
                <w:szCs w:val="20"/>
                <w:color w:val="auto"/>
              </w:rPr>
            </w:pPr>
            <w:r>
              <w:rPr>
                <w:rFonts w:ascii="Arial" w:cs="Arial" w:eastAsia="Arial" w:hAnsi="Arial"/>
                <w:sz w:val="13"/>
                <w:szCs w:val="13"/>
                <w:b w:val="1"/>
                <w:bCs w:val="1"/>
                <w:color w:val="auto"/>
                <w:w w:val="84"/>
              </w:rPr>
              <w:t>Vested</w:t>
            </w:r>
          </w:p>
        </w:tc>
        <w:tc>
          <w:tcPr>
            <w:tcW w:w="900" w:type="dxa"/>
            <w:vAlign w:val="bottom"/>
          </w:tcPr>
          <w:p>
            <w:pPr>
              <w:jc w:val="center"/>
              <w:ind w:left="274"/>
              <w:spacing w:after="0" w:line="136" w:lineRule="exact"/>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56"/>
        </w:trPr>
        <w:tc>
          <w:tcPr>
            <w:tcW w:w="780" w:type="dxa"/>
            <w:vAlign w:val="bottom"/>
          </w:tcPr>
          <w:p>
            <w:pPr>
              <w:jc w:val="center"/>
              <w:spacing w:after="0" w:line="156"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(1)</w:t>
            </w:r>
          </w:p>
        </w:tc>
        <w:tc>
          <w:tcPr>
            <w:tcW w:w="1160" w:type="dxa"/>
            <w:vAlign w:val="bottom"/>
          </w:tcPr>
          <w:p>
            <w:pPr>
              <w:jc w:val="center"/>
              <w:ind w:left="94"/>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760" w:type="dxa"/>
            <w:vAlign w:val="bottom"/>
          </w:tcPr>
          <w:p>
            <w:pPr>
              <w:jc w:val="center"/>
              <w:spacing w:after="0" w:line="156"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(2)</w:t>
            </w:r>
          </w:p>
        </w:tc>
        <w:tc>
          <w:tcPr>
            <w:tcW w:w="1040" w:type="dxa"/>
            <w:vAlign w:val="bottom"/>
          </w:tcPr>
          <w:p>
            <w:pPr>
              <w:jc w:val="center"/>
              <w:ind w:right="236"/>
              <w:spacing w:after="0" w:line="156"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8"/>
                <w:szCs w:val="8"/>
                <w:b w:val="1"/>
                <w:bCs w:val="1"/>
                <w:color w:val="auto"/>
              </w:rPr>
              <w:t>(3)</w:t>
            </w:r>
          </w:p>
        </w:tc>
        <w:tc>
          <w:tcPr>
            <w:tcW w:w="960" w:type="dxa"/>
            <w:vAlign w:val="bottom"/>
          </w:tcPr>
          <w:p>
            <w:pPr>
              <w:jc w:val="center"/>
              <w:ind w:right="254"/>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ind w:left="27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40" w:type="dxa"/>
            <w:vAlign w:val="bottom"/>
          </w:tcPr>
          <w:p>
            <w:pPr>
              <w:spacing w:after="0"/>
              <w:rPr>
                <w:sz w:val="9"/>
                <w:szCs w:val="9"/>
                <w:color w:val="auto"/>
              </w:rPr>
            </w:pPr>
          </w:p>
        </w:tc>
        <w:tc>
          <w:tcPr>
            <w:tcW w:w="98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980" w:type="dxa"/>
            <w:vAlign w:val="bottom"/>
            <w:tcBorders>
              <w:top w:val="single" w:sz="8" w:color="auto"/>
            </w:tcBorders>
          </w:tcPr>
          <w:p>
            <w:pPr>
              <w:ind w:left="840"/>
              <w:spacing w:after="0" w:line="112" w:lineRule="exact"/>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9"/>
                <w:szCs w:val="9"/>
                <w:color w:val="auto"/>
              </w:rPr>
            </w:pPr>
          </w:p>
        </w:tc>
        <w:tc>
          <w:tcPr>
            <w:tcW w:w="62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rPr>
              <w:t>22.15</w:t>
            </w:r>
          </w:p>
        </w:tc>
        <w:tc>
          <w:tcPr>
            <w:tcW w:w="80" w:type="dxa"/>
            <w:vAlign w:val="bottom"/>
          </w:tcPr>
          <w:p>
            <w:pPr>
              <w:spacing w:after="0"/>
              <w:rPr>
                <w:sz w:val="9"/>
                <w:szCs w:val="9"/>
                <w:color w:val="auto"/>
              </w:rPr>
            </w:pPr>
          </w:p>
        </w:tc>
        <w:tc>
          <w:tcPr>
            <w:tcW w:w="82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rPr>
              <w:t>10/20/2024</w:t>
            </w:r>
          </w:p>
        </w:tc>
        <w:tc>
          <w:tcPr>
            <w:tcW w:w="60" w:type="dxa"/>
            <w:vAlign w:val="bottom"/>
          </w:tcPr>
          <w:p>
            <w:pPr>
              <w:spacing w:after="0"/>
              <w:rPr>
                <w:sz w:val="9"/>
                <w:szCs w:val="9"/>
                <w:color w:val="auto"/>
              </w:rPr>
            </w:pPr>
          </w:p>
        </w:tc>
        <w:tc>
          <w:tcPr>
            <w:tcW w:w="62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640" w:type="dxa"/>
            <w:vAlign w:val="bottom"/>
            <w:tcBorders>
              <w:top w:val="single" w:sz="8" w:color="auto"/>
            </w:tcBorders>
          </w:tcPr>
          <w:p>
            <w:pPr>
              <w:jc w:val="right"/>
              <w:spacing w:after="0" w:line="112"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9"/>
                <w:szCs w:val="9"/>
                <w:color w:val="auto"/>
              </w:rPr>
            </w:pPr>
          </w:p>
        </w:tc>
        <w:tc>
          <w:tcPr>
            <w:tcW w:w="1200" w:type="dxa"/>
            <w:vAlign w:val="bottom"/>
            <w:tcBorders>
              <w:top w:val="single" w:sz="8" w:color="auto"/>
            </w:tcBorders>
          </w:tcPr>
          <w:p>
            <w:pPr>
              <w:ind w:left="1060"/>
              <w:spacing w:after="0" w:line="112" w:lineRule="exact"/>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9"/>
                <w:szCs w:val="9"/>
                <w:color w:val="auto"/>
              </w:rPr>
            </w:pPr>
          </w:p>
        </w:tc>
        <w:tc>
          <w:tcPr>
            <w:tcW w:w="1180" w:type="dxa"/>
            <w:vAlign w:val="bottom"/>
            <w:tcBorders>
              <w:top w:val="single" w:sz="8" w:color="auto"/>
            </w:tcBorders>
          </w:tcPr>
          <w:p>
            <w:pPr>
              <w:ind w:left="1040"/>
              <w:spacing w:after="0" w:line="112" w:lineRule="exact"/>
              <w:rPr>
                <w:sz w:val="20"/>
                <w:szCs w:val="20"/>
                <w:color w:val="auto"/>
              </w:rPr>
            </w:pPr>
            <w:r>
              <w:rPr>
                <w:rFonts w:ascii="Arial" w:cs="Arial" w:eastAsia="Arial" w:hAnsi="Arial"/>
                <w:sz w:val="12"/>
                <w:szCs w:val="12"/>
                <w:color w:val="auto"/>
                <w:w w:val="99"/>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1,349</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12,478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2,766</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25,586</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4,149</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38,378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4,149</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38,378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40,975</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379,019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10,020</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92,685</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12,845</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118,816</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9.40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6/3/2023</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19.63</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3/19/2024</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30,303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280,303</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14.13</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7/12/2021</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8.86</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7/12/2021</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9.97</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7/12/2021</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19.63</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7/12/2021</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24.20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7/12/2021</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1,283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11,868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2,605</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24,096</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3,908</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36,149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3,908</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36,149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12,687</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117,355</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9,896</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91,538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12,687</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117,355</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22.15</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10/20/2024</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25.16</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4/30/2025</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748</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6,919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2,348</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21,719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3,523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32,588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3,523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32,588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52"/>
        </w:trPr>
        <w:tc>
          <w:tcPr>
            <w:tcW w:w="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10,907</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100,890</w:t>
            </w:r>
          </w:p>
        </w:tc>
        <w:tc>
          <w:tcPr>
            <w:tcW w:w="128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180" w:type="dxa"/>
            <w:vAlign w:val="bottom"/>
          </w:tcPr>
          <w:p>
            <w:pPr>
              <w:ind w:left="1040"/>
              <w:spacing w:after="0"/>
              <w:rPr>
                <w:sz w:val="20"/>
                <w:szCs w:val="20"/>
                <w:color w:val="auto"/>
              </w:rPr>
            </w:pPr>
            <w:r>
              <w:rPr>
                <w:rFonts w:ascii="Arial" w:cs="Arial" w:eastAsia="Arial" w:hAnsi="Arial"/>
                <w:sz w:val="13"/>
                <w:szCs w:val="13"/>
                <w:color w:val="auto"/>
                <w:w w:val="91"/>
              </w:rPr>
              <w:t>—</w:t>
            </w:r>
          </w:p>
        </w:tc>
      </w:tr>
      <w:tr>
        <w:trPr>
          <w:trHeight w:val="120"/>
        </w:trPr>
        <w:tc>
          <w:tcPr>
            <w:tcW w:w="40" w:type="dxa"/>
            <w:vAlign w:val="bottom"/>
            <w:shd w:val="clear" w:color="auto" w:fill="C6D9F1"/>
          </w:tcPr>
          <w:p>
            <w:pPr>
              <w:spacing w:after="0"/>
              <w:rPr>
                <w:sz w:val="10"/>
                <w:szCs w:val="10"/>
                <w:color w:val="auto"/>
              </w:rPr>
            </w:pPr>
          </w:p>
        </w:tc>
        <w:tc>
          <w:tcPr>
            <w:tcW w:w="1060" w:type="dxa"/>
            <w:vAlign w:val="bottom"/>
            <w:gridSpan w:val="2"/>
            <w:shd w:val="clear" w:color="auto" w:fill="C6D9F1"/>
          </w:tcPr>
          <w:p>
            <w:pPr>
              <w:jc w:val="right"/>
              <w:ind w:right="80"/>
              <w:spacing w:after="0" w:line="120"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6D9F1"/>
          </w:tcPr>
          <w:p>
            <w:pPr>
              <w:ind w:left="840"/>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6D9F1"/>
          </w:tcPr>
          <w:p>
            <w:pPr>
              <w:jc w:val="right"/>
              <w:ind w:right="80"/>
              <w:spacing w:after="0" w:line="120"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6D9F1"/>
          </w:tcPr>
          <w:p>
            <w:pPr>
              <w:jc w:val="right"/>
              <w:ind w:right="60"/>
              <w:spacing w:after="0" w:line="120"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6D9F1"/>
          </w:tcPr>
          <w:p>
            <w:pPr>
              <w:jc w:val="right"/>
              <w:ind w:right="160"/>
              <w:spacing w:after="0" w:line="120" w:lineRule="exact"/>
              <w:rPr>
                <w:sz w:val="20"/>
                <w:szCs w:val="20"/>
                <w:color w:val="auto"/>
              </w:rPr>
            </w:pPr>
            <w:r>
              <w:rPr>
                <w:rFonts w:ascii="Arial" w:cs="Arial" w:eastAsia="Arial" w:hAnsi="Arial"/>
                <w:sz w:val="13"/>
                <w:szCs w:val="13"/>
                <w:color w:val="auto"/>
              </w:rPr>
              <w:t>8,508</w:t>
            </w:r>
          </w:p>
        </w:tc>
        <w:tc>
          <w:tcPr>
            <w:tcW w:w="700" w:type="dxa"/>
            <w:vAlign w:val="bottom"/>
            <w:gridSpan w:val="2"/>
            <w:shd w:val="clear" w:color="auto" w:fill="C6D9F1"/>
          </w:tcPr>
          <w:p>
            <w:pPr>
              <w:jc w:val="right"/>
              <w:ind w:right="60"/>
              <w:spacing w:after="0" w:line="120" w:lineRule="exact"/>
              <w:rPr>
                <w:sz w:val="20"/>
                <w:szCs w:val="20"/>
                <w:color w:val="auto"/>
              </w:rPr>
            </w:pPr>
            <w:r>
              <w:rPr>
                <w:rFonts w:ascii="Arial" w:cs="Arial" w:eastAsia="Arial" w:hAnsi="Arial"/>
                <w:sz w:val="13"/>
                <w:szCs w:val="13"/>
                <w:color w:val="auto"/>
              </w:rPr>
              <w:t>78,699</w:t>
            </w:r>
          </w:p>
        </w:tc>
        <w:tc>
          <w:tcPr>
            <w:tcW w:w="1280" w:type="dxa"/>
            <w:vAlign w:val="bottom"/>
            <w:gridSpan w:val="2"/>
            <w:shd w:val="clear" w:color="auto" w:fill="C6D9F1"/>
          </w:tcPr>
          <w:p>
            <w:pPr>
              <w:ind w:left="1060"/>
              <w:spacing w:after="0" w:line="120" w:lineRule="exact"/>
              <w:rPr>
                <w:sz w:val="20"/>
                <w:szCs w:val="20"/>
                <w:color w:val="auto"/>
              </w:rPr>
            </w:pPr>
            <w:r>
              <w:rPr>
                <w:rFonts w:ascii="Arial" w:cs="Arial" w:eastAsia="Arial" w:hAnsi="Arial"/>
                <w:sz w:val="13"/>
                <w:szCs w:val="13"/>
                <w:color w:val="auto"/>
              </w:rPr>
              <w:t>—</w:t>
            </w:r>
          </w:p>
        </w:tc>
        <w:tc>
          <w:tcPr>
            <w:tcW w:w="1180" w:type="dxa"/>
            <w:vAlign w:val="bottom"/>
            <w:shd w:val="clear" w:color="auto" w:fill="C6D9F1"/>
          </w:tcPr>
          <w:p>
            <w:pPr>
              <w:ind w:left="1040"/>
              <w:spacing w:after="0" w:line="120" w:lineRule="exact"/>
              <w:rPr>
                <w:sz w:val="20"/>
                <w:szCs w:val="20"/>
                <w:color w:val="auto"/>
              </w:rPr>
            </w:pPr>
            <w:r>
              <w:rPr>
                <w:rFonts w:ascii="Arial" w:cs="Arial" w:eastAsia="Arial" w:hAnsi="Arial"/>
                <w:sz w:val="13"/>
                <w:szCs w:val="13"/>
                <w:color w:val="auto"/>
                <w:w w:val="91"/>
              </w:rPr>
              <w:t>—</w:t>
            </w:r>
          </w:p>
        </w:tc>
      </w:tr>
      <w:tr>
        <w:trPr>
          <w:trHeight w:val="152"/>
        </w:trPr>
        <w:tc>
          <w:tcPr>
            <w:tcW w:w="40" w:type="dxa"/>
            <w:vAlign w:val="bottom"/>
            <w:shd w:val="clear" w:color="auto" w:fill="C6D9F1"/>
          </w:tcPr>
          <w:p>
            <w:pPr>
              <w:spacing w:after="0"/>
              <w:rPr>
                <w:sz w:val="13"/>
                <w:szCs w:val="13"/>
                <w:color w:val="auto"/>
              </w:rPr>
            </w:pPr>
          </w:p>
        </w:tc>
        <w:tc>
          <w:tcPr>
            <w:tcW w:w="106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6D9F1"/>
          </w:tcPr>
          <w:p>
            <w:pPr>
              <w:ind w:left="8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6D9F1"/>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6D9F1"/>
          </w:tcPr>
          <w:p>
            <w:pPr>
              <w:jc w:val="right"/>
              <w:ind w:right="160"/>
              <w:spacing w:after="0"/>
              <w:rPr>
                <w:sz w:val="20"/>
                <w:szCs w:val="20"/>
                <w:color w:val="auto"/>
              </w:rPr>
            </w:pPr>
            <w:r>
              <w:rPr>
                <w:rFonts w:ascii="Arial" w:cs="Arial" w:eastAsia="Arial" w:hAnsi="Arial"/>
                <w:sz w:val="13"/>
                <w:szCs w:val="13"/>
                <w:color w:val="auto"/>
              </w:rPr>
              <w:t>10,907</w:t>
            </w:r>
          </w:p>
        </w:tc>
        <w:tc>
          <w:tcPr>
            <w:tcW w:w="700" w:type="dxa"/>
            <w:vAlign w:val="bottom"/>
            <w:gridSpan w:val="2"/>
            <w:shd w:val="clear" w:color="auto" w:fill="C6D9F1"/>
          </w:tcPr>
          <w:p>
            <w:pPr>
              <w:jc w:val="right"/>
              <w:ind w:right="60"/>
              <w:spacing w:after="0"/>
              <w:rPr>
                <w:sz w:val="20"/>
                <w:szCs w:val="20"/>
                <w:color w:val="auto"/>
              </w:rPr>
            </w:pPr>
            <w:r>
              <w:rPr>
                <w:rFonts w:ascii="Arial" w:cs="Arial" w:eastAsia="Arial" w:hAnsi="Arial"/>
                <w:sz w:val="13"/>
                <w:szCs w:val="13"/>
                <w:color w:val="auto"/>
              </w:rPr>
              <w:t>100,890</w:t>
            </w:r>
          </w:p>
        </w:tc>
        <w:tc>
          <w:tcPr>
            <w:tcW w:w="1280" w:type="dxa"/>
            <w:vAlign w:val="bottom"/>
            <w:gridSpan w:val="2"/>
            <w:shd w:val="clear" w:color="auto" w:fill="C6D9F1"/>
          </w:tcPr>
          <w:p>
            <w:pPr>
              <w:ind w:left="10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6D9F1"/>
          </w:tcPr>
          <w:p>
            <w:pPr>
              <w:ind w:left="1040"/>
              <w:spacing w:after="0"/>
              <w:rPr>
                <w:sz w:val="20"/>
                <w:szCs w:val="20"/>
                <w:color w:val="auto"/>
              </w:rPr>
            </w:pPr>
            <w:r>
              <w:rPr>
                <w:rFonts w:ascii="Arial" w:cs="Arial" w:eastAsia="Arial" w:hAnsi="Arial"/>
                <w:sz w:val="13"/>
                <w:szCs w:val="13"/>
                <w:color w:val="auto"/>
                <w:w w:val="91"/>
              </w:rPr>
              <w:t>—</w:t>
            </w:r>
          </w:p>
        </w:tc>
      </w:tr>
      <w:tr>
        <w:trPr>
          <w:trHeight w:val="120"/>
        </w:trPr>
        <w:tc>
          <w:tcPr>
            <w:tcW w:w="40" w:type="dxa"/>
            <w:vAlign w:val="bottom"/>
          </w:tcPr>
          <w:p>
            <w:pPr>
              <w:spacing w:after="0"/>
              <w:rPr>
                <w:sz w:val="10"/>
                <w:szCs w:val="10"/>
                <w:color w:val="auto"/>
              </w:rPr>
            </w:pPr>
          </w:p>
        </w:tc>
        <w:tc>
          <w:tcPr>
            <w:tcW w:w="1060" w:type="dxa"/>
            <w:vAlign w:val="bottom"/>
            <w:gridSpan w:val="2"/>
          </w:tcPr>
          <w:p>
            <w:pPr>
              <w:jc w:val="right"/>
              <w:ind w:right="80"/>
              <w:spacing w:after="0" w:line="120"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0" w:lineRule="exact"/>
              <w:rPr>
                <w:sz w:val="20"/>
                <w:szCs w:val="20"/>
                <w:color w:val="auto"/>
              </w:rPr>
            </w:pPr>
            <w:r>
              <w:rPr>
                <w:rFonts w:ascii="Arial" w:cs="Arial" w:eastAsia="Arial" w:hAnsi="Arial"/>
                <w:sz w:val="13"/>
                <w:szCs w:val="13"/>
                <w:color w:val="auto"/>
              </w:rPr>
              <w:t>22.15</w:t>
            </w:r>
          </w:p>
        </w:tc>
        <w:tc>
          <w:tcPr>
            <w:tcW w:w="880" w:type="dxa"/>
            <w:vAlign w:val="bottom"/>
            <w:gridSpan w:val="2"/>
          </w:tcPr>
          <w:p>
            <w:pPr>
              <w:jc w:val="right"/>
              <w:ind w:right="60"/>
              <w:spacing w:after="0" w:line="120" w:lineRule="exact"/>
              <w:rPr>
                <w:sz w:val="20"/>
                <w:szCs w:val="20"/>
                <w:color w:val="auto"/>
              </w:rPr>
            </w:pPr>
            <w:r>
              <w:rPr>
                <w:rFonts w:ascii="Arial" w:cs="Arial" w:eastAsia="Arial" w:hAnsi="Arial"/>
                <w:sz w:val="13"/>
                <w:szCs w:val="13"/>
                <w:color w:val="auto"/>
              </w:rPr>
              <w:t>10/20/2024</w:t>
            </w:r>
          </w:p>
        </w:tc>
        <w:tc>
          <w:tcPr>
            <w:tcW w:w="780" w:type="dxa"/>
            <w:vAlign w:val="bottom"/>
            <w:gridSpan w:val="2"/>
          </w:tcPr>
          <w:p>
            <w:pPr>
              <w:jc w:val="right"/>
              <w:ind w:right="160"/>
              <w:spacing w:after="0" w:line="120"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20"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20"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20"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25.16</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4/30/2025</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11.31</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3/16/2026</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24.20</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3/17/2027</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1,337</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12,367</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110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2,866</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24.55</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3/14/2028</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2,843</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26,298</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1100" w:type="dxa"/>
            <w:vAlign w:val="bottom"/>
            <w:gridSpan w:val="3"/>
          </w:tcPr>
          <w:p>
            <w:pPr>
              <w:jc w:val="right"/>
              <w:ind w:right="80"/>
              <w:spacing w:after="0" w:line="136" w:lineRule="exact"/>
              <w:rPr>
                <w:sz w:val="20"/>
                <w:szCs w:val="20"/>
                <w:color w:val="auto"/>
              </w:rPr>
            </w:pPr>
            <w:r>
              <w:rPr>
                <w:rFonts w:ascii="Arial" w:cs="Arial" w:eastAsia="Arial" w:hAnsi="Arial"/>
                <w:sz w:val="13"/>
                <w:szCs w:val="13"/>
                <w:color w:val="auto"/>
              </w:rPr>
              <w:t>13,700</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7.93</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3/14/2029</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36"/>
        </w:trPr>
        <w:tc>
          <w:tcPr>
            <w:tcW w:w="40" w:type="dxa"/>
            <w:vAlign w:val="bottom"/>
          </w:tcPr>
          <w:p>
            <w:pPr>
              <w:spacing w:after="0"/>
              <w:rPr>
                <w:sz w:val="11"/>
                <w:szCs w:val="11"/>
                <w:color w:val="auto"/>
              </w:rPr>
            </w:pPr>
          </w:p>
        </w:tc>
        <w:tc>
          <w:tcPr>
            <w:tcW w:w="106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line="136"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13,642</w:t>
            </w:r>
          </w:p>
        </w:tc>
        <w:tc>
          <w:tcPr>
            <w:tcW w:w="700" w:type="dxa"/>
            <w:vAlign w:val="bottom"/>
            <w:gridSpan w:val="2"/>
          </w:tcPr>
          <w:p>
            <w:pPr>
              <w:jc w:val="right"/>
              <w:ind w:right="60"/>
              <w:spacing w:after="0" w:line="136" w:lineRule="exact"/>
              <w:rPr>
                <w:sz w:val="20"/>
                <w:szCs w:val="20"/>
                <w:color w:val="auto"/>
              </w:rPr>
            </w:pPr>
            <w:r>
              <w:rPr>
                <w:rFonts w:ascii="Arial" w:cs="Arial" w:eastAsia="Arial" w:hAnsi="Arial"/>
                <w:sz w:val="13"/>
                <w:szCs w:val="13"/>
                <w:color w:val="auto"/>
              </w:rPr>
              <w:t>126,189</w:t>
            </w:r>
          </w:p>
        </w:tc>
        <w:tc>
          <w:tcPr>
            <w:tcW w:w="1280" w:type="dxa"/>
            <w:vAlign w:val="bottom"/>
            <w:gridSpan w:val="2"/>
          </w:tcPr>
          <w:p>
            <w:pPr>
              <w:ind w:left="1060"/>
              <w:spacing w:after="0" w:line="136" w:lineRule="exact"/>
              <w:rPr>
                <w:sz w:val="20"/>
                <w:szCs w:val="20"/>
                <w:color w:val="auto"/>
              </w:rPr>
            </w:pPr>
            <w:r>
              <w:rPr>
                <w:rFonts w:ascii="Arial" w:cs="Arial" w:eastAsia="Arial" w:hAnsi="Arial"/>
                <w:sz w:val="13"/>
                <w:szCs w:val="13"/>
                <w:color w:val="auto"/>
              </w:rPr>
              <w:t>—</w:t>
            </w:r>
          </w:p>
        </w:tc>
        <w:tc>
          <w:tcPr>
            <w:tcW w:w="1180" w:type="dxa"/>
            <w:vAlign w:val="bottom"/>
          </w:tcPr>
          <w:p>
            <w:pPr>
              <w:ind w:left="1040"/>
              <w:spacing w:after="0" w:line="136" w:lineRule="exact"/>
              <w:rPr>
                <w:sz w:val="20"/>
                <w:szCs w:val="20"/>
                <w:color w:val="auto"/>
              </w:rPr>
            </w:pPr>
            <w:r>
              <w:rPr>
                <w:rFonts w:ascii="Arial" w:cs="Arial" w:eastAsia="Arial" w:hAnsi="Arial"/>
                <w:sz w:val="13"/>
                <w:szCs w:val="13"/>
                <w:color w:val="auto"/>
                <w:w w:val="91"/>
              </w:rPr>
              <w:t>—</w:t>
            </w:r>
          </w:p>
        </w:tc>
      </w:tr>
      <w:tr>
        <w:trPr>
          <w:trHeight w:val="154"/>
        </w:trPr>
        <w:tc>
          <w:tcPr>
            <w:tcW w:w="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24.20</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2/20/2020</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8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180" w:type="dxa"/>
            <w:vAlign w:val="bottom"/>
          </w:tcPr>
          <w:p>
            <w:pPr>
              <w:ind w:left="1040"/>
              <w:spacing w:after="0"/>
              <w:rPr>
                <w:sz w:val="20"/>
                <w:szCs w:val="20"/>
                <w:color w:val="auto"/>
              </w:rPr>
            </w:pPr>
            <w:r>
              <w:rPr>
                <w:rFonts w:ascii="Arial" w:cs="Arial" w:eastAsia="Arial" w:hAnsi="Arial"/>
                <w:sz w:val="13"/>
                <w:szCs w:val="13"/>
                <w:color w:val="auto"/>
                <w:w w:val="9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-2933065</wp:posOffset>
            </wp:positionV>
            <wp:extent cx="7120255" cy="172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0255" cy="17272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-2674620</wp:posOffset>
            </wp:positionV>
            <wp:extent cx="7120255" cy="431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0255" cy="43116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-1639570</wp:posOffset>
            </wp:positionV>
            <wp:extent cx="7120255" cy="776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0255" cy="776605"/>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-86360</wp:posOffset>
            </wp:positionV>
            <wp:extent cx="7120255" cy="86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0255" cy="863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4">
            <w:col w:w="800" w:space="240"/>
            <w:col w:w="1360" w:space="440"/>
            <w:col w:w="780" w:space="40"/>
            <w:col w:w="7660"/>
          </w:cols>
          <w:pgMar w:left="220" w:top="745" w:right="35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_________________</w:t>
      </w:r>
    </w:p>
    <w:p>
      <w:pPr>
        <w:spacing w:after="0" w:line="11" w:lineRule="exact"/>
        <w:rPr>
          <w:sz w:val="20"/>
          <w:szCs w:val="20"/>
          <w:color w:val="auto"/>
        </w:rPr>
      </w:pPr>
    </w:p>
    <w:p>
      <w:pPr>
        <w:ind w:left="700" w:hanging="601"/>
        <w:spacing w:after="0"/>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Stock options vest in three equal annual installments beginning on the first anniversary of the date of grant.</w:t>
      </w:r>
    </w:p>
    <w:p>
      <w:pPr>
        <w:spacing w:after="0" w:line="13" w:lineRule="exact"/>
        <w:rPr>
          <w:rFonts w:ascii="Arial" w:cs="Arial" w:eastAsia="Arial" w:hAnsi="Arial"/>
          <w:sz w:val="16"/>
          <w:szCs w:val="16"/>
          <w:color w:val="auto"/>
        </w:rPr>
      </w:pPr>
    </w:p>
    <w:p>
      <w:pPr>
        <w:ind w:left="700" w:right="60" w:hanging="601"/>
        <w:spacing w:after="0" w:line="266" w:lineRule="auto"/>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Shares of restricted stock vest in three equal annual installments beginning on the first anniversary of the date of grant. Performance share units granted on March 14, 2018 and March 14, 2019 will, subject to the achievement of the performance goals applicable thereto, vest on December 31, 2020 and December 31, 2021, respectively.</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69850</wp:posOffset>
            </wp:positionV>
            <wp:extent cx="715962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320"/>
          </w:cols>
          <w:pgMar w:left="220" w:top="745" w:right="359" w:bottom="1440" w:gutter="0" w:footer="0" w:header="0"/>
          <w:type w:val="continuous"/>
        </w:sectPr>
      </w:pPr>
    </w:p>
    <w:bookmarkStart w:id="42" w:name="page43"/>
    <w:bookmarkEnd w:id="42"/>
    <w:p>
      <w:pPr>
        <w:ind w:left="601" w:right="40" w:hanging="601"/>
        <w:spacing w:after="0" w:line="289" w:lineRule="auto"/>
        <w:tabs>
          <w:tab w:leader="none" w:pos="6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market value of unvested shares of restricted stock and unvested shares issuable in respect of PSUs is based on the closing price of our common stock on the last day of fiscal year 2019, which was $9.25 and, with respect to PSUs, assumes target performance.</w:t>
      </w:r>
    </w:p>
    <w:p>
      <w:pPr>
        <w:spacing w:after="0" w:line="113" w:lineRule="exact"/>
        <w:rPr>
          <w:sz w:val="20"/>
          <w:szCs w:val="20"/>
          <w:color w:val="auto"/>
        </w:rPr>
      </w:pPr>
    </w:p>
    <w:p>
      <w:pPr>
        <w:ind w:left="541"/>
        <w:spacing w:after="0"/>
        <w:rPr>
          <w:sz w:val="20"/>
          <w:szCs w:val="20"/>
          <w:color w:val="auto"/>
        </w:rPr>
      </w:pPr>
      <w:r>
        <w:rPr>
          <w:rFonts w:ascii="Arial" w:cs="Arial" w:eastAsia="Arial" w:hAnsi="Arial"/>
          <w:sz w:val="16"/>
          <w:szCs w:val="16"/>
          <w:color w:val="auto"/>
        </w:rPr>
        <w:t>The following table sets forth information with respect to option exercises and stock vesting as of December 31, 2019.</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Option Exercises and Stock Vested During 2019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41" w:type="dxa"/>
        <w:tblCellMar>
          <w:top w:w="0" w:type="dxa"/>
          <w:left w:w="0" w:type="dxa"/>
          <w:bottom w:w="0" w:type="dxa"/>
          <w:right w:w="0" w:type="dxa"/>
        </w:tblCellMar>
      </w:tblPr>
      <w:tr>
        <w:trPr>
          <w:trHeight w:val="156"/>
        </w:trPr>
        <w:tc>
          <w:tcPr>
            <w:tcW w:w="4860" w:type="dxa"/>
            <w:vAlign w:val="bottom"/>
          </w:tcPr>
          <w:p>
            <w:pPr>
              <w:spacing w:after="0"/>
              <w:rPr>
                <w:sz w:val="13"/>
                <w:szCs w:val="13"/>
                <w:color w:val="auto"/>
              </w:rPr>
            </w:pPr>
          </w:p>
        </w:tc>
        <w:tc>
          <w:tcPr>
            <w:tcW w:w="150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w w:val="90"/>
              </w:rPr>
              <w:t>Option Awards</w:t>
            </w:r>
          </w:p>
        </w:tc>
        <w:tc>
          <w:tcPr>
            <w:tcW w:w="64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2000" w:type="dxa"/>
            <w:vAlign w:val="bottom"/>
            <w:tcBorders>
              <w:bottom w:val="single" w:sz="8" w:color="auto"/>
            </w:tcBorders>
            <w:gridSpan w:val="2"/>
          </w:tcPr>
          <w:p>
            <w:pPr>
              <w:ind w:left="640"/>
              <w:spacing w:after="0"/>
              <w:rPr>
                <w:sz w:val="20"/>
                <w:szCs w:val="20"/>
                <w:color w:val="auto"/>
              </w:rPr>
            </w:pPr>
            <w:r>
              <w:rPr>
                <w:rFonts w:ascii="Arial" w:cs="Arial" w:eastAsia="Arial" w:hAnsi="Arial"/>
                <w:sz w:val="13"/>
                <w:szCs w:val="13"/>
                <w:b w:val="1"/>
                <w:bCs w:val="1"/>
                <w:color w:val="auto"/>
              </w:rPr>
              <w:t>Stock Awards</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9"/>
              </w:rPr>
              <w:t>Value</w:t>
            </w:r>
          </w:p>
        </w:tc>
        <w:tc>
          <w:tcPr>
            <w:tcW w:w="7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860" w:type="dxa"/>
            <w:vAlign w:val="bottom"/>
          </w:tcPr>
          <w:p>
            <w:pPr>
              <w:spacing w:after="0"/>
              <w:rPr>
                <w:sz w:val="11"/>
                <w:szCs w:val="11"/>
                <w:color w:val="auto"/>
              </w:rPr>
            </w:pPr>
          </w:p>
        </w:tc>
        <w:tc>
          <w:tcPr>
            <w:tcW w:w="1500" w:type="dxa"/>
            <w:vAlign w:val="bottom"/>
            <w:gridSpan w:val="2"/>
          </w:tcPr>
          <w:p>
            <w:pPr>
              <w:jc w:val="center"/>
              <w:ind w:right="720"/>
              <w:spacing w:after="0" w:line="136" w:lineRule="exact"/>
              <w:rPr>
                <w:sz w:val="20"/>
                <w:szCs w:val="20"/>
                <w:color w:val="auto"/>
              </w:rPr>
            </w:pPr>
            <w:r>
              <w:rPr>
                <w:rFonts w:ascii="Arial" w:cs="Arial" w:eastAsia="Arial" w:hAnsi="Arial"/>
                <w:sz w:val="13"/>
                <w:szCs w:val="13"/>
                <w:b w:val="1"/>
                <w:bCs w:val="1"/>
                <w:color w:val="auto"/>
                <w:w w:val="95"/>
              </w:rPr>
              <w:t>Number of</w:t>
            </w:r>
          </w:p>
        </w:tc>
        <w:tc>
          <w:tcPr>
            <w:tcW w:w="1360" w:type="dxa"/>
            <w:vAlign w:val="bottom"/>
            <w:gridSpan w:val="2"/>
          </w:tcPr>
          <w:p>
            <w:pPr>
              <w:jc w:val="center"/>
              <w:ind w:right="720"/>
              <w:spacing w:after="0" w:line="136" w:lineRule="exact"/>
              <w:rPr>
                <w:sz w:val="20"/>
                <w:szCs w:val="20"/>
                <w:color w:val="auto"/>
              </w:rPr>
            </w:pPr>
            <w:r>
              <w:rPr>
                <w:rFonts w:ascii="Arial" w:cs="Arial" w:eastAsia="Arial" w:hAnsi="Arial"/>
                <w:sz w:val="13"/>
                <w:szCs w:val="13"/>
                <w:b w:val="1"/>
                <w:bCs w:val="1"/>
                <w:color w:val="auto"/>
                <w:w w:val="90"/>
              </w:rPr>
              <w:t>Realized</w:t>
            </w:r>
          </w:p>
        </w:tc>
        <w:tc>
          <w:tcPr>
            <w:tcW w:w="2000" w:type="dxa"/>
            <w:vAlign w:val="bottom"/>
            <w:gridSpan w:val="2"/>
          </w:tcPr>
          <w:p>
            <w:pPr>
              <w:jc w:val="center"/>
              <w:ind w:right="740"/>
              <w:spacing w:after="0" w:line="136" w:lineRule="exact"/>
              <w:rPr>
                <w:sz w:val="20"/>
                <w:szCs w:val="20"/>
                <w:color w:val="auto"/>
              </w:rPr>
            </w:pPr>
            <w:r>
              <w:rPr>
                <w:rFonts w:ascii="Arial" w:cs="Arial" w:eastAsia="Arial" w:hAnsi="Arial"/>
                <w:sz w:val="13"/>
                <w:szCs w:val="13"/>
                <w:b w:val="1"/>
                <w:bCs w:val="1"/>
                <w:color w:val="auto"/>
                <w:w w:val="91"/>
              </w:rPr>
              <w:t>Number of Shares</w:t>
            </w:r>
          </w:p>
        </w:tc>
        <w:tc>
          <w:tcPr>
            <w:tcW w:w="6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36"/>
        </w:trPr>
        <w:tc>
          <w:tcPr>
            <w:tcW w:w="4860" w:type="dxa"/>
            <w:vAlign w:val="bottom"/>
          </w:tcPr>
          <w:p>
            <w:pPr>
              <w:spacing w:after="0"/>
              <w:rPr>
                <w:sz w:val="11"/>
                <w:szCs w:val="11"/>
                <w:color w:val="auto"/>
              </w:rPr>
            </w:pPr>
          </w:p>
        </w:tc>
        <w:tc>
          <w:tcPr>
            <w:tcW w:w="1500" w:type="dxa"/>
            <w:vAlign w:val="bottom"/>
            <w:gridSpan w:val="2"/>
          </w:tcPr>
          <w:p>
            <w:pPr>
              <w:jc w:val="center"/>
              <w:ind w:right="720"/>
              <w:spacing w:after="0" w:line="136" w:lineRule="exact"/>
              <w:rPr>
                <w:sz w:val="20"/>
                <w:szCs w:val="20"/>
                <w:color w:val="auto"/>
              </w:rPr>
            </w:pPr>
            <w:r>
              <w:rPr>
                <w:rFonts w:ascii="Arial" w:cs="Arial" w:eastAsia="Arial" w:hAnsi="Arial"/>
                <w:sz w:val="13"/>
                <w:szCs w:val="13"/>
                <w:b w:val="1"/>
                <w:bCs w:val="1"/>
                <w:color w:val="auto"/>
                <w:w w:val="87"/>
              </w:rPr>
              <w:t>Shares</w:t>
            </w:r>
          </w:p>
        </w:tc>
        <w:tc>
          <w:tcPr>
            <w:tcW w:w="1360" w:type="dxa"/>
            <w:vAlign w:val="bottom"/>
            <w:gridSpan w:val="2"/>
          </w:tcPr>
          <w:p>
            <w:pPr>
              <w:jc w:val="center"/>
              <w:ind w:right="740"/>
              <w:spacing w:after="0" w:line="136" w:lineRule="exact"/>
              <w:rPr>
                <w:sz w:val="20"/>
                <w:szCs w:val="20"/>
                <w:color w:val="auto"/>
              </w:rPr>
            </w:pPr>
            <w:r>
              <w:rPr>
                <w:rFonts w:ascii="Arial" w:cs="Arial" w:eastAsia="Arial" w:hAnsi="Arial"/>
                <w:sz w:val="13"/>
                <w:szCs w:val="13"/>
                <w:b w:val="1"/>
                <w:bCs w:val="1"/>
                <w:color w:val="auto"/>
                <w:w w:val="87"/>
              </w:rPr>
              <w:t>on</w:t>
            </w:r>
          </w:p>
        </w:tc>
        <w:tc>
          <w:tcPr>
            <w:tcW w:w="2000" w:type="dxa"/>
            <w:vAlign w:val="bottom"/>
            <w:gridSpan w:val="2"/>
          </w:tcPr>
          <w:p>
            <w:pPr>
              <w:jc w:val="center"/>
              <w:ind w:right="740"/>
              <w:spacing w:after="0" w:line="136" w:lineRule="exact"/>
              <w:rPr>
                <w:sz w:val="20"/>
                <w:szCs w:val="20"/>
                <w:color w:val="auto"/>
              </w:rPr>
            </w:pPr>
            <w:r>
              <w:rPr>
                <w:rFonts w:ascii="Arial" w:cs="Arial" w:eastAsia="Arial" w:hAnsi="Arial"/>
                <w:sz w:val="13"/>
                <w:szCs w:val="13"/>
                <w:b w:val="1"/>
                <w:bCs w:val="1"/>
                <w:color w:val="auto"/>
                <w:w w:val="92"/>
              </w:rPr>
              <w:t>Acquired on</w:t>
            </w:r>
          </w:p>
        </w:tc>
        <w:tc>
          <w:tcPr>
            <w:tcW w:w="6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0"/>
              </w:rPr>
              <w:t>Realized</w:t>
            </w:r>
          </w:p>
        </w:tc>
        <w:tc>
          <w:tcPr>
            <w:tcW w:w="0" w:type="dxa"/>
            <w:vAlign w:val="bottom"/>
          </w:tcPr>
          <w:p>
            <w:pPr>
              <w:spacing w:after="0"/>
              <w:rPr>
                <w:sz w:val="1"/>
                <w:szCs w:val="1"/>
                <w:color w:val="auto"/>
              </w:rPr>
            </w:pPr>
          </w:p>
        </w:tc>
      </w:tr>
      <w:tr>
        <w:trPr>
          <w:trHeight w:val="136"/>
        </w:trPr>
        <w:tc>
          <w:tcPr>
            <w:tcW w:w="486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500" w:type="dxa"/>
            <w:vAlign w:val="bottom"/>
            <w:gridSpan w:val="2"/>
          </w:tcPr>
          <w:p>
            <w:pPr>
              <w:jc w:val="center"/>
              <w:ind w:right="720"/>
              <w:spacing w:after="0" w:line="136" w:lineRule="exact"/>
              <w:rPr>
                <w:sz w:val="20"/>
                <w:szCs w:val="20"/>
                <w:color w:val="auto"/>
              </w:rPr>
            </w:pPr>
            <w:r>
              <w:rPr>
                <w:rFonts w:ascii="Arial" w:cs="Arial" w:eastAsia="Arial" w:hAnsi="Arial"/>
                <w:sz w:val="13"/>
                <w:szCs w:val="13"/>
                <w:b w:val="1"/>
                <w:bCs w:val="1"/>
                <w:color w:val="auto"/>
                <w:w w:val="92"/>
              </w:rPr>
              <w:t>Acquired on</w:t>
            </w:r>
          </w:p>
        </w:tc>
        <w:tc>
          <w:tcPr>
            <w:tcW w:w="1360" w:type="dxa"/>
            <w:vAlign w:val="bottom"/>
            <w:gridSpan w:val="2"/>
          </w:tcPr>
          <w:p>
            <w:pPr>
              <w:jc w:val="center"/>
              <w:ind w:right="720"/>
              <w:spacing w:after="0" w:line="136" w:lineRule="exact"/>
              <w:rPr>
                <w:sz w:val="20"/>
                <w:szCs w:val="20"/>
                <w:color w:val="auto"/>
              </w:rPr>
            </w:pPr>
            <w:r>
              <w:rPr>
                <w:rFonts w:ascii="Arial" w:cs="Arial" w:eastAsia="Arial" w:hAnsi="Arial"/>
                <w:sz w:val="13"/>
                <w:szCs w:val="13"/>
                <w:b w:val="1"/>
                <w:bCs w:val="1"/>
                <w:color w:val="auto"/>
                <w:w w:val="89"/>
              </w:rPr>
              <w:t>Exercise</w:t>
            </w:r>
          </w:p>
        </w:tc>
        <w:tc>
          <w:tcPr>
            <w:tcW w:w="2000" w:type="dxa"/>
            <w:vAlign w:val="bottom"/>
            <w:gridSpan w:val="2"/>
          </w:tcPr>
          <w:p>
            <w:pPr>
              <w:jc w:val="center"/>
              <w:ind w:right="740"/>
              <w:spacing w:after="0" w:line="136" w:lineRule="exact"/>
              <w:rPr>
                <w:sz w:val="20"/>
                <w:szCs w:val="20"/>
                <w:color w:val="auto"/>
              </w:rPr>
            </w:pPr>
            <w:r>
              <w:rPr>
                <w:rFonts w:ascii="Arial" w:cs="Arial" w:eastAsia="Arial" w:hAnsi="Arial"/>
                <w:sz w:val="13"/>
                <w:szCs w:val="13"/>
                <w:b w:val="1"/>
                <w:bCs w:val="1"/>
                <w:color w:val="auto"/>
                <w:w w:val="89"/>
              </w:rPr>
              <w:t>Vesting</w:t>
            </w:r>
          </w:p>
        </w:tc>
        <w:tc>
          <w:tcPr>
            <w:tcW w:w="6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on Vesting</w:t>
            </w:r>
          </w:p>
        </w:tc>
        <w:tc>
          <w:tcPr>
            <w:tcW w:w="0" w:type="dxa"/>
            <w:vAlign w:val="bottom"/>
          </w:tcPr>
          <w:p>
            <w:pPr>
              <w:spacing w:after="0"/>
              <w:rPr>
                <w:sz w:val="1"/>
                <w:szCs w:val="1"/>
                <w:color w:val="auto"/>
              </w:rPr>
            </w:pPr>
          </w:p>
        </w:tc>
      </w:tr>
      <w:tr>
        <w:trPr>
          <w:trHeight w:val="156"/>
        </w:trPr>
        <w:tc>
          <w:tcPr>
            <w:tcW w:w="4860" w:type="dxa"/>
            <w:vAlign w:val="bottom"/>
            <w:vMerge w:val="continue"/>
          </w:tcPr>
          <w:p>
            <w:pPr>
              <w:spacing w:after="0"/>
              <w:rPr>
                <w:sz w:val="13"/>
                <w:szCs w:val="13"/>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90"/>
              </w:rPr>
              <w:t>Exercise (#)</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Arial" w:cs="Arial" w:eastAsia="Arial" w:hAnsi="Arial"/>
                <w:sz w:val="16"/>
                <w:szCs w:val="16"/>
                <w:color w:val="auto"/>
              </w:rPr>
              <w:t>Mr. Veltman</w:t>
            </w:r>
          </w:p>
        </w:tc>
        <w:tc>
          <w:tcPr>
            <w:tcW w:w="78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w w:val="87"/>
              </w:rPr>
              <w:t>—</w:t>
            </w:r>
          </w:p>
        </w:tc>
        <w:tc>
          <w:tcPr>
            <w:tcW w:w="720" w:type="dxa"/>
            <w:vAlign w:val="bottom"/>
          </w:tcPr>
          <w:p>
            <w:pPr>
              <w:spacing w:after="0"/>
              <w:rPr>
                <w:sz w:val="16"/>
                <w:szCs w:val="16"/>
                <w:color w:val="auto"/>
              </w:rPr>
            </w:pPr>
          </w:p>
        </w:tc>
        <w:tc>
          <w:tcPr>
            <w:tcW w:w="64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w w:val="87"/>
              </w:rPr>
              <w:t>—</w:t>
            </w:r>
          </w:p>
        </w:tc>
        <w:tc>
          <w:tcPr>
            <w:tcW w:w="720" w:type="dxa"/>
            <w:vAlign w:val="bottom"/>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5,480</w:t>
            </w:r>
          </w:p>
        </w:tc>
        <w:tc>
          <w:tcPr>
            <w:tcW w:w="72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42,145</w:t>
            </w:r>
          </w:p>
        </w:tc>
        <w:tc>
          <w:tcPr>
            <w:tcW w:w="0" w:type="dxa"/>
            <w:vAlign w:val="bottom"/>
          </w:tcPr>
          <w:p>
            <w:pPr>
              <w:spacing w:after="0"/>
              <w:rPr>
                <w:sz w:val="1"/>
                <w:szCs w:val="1"/>
                <w:color w:val="auto"/>
              </w:rPr>
            </w:pPr>
          </w:p>
        </w:tc>
      </w:tr>
      <w:tr>
        <w:trPr>
          <w:trHeight w:val="198"/>
        </w:trPr>
        <w:tc>
          <w:tcPr>
            <w:tcW w:w="4860" w:type="dxa"/>
            <w:vAlign w:val="bottom"/>
            <w:shd w:val="clear" w:color="auto" w:fill="C6D9F1"/>
          </w:tcPr>
          <w:p>
            <w:pPr>
              <w:spacing w:after="0"/>
              <w:rPr>
                <w:sz w:val="20"/>
                <w:szCs w:val="20"/>
                <w:color w:val="auto"/>
              </w:rPr>
            </w:pPr>
            <w:r>
              <w:rPr>
                <w:rFonts w:ascii="Arial" w:cs="Arial" w:eastAsia="Arial" w:hAnsi="Arial"/>
                <w:sz w:val="16"/>
                <w:szCs w:val="16"/>
                <w:color w:val="auto"/>
              </w:rPr>
              <w:t>Mr. Holder</w:t>
            </w:r>
          </w:p>
        </w:tc>
        <w:tc>
          <w:tcPr>
            <w:tcW w:w="1500" w:type="dxa"/>
            <w:vAlign w:val="bottom"/>
            <w:gridSpan w:val="2"/>
            <w:shd w:val="clear" w:color="auto" w:fill="C6D9F1"/>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6D9F1"/>
          </w:tcPr>
          <w:p>
            <w:pPr>
              <w:ind w:left="4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82,983</w:t>
            </w:r>
          </w:p>
        </w:tc>
        <w:tc>
          <w:tcPr>
            <w:tcW w:w="720" w:type="dxa"/>
            <w:vAlign w:val="bottom"/>
            <w:shd w:val="clear" w:color="auto" w:fill="C6D9F1"/>
          </w:tcPr>
          <w:p>
            <w:pPr>
              <w:spacing w:after="0"/>
              <w:rPr>
                <w:sz w:val="17"/>
                <w:szCs w:val="17"/>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685,680</w:t>
            </w:r>
          </w:p>
        </w:tc>
        <w:tc>
          <w:tcPr>
            <w:tcW w:w="0" w:type="dxa"/>
            <w:vAlign w:val="bottom"/>
          </w:tcPr>
          <w:p>
            <w:pPr>
              <w:spacing w:after="0"/>
              <w:rPr>
                <w:sz w:val="1"/>
                <w:szCs w:val="1"/>
                <w:color w:val="auto"/>
              </w:rPr>
            </w:pPr>
          </w:p>
        </w:tc>
      </w:tr>
      <w:tr>
        <w:trPr>
          <w:trHeight w:val="198"/>
        </w:trPr>
        <w:tc>
          <w:tcPr>
            <w:tcW w:w="4860" w:type="dxa"/>
            <w:vAlign w:val="bottom"/>
          </w:tcPr>
          <w:p>
            <w:pPr>
              <w:spacing w:after="0"/>
              <w:rPr>
                <w:sz w:val="20"/>
                <w:szCs w:val="20"/>
                <w:color w:val="auto"/>
              </w:rPr>
            </w:pPr>
            <w:r>
              <w:rPr>
                <w:rFonts w:ascii="Arial" w:cs="Arial" w:eastAsia="Arial" w:hAnsi="Arial"/>
                <w:sz w:val="16"/>
                <w:szCs w:val="16"/>
                <w:color w:val="auto"/>
              </w:rPr>
              <w:t>Mr. Burwell</w:t>
            </w:r>
          </w:p>
        </w:tc>
        <w:tc>
          <w:tcPr>
            <w:tcW w:w="15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7,674</w:t>
            </w: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64,237</w:t>
            </w:r>
          </w:p>
        </w:tc>
        <w:tc>
          <w:tcPr>
            <w:tcW w:w="0" w:type="dxa"/>
            <w:vAlign w:val="bottom"/>
          </w:tcPr>
          <w:p>
            <w:pPr>
              <w:spacing w:after="0"/>
              <w:rPr>
                <w:sz w:val="1"/>
                <w:szCs w:val="1"/>
                <w:color w:val="auto"/>
              </w:rPr>
            </w:pPr>
          </w:p>
        </w:tc>
      </w:tr>
      <w:tr>
        <w:trPr>
          <w:trHeight w:val="198"/>
        </w:trPr>
        <w:tc>
          <w:tcPr>
            <w:tcW w:w="4860" w:type="dxa"/>
            <w:vAlign w:val="bottom"/>
            <w:shd w:val="clear" w:color="auto" w:fill="C6D9F1"/>
          </w:tcPr>
          <w:p>
            <w:pPr>
              <w:spacing w:after="0"/>
              <w:rPr>
                <w:sz w:val="20"/>
                <w:szCs w:val="20"/>
                <w:color w:val="auto"/>
              </w:rPr>
            </w:pPr>
            <w:r>
              <w:rPr>
                <w:rFonts w:ascii="Arial" w:cs="Arial" w:eastAsia="Arial" w:hAnsi="Arial"/>
                <w:sz w:val="16"/>
                <w:szCs w:val="16"/>
                <w:color w:val="auto"/>
              </w:rPr>
              <w:t>Mr. Heiter</w:t>
            </w:r>
          </w:p>
        </w:tc>
        <w:tc>
          <w:tcPr>
            <w:tcW w:w="1500" w:type="dxa"/>
            <w:vAlign w:val="bottom"/>
            <w:gridSpan w:val="2"/>
            <w:shd w:val="clear" w:color="auto" w:fill="C6D9F1"/>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6D9F1"/>
          </w:tcPr>
          <w:p>
            <w:pPr>
              <w:ind w:left="4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5,251</w:t>
            </w:r>
          </w:p>
        </w:tc>
        <w:tc>
          <w:tcPr>
            <w:tcW w:w="720" w:type="dxa"/>
            <w:vAlign w:val="bottom"/>
            <w:shd w:val="clear" w:color="auto" w:fill="C6D9F1"/>
          </w:tcPr>
          <w:p>
            <w:pPr>
              <w:spacing w:after="0"/>
              <w:rPr>
                <w:sz w:val="17"/>
                <w:szCs w:val="17"/>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40,377</w:t>
            </w:r>
          </w:p>
        </w:tc>
        <w:tc>
          <w:tcPr>
            <w:tcW w:w="0" w:type="dxa"/>
            <w:vAlign w:val="bottom"/>
          </w:tcPr>
          <w:p>
            <w:pPr>
              <w:spacing w:after="0"/>
              <w:rPr>
                <w:sz w:val="1"/>
                <w:szCs w:val="1"/>
                <w:color w:val="auto"/>
              </w:rPr>
            </w:pPr>
          </w:p>
        </w:tc>
      </w:tr>
      <w:tr>
        <w:trPr>
          <w:trHeight w:val="198"/>
        </w:trPr>
        <w:tc>
          <w:tcPr>
            <w:tcW w:w="4860" w:type="dxa"/>
            <w:vAlign w:val="bottom"/>
          </w:tcPr>
          <w:p>
            <w:pPr>
              <w:spacing w:after="0"/>
              <w:rPr>
                <w:sz w:val="20"/>
                <w:szCs w:val="20"/>
                <w:color w:val="auto"/>
              </w:rPr>
            </w:pPr>
            <w:r>
              <w:rPr>
                <w:rFonts w:ascii="Arial" w:cs="Arial" w:eastAsia="Arial" w:hAnsi="Arial"/>
                <w:sz w:val="16"/>
                <w:szCs w:val="16"/>
                <w:color w:val="auto"/>
              </w:rPr>
              <w:t>Mr. Qualters</w:t>
            </w:r>
          </w:p>
        </w:tc>
        <w:tc>
          <w:tcPr>
            <w:tcW w:w="15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3,463</w:t>
            </w:r>
          </w:p>
        </w:tc>
        <w:tc>
          <w:tcPr>
            <w:tcW w:w="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26,729</w:t>
            </w:r>
          </w:p>
        </w:tc>
        <w:tc>
          <w:tcPr>
            <w:tcW w:w="0" w:type="dxa"/>
            <w:vAlign w:val="bottom"/>
          </w:tcPr>
          <w:p>
            <w:pPr>
              <w:spacing w:after="0"/>
              <w:rPr>
                <w:sz w:val="1"/>
                <w:szCs w:val="1"/>
                <w:color w:val="auto"/>
              </w:rPr>
            </w:pPr>
          </w:p>
        </w:tc>
      </w:tr>
      <w:tr>
        <w:trPr>
          <w:trHeight w:val="198"/>
        </w:trPr>
        <w:tc>
          <w:tcPr>
            <w:tcW w:w="4860" w:type="dxa"/>
            <w:vAlign w:val="bottom"/>
            <w:shd w:val="clear" w:color="auto" w:fill="C6D9F1"/>
          </w:tcPr>
          <w:p>
            <w:pPr>
              <w:spacing w:after="0"/>
              <w:rPr>
                <w:sz w:val="20"/>
                <w:szCs w:val="20"/>
                <w:color w:val="auto"/>
              </w:rPr>
            </w:pPr>
            <w:r>
              <w:rPr>
                <w:rFonts w:ascii="Arial" w:cs="Arial" w:eastAsia="Arial" w:hAnsi="Arial"/>
                <w:sz w:val="16"/>
                <w:szCs w:val="16"/>
                <w:color w:val="auto"/>
              </w:rPr>
              <w:t>Mr. Buchan</w:t>
            </w:r>
          </w:p>
        </w:tc>
        <w:tc>
          <w:tcPr>
            <w:tcW w:w="1500" w:type="dxa"/>
            <w:vAlign w:val="bottom"/>
            <w:gridSpan w:val="2"/>
            <w:shd w:val="clear" w:color="auto" w:fill="C6D9F1"/>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6D9F1"/>
          </w:tcPr>
          <w:p>
            <w:pPr>
              <w:ind w:left="4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6D9F1"/>
          </w:tcPr>
          <w:p>
            <w:pPr>
              <w:jc w:val="right"/>
              <w:spacing w:after="0"/>
              <w:rPr>
                <w:sz w:val="20"/>
                <w:szCs w:val="20"/>
                <w:color w:val="auto"/>
              </w:rPr>
            </w:pPr>
            <w:r>
              <w:rPr>
                <w:rFonts w:ascii="Arial" w:cs="Arial" w:eastAsia="Arial" w:hAnsi="Arial"/>
                <w:sz w:val="16"/>
                <w:szCs w:val="16"/>
                <w:color w:val="auto"/>
              </w:rPr>
              <w:t>4,360</w:t>
            </w:r>
          </w:p>
        </w:tc>
        <w:tc>
          <w:tcPr>
            <w:tcW w:w="720" w:type="dxa"/>
            <w:vAlign w:val="bottom"/>
            <w:shd w:val="clear" w:color="auto" w:fill="C6D9F1"/>
          </w:tcPr>
          <w:p>
            <w:pPr>
              <w:spacing w:after="0"/>
              <w:rPr>
                <w:sz w:val="17"/>
                <w:szCs w:val="17"/>
                <w:color w:val="auto"/>
              </w:rPr>
            </w:pPr>
          </w:p>
        </w:tc>
        <w:tc>
          <w:tcPr>
            <w:tcW w:w="660" w:type="dxa"/>
            <w:vAlign w:val="bottom"/>
            <w:shd w:val="clear" w:color="auto" w:fill="C6D9F1"/>
          </w:tcPr>
          <w:p>
            <w:pPr>
              <w:jc w:val="right"/>
              <w:spacing w:after="0"/>
              <w:rPr>
                <w:sz w:val="20"/>
                <w:szCs w:val="20"/>
                <w:color w:val="auto"/>
              </w:rPr>
            </w:pPr>
            <w:r>
              <w:rPr>
                <w:rFonts w:ascii="Arial" w:cs="Arial" w:eastAsia="Arial" w:hAnsi="Arial"/>
                <w:sz w:val="16"/>
                <w:szCs w:val="16"/>
                <w:color w:val="auto"/>
              </w:rPr>
              <w:t>33,635</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20"/>
                <w:szCs w:val="20"/>
                <w:color w:val="auto"/>
              </w:rPr>
            </w:pPr>
            <w:r>
              <w:rPr>
                <w:rFonts w:ascii="Arial" w:cs="Arial" w:eastAsia="Arial" w:hAnsi="Arial"/>
                <w:sz w:val="16"/>
                <w:szCs w:val="16"/>
                <w:color w:val="auto"/>
              </w:rPr>
              <w:t>Mr. Atkinson</w:t>
            </w:r>
          </w:p>
        </w:tc>
        <w:tc>
          <w:tcPr>
            <w:tcW w:w="150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7,323</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-892810</wp:posOffset>
            </wp:positionV>
            <wp:extent cx="6587490" cy="133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87490" cy="133350"/>
                    </a:xfrm>
                    <a:prstGeom prst="rect">
                      <a:avLst/>
                    </a:prstGeom>
                    <a:noFill/>
                  </pic:spPr>
                </pic:pic>
              </a:graphicData>
            </a:graphic>
          </wp:anchor>
        </w:drawing>
      </w:r>
    </w:p>
    <w:p>
      <w:pPr>
        <w:spacing w:after="0" w:line="24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Employment and Change of Control Agreements with Named Executive Officers</w:t>
      </w:r>
    </w:p>
    <w:p>
      <w:pPr>
        <w:spacing w:after="0" w:line="116" w:lineRule="exact"/>
        <w:rPr>
          <w:sz w:val="20"/>
          <w:szCs w:val="20"/>
          <w:color w:val="auto"/>
        </w:rPr>
      </w:pPr>
    </w:p>
    <w:p>
      <w:pPr>
        <w:ind w:left="1" w:firstLine="539"/>
        <w:spacing w:after="0" w:line="283" w:lineRule="auto"/>
        <w:rPr>
          <w:sz w:val="20"/>
          <w:szCs w:val="20"/>
          <w:color w:val="auto"/>
        </w:rPr>
      </w:pPr>
      <w:r>
        <w:rPr>
          <w:rFonts w:ascii="Arial" w:cs="Arial" w:eastAsia="Arial" w:hAnsi="Arial"/>
          <w:sz w:val="15"/>
          <w:szCs w:val="15"/>
          <w:color w:val="auto"/>
        </w:rPr>
        <w:t>Each of our named executive officers has either a separation agreement or a written employment agreement to serve in his respective position that extends automatically for successive one-year terms unless either party gives notice of termination. We may terminate each named executive officer’s employment with or without cause, but if terminated without cause, the executive would continue to receive his annual salary, paid on a monthly basis, for either (i) eighteen months, or (ii) twelve months, subject to the increase noted below, from the date of termination, plus a lump sum payment of $12,000 as a transition assistance payment. If the named executive officer has more than 12 years of service at the date of termination, such named executive officer will receive one additional month of salary paid for each year of service up to a maximum additional six months, if employed for 18 years or more. The agreements for each of our named executive officers also include a non-competition term that ends two years after the conclusion of each executive’s employment with the Company.</w:t>
      </w:r>
    </w:p>
    <w:p>
      <w:pPr>
        <w:spacing w:after="0" w:line="157" w:lineRule="exact"/>
        <w:rPr>
          <w:sz w:val="20"/>
          <w:szCs w:val="20"/>
          <w:color w:val="auto"/>
        </w:rPr>
      </w:pPr>
    </w:p>
    <w:p>
      <w:pPr>
        <w:ind w:left="1" w:right="100" w:firstLine="539"/>
        <w:spacing w:after="0" w:line="264" w:lineRule="auto"/>
        <w:rPr>
          <w:sz w:val="20"/>
          <w:szCs w:val="20"/>
          <w:color w:val="auto"/>
        </w:rPr>
      </w:pPr>
      <w:r>
        <w:rPr>
          <w:rFonts w:ascii="Arial" w:cs="Arial" w:eastAsia="Arial" w:hAnsi="Arial"/>
          <w:sz w:val="16"/>
          <w:szCs w:val="16"/>
          <w:color w:val="auto"/>
        </w:rPr>
        <w:t>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will receive: (i) a lump sum payment equal to the sum of two-times the named executive officer’s base salary (as of the date of termination) plus the named executive officer’s target bonus; (ii) a lump sum payment equal to the target annual bonus to which the named executive officer would have been entitled for the year of termination, if any, pro-rated for the portion of the year during which the named executive officer was employed with the Company; and (iii) a lump sum payment of $12,000 as a transition assistance payment.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1"/>
          </w:cols>
          <w:pgMar w:left="319" w:top="349" w:right="339" w:bottom="1440" w:gutter="0" w:footer="0" w:header="0"/>
        </w:sectPr>
      </w:pPr>
    </w:p>
    <w:bookmarkStart w:id="43" w:name="page44"/>
    <w:bookmarkEnd w:id="43"/>
    <w:p>
      <w:pPr>
        <w:jc w:val="both"/>
        <w:ind w:right="20" w:firstLine="539"/>
        <w:spacing w:after="0" w:line="273" w:lineRule="auto"/>
        <w:rPr>
          <w:sz w:val="20"/>
          <w:szCs w:val="20"/>
          <w:color w:val="auto"/>
        </w:rPr>
      </w:pPr>
      <w:r>
        <w:rPr>
          <w:rFonts w:ascii="Arial" w:cs="Arial" w:eastAsia="Arial" w:hAnsi="Arial"/>
          <w:sz w:val="16"/>
          <w:szCs w:val="16"/>
          <w:color w:val="auto"/>
        </w:rPr>
        <w:t>The following table shows the compensation each named executive officer would have received under their respective agreements had a change in control and the termination of the executive’s service occurred, each as of December 31, 2019, except for Messrs. Holder, Burwell and Atkinson, whose actual compensation triggered by their respective resignations in 2019 is disclosed separately below.</w:t>
      </w:r>
    </w:p>
    <w:p>
      <w:pPr>
        <w:spacing w:after="0" w:line="141"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Restricted Stock And</w:t>
            </w:r>
          </w:p>
        </w:tc>
        <w:tc>
          <w:tcPr>
            <w:tcW w:w="1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93"/>
              </w:rPr>
              <w:t>Performance Share Unit</w:t>
            </w: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60" w:type="dxa"/>
            <w:vAlign w:val="bottom"/>
          </w:tcPr>
          <w:p>
            <w:pPr>
              <w:spacing w:after="0"/>
              <w:rPr>
                <w:sz w:val="11"/>
                <w:szCs w:val="11"/>
                <w:color w:val="auto"/>
              </w:rPr>
            </w:pPr>
          </w:p>
        </w:tc>
        <w:tc>
          <w:tcPr>
            <w:tcW w:w="1520" w:type="dxa"/>
            <w:vAlign w:val="bottom"/>
            <w:gridSpan w:val="2"/>
          </w:tcPr>
          <w:p>
            <w:pPr>
              <w:ind w:left="280"/>
              <w:spacing w:after="0" w:line="136" w:lineRule="exact"/>
              <w:rPr>
                <w:sz w:val="20"/>
                <w:szCs w:val="20"/>
                <w:color w:val="auto"/>
              </w:rPr>
            </w:pPr>
            <w:r>
              <w:rPr>
                <w:rFonts w:ascii="Arial" w:cs="Arial" w:eastAsia="Arial" w:hAnsi="Arial"/>
                <w:sz w:val="13"/>
                <w:szCs w:val="13"/>
                <w:b w:val="1"/>
                <w:bCs w:val="1"/>
                <w:color w:val="auto"/>
              </w:rPr>
              <w:t>Cash Severance</w:t>
            </w:r>
          </w:p>
        </w:tc>
        <w:tc>
          <w:tcPr>
            <w:tcW w:w="1900" w:type="dxa"/>
            <w:vAlign w:val="bottom"/>
            <w:gridSpan w:val="2"/>
          </w:tcPr>
          <w:p>
            <w:pPr>
              <w:jc w:val="center"/>
              <w:ind w:right="140"/>
              <w:spacing w:after="0" w:line="136" w:lineRule="exact"/>
              <w:rPr>
                <w:sz w:val="20"/>
                <w:szCs w:val="20"/>
                <w:color w:val="auto"/>
              </w:rPr>
            </w:pPr>
            <w:r>
              <w:rPr>
                <w:rFonts w:ascii="Arial" w:cs="Arial" w:eastAsia="Arial" w:hAnsi="Arial"/>
                <w:sz w:val="13"/>
                <w:szCs w:val="13"/>
                <w:b w:val="1"/>
                <w:bCs w:val="1"/>
                <w:color w:val="auto"/>
                <w:w w:val="91"/>
              </w:rPr>
              <w:t>Stock Option Acceleration</w:t>
            </w:r>
          </w:p>
        </w:tc>
        <w:tc>
          <w:tcPr>
            <w:tcW w:w="170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89"/>
              </w:rPr>
              <w:t>Acceleration</w:t>
            </w:r>
          </w:p>
        </w:tc>
        <w:tc>
          <w:tcPr>
            <w:tcW w:w="1640" w:type="dxa"/>
            <w:vAlign w:val="bottom"/>
            <w:gridSpan w:val="2"/>
          </w:tcPr>
          <w:p>
            <w:pPr>
              <w:ind w:left="660"/>
              <w:spacing w:after="0" w:line="13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3400" w:type="dxa"/>
            <w:vAlign w:val="bottom"/>
            <w:tcBorders>
              <w:bottom w:val="single" w:sz="8" w:color="auto"/>
            </w:tcBorders>
            <w:vMerge w:val="continue"/>
          </w:tcPr>
          <w:p>
            <w:pPr>
              <w:spacing w:after="0"/>
              <w:rPr>
                <w:sz w:val="14"/>
                <w:szCs w:val="14"/>
                <w:color w:val="auto"/>
              </w:rPr>
            </w:pPr>
          </w:p>
        </w:tc>
        <w:tc>
          <w:tcPr>
            <w:tcW w:w="1500" w:type="dxa"/>
            <w:vAlign w:val="bottom"/>
            <w:gridSpan w:val="2"/>
          </w:tcPr>
          <w:p>
            <w:pPr>
              <w:jc w:val="right"/>
              <w:ind w:right="506"/>
              <w:spacing w:after="0" w:line="14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9"/>
                <w:szCs w:val="9"/>
                <w:b w:val="1"/>
                <w:bCs w:val="1"/>
                <w:color w:val="auto"/>
              </w:rPr>
              <w:t>(1)</w:t>
            </w:r>
          </w:p>
        </w:tc>
        <w:tc>
          <w:tcPr>
            <w:tcW w:w="80" w:type="dxa"/>
            <w:vAlign w:val="bottom"/>
          </w:tcPr>
          <w:p>
            <w:pPr>
              <w:spacing w:after="0"/>
              <w:rPr>
                <w:sz w:val="14"/>
                <w:szCs w:val="14"/>
                <w:color w:val="auto"/>
              </w:rPr>
            </w:pPr>
          </w:p>
        </w:tc>
        <w:tc>
          <w:tcPr>
            <w:tcW w:w="1780" w:type="dxa"/>
            <w:vAlign w:val="bottom"/>
          </w:tcPr>
          <w:p>
            <w:pPr>
              <w:jc w:val="center"/>
              <w:ind w:right="662"/>
              <w:spacing w:after="0" w:line="144"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9"/>
                <w:szCs w:val="9"/>
                <w:b w:val="1"/>
                <w:bCs w:val="1"/>
                <w:color w:val="auto"/>
              </w:rPr>
              <w:t>(2)</w:t>
            </w:r>
          </w:p>
        </w:tc>
        <w:tc>
          <w:tcPr>
            <w:tcW w:w="120" w:type="dxa"/>
            <w:vAlign w:val="bottom"/>
          </w:tcPr>
          <w:p>
            <w:pPr>
              <w:spacing w:after="0"/>
              <w:rPr>
                <w:sz w:val="14"/>
                <w:szCs w:val="14"/>
                <w:color w:val="auto"/>
              </w:rPr>
            </w:pPr>
          </w:p>
        </w:tc>
        <w:tc>
          <w:tcPr>
            <w:tcW w:w="15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9"/>
                <w:szCs w:val="9"/>
                <w:b w:val="1"/>
                <w:bCs w:val="1"/>
                <w:color w:val="auto"/>
                <w:w w:val="96"/>
              </w:rPr>
              <w:t>(3)</w:t>
            </w:r>
          </w:p>
        </w:tc>
        <w:tc>
          <w:tcPr>
            <w:tcW w:w="180" w:type="dxa"/>
            <w:vAlign w:val="bottom"/>
          </w:tcPr>
          <w:p>
            <w:pPr>
              <w:spacing w:after="0"/>
              <w:rPr>
                <w:sz w:val="14"/>
                <w:szCs w:val="14"/>
                <w:color w:val="auto"/>
              </w:rPr>
            </w:pPr>
          </w:p>
        </w:tc>
        <w:tc>
          <w:tcPr>
            <w:tcW w:w="1620" w:type="dxa"/>
            <w:vAlign w:val="bottom"/>
          </w:tcPr>
          <w:p>
            <w:pPr>
              <w:jc w:val="right"/>
              <w:ind w:right="662"/>
              <w:spacing w:after="0" w:line="144"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00" w:type="dxa"/>
            <w:vAlign w:val="bottom"/>
          </w:tcPr>
          <w:p>
            <w:pPr>
              <w:spacing w:after="0"/>
              <w:rPr>
                <w:sz w:val="20"/>
                <w:szCs w:val="20"/>
                <w:color w:val="auto"/>
              </w:rPr>
            </w:pPr>
            <w:r>
              <w:rPr>
                <w:rFonts w:ascii="Arial" w:cs="Arial" w:eastAsia="Arial" w:hAnsi="Arial"/>
                <w:sz w:val="16"/>
                <w:szCs w:val="16"/>
                <w:color w:val="auto"/>
              </w:rPr>
              <w:t>Mr. Veltman</w:t>
            </w:r>
          </w:p>
        </w:tc>
        <w:tc>
          <w:tcPr>
            <w:tcW w:w="6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1,752,000</w:t>
            </w:r>
          </w:p>
        </w:tc>
        <w:tc>
          <w:tcPr>
            <w:tcW w:w="80" w:type="dxa"/>
            <w:vAlign w:val="bottom"/>
          </w:tcPr>
          <w:p>
            <w:pPr>
              <w:spacing w:after="0"/>
              <w:rPr>
                <w:sz w:val="16"/>
                <w:szCs w:val="16"/>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705,340</w:t>
            </w:r>
          </w:p>
        </w:tc>
        <w:tc>
          <w:tcPr>
            <w:tcW w:w="180" w:type="dxa"/>
            <w:vAlign w:val="bottom"/>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2,457,340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00" w:type="dxa"/>
            <w:vAlign w:val="bottom"/>
            <w:shd w:val="clear" w:color="auto" w:fill="C6D9F1"/>
          </w:tcPr>
          <w:p>
            <w:pPr>
              <w:spacing w:after="0"/>
              <w:rPr>
                <w:sz w:val="20"/>
                <w:szCs w:val="20"/>
                <w:color w:val="auto"/>
              </w:rPr>
            </w:pPr>
            <w:r>
              <w:rPr>
                <w:rFonts w:ascii="Arial" w:cs="Arial" w:eastAsia="Arial" w:hAnsi="Arial"/>
                <w:sz w:val="16"/>
                <w:szCs w:val="16"/>
                <w:color w:val="auto"/>
              </w:rPr>
              <w:t>Mr. DeByle</w:t>
            </w:r>
          </w:p>
        </w:tc>
        <w:tc>
          <w:tcPr>
            <w:tcW w:w="1580" w:type="dxa"/>
            <w:vAlign w:val="bottom"/>
            <w:gridSpan w:val="3"/>
            <w:shd w:val="clear" w:color="auto" w:fill="C6D9F1"/>
          </w:tcPr>
          <w:p>
            <w:pPr>
              <w:jc w:val="right"/>
              <w:ind w:right="80"/>
              <w:spacing w:after="0"/>
              <w:rPr>
                <w:sz w:val="20"/>
                <w:szCs w:val="20"/>
                <w:color w:val="auto"/>
              </w:rPr>
            </w:pPr>
            <w:r>
              <w:rPr>
                <w:rFonts w:ascii="Arial" w:cs="Arial" w:eastAsia="Arial" w:hAnsi="Arial"/>
                <w:sz w:val="16"/>
                <w:szCs w:val="16"/>
                <w:color w:val="auto"/>
              </w:rPr>
              <w:t>1,402,500</w:t>
            </w:r>
          </w:p>
        </w:tc>
        <w:tc>
          <w:tcPr>
            <w:tcW w:w="1900" w:type="dxa"/>
            <w:vAlign w:val="bottom"/>
            <w:gridSpan w:val="2"/>
            <w:shd w:val="clear" w:color="auto" w:fill="C6D9F1"/>
          </w:tcPr>
          <w:p>
            <w:pPr>
              <w:jc w:val="center"/>
              <w:ind w:right="60"/>
              <w:spacing w:after="0"/>
              <w:rPr>
                <w:sz w:val="20"/>
                <w:szCs w:val="20"/>
                <w:color w:val="auto"/>
              </w:rPr>
            </w:pPr>
            <w:r>
              <w:rPr>
                <w:rFonts w:ascii="Arial" w:cs="Arial" w:eastAsia="Arial" w:hAnsi="Arial"/>
                <w:sz w:val="16"/>
                <w:szCs w:val="16"/>
                <w:color w:val="auto"/>
                <w:w w:val="99"/>
              </w:rPr>
              <w:t>—</w:t>
            </w:r>
          </w:p>
        </w:tc>
        <w:tc>
          <w:tcPr>
            <w:tcW w:w="1700" w:type="dxa"/>
            <w:vAlign w:val="bottom"/>
            <w:gridSpan w:val="2"/>
            <w:shd w:val="clear" w:color="auto" w:fill="C6D9F1"/>
          </w:tcPr>
          <w:p>
            <w:pPr>
              <w:jc w:val="right"/>
              <w:ind w:right="180"/>
              <w:spacing w:after="0"/>
              <w:rPr>
                <w:sz w:val="20"/>
                <w:szCs w:val="20"/>
                <w:color w:val="auto"/>
              </w:rPr>
            </w:pPr>
            <w:r>
              <w:rPr>
                <w:rFonts w:ascii="Arial" w:cs="Arial" w:eastAsia="Arial" w:hAnsi="Arial"/>
                <w:sz w:val="16"/>
                <w:szCs w:val="16"/>
                <w:color w:val="auto"/>
              </w:rPr>
              <w:t>280,303</w:t>
            </w:r>
          </w:p>
        </w:tc>
        <w:tc>
          <w:tcPr>
            <w:tcW w:w="16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1,682,803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20"/>
                <w:szCs w:val="20"/>
                <w:color w:val="auto"/>
              </w:rPr>
            </w:pPr>
            <w:r>
              <w:rPr>
                <w:rFonts w:ascii="Arial" w:cs="Arial" w:eastAsia="Arial" w:hAnsi="Arial"/>
                <w:sz w:val="16"/>
                <w:szCs w:val="16"/>
                <w:color w:val="auto"/>
              </w:rPr>
              <w:t>Mr. Heiter</w:t>
            </w:r>
          </w:p>
        </w:tc>
        <w:tc>
          <w:tcPr>
            <w:tcW w:w="1580" w:type="dxa"/>
            <w:vAlign w:val="bottom"/>
            <w:gridSpan w:val="3"/>
          </w:tcPr>
          <w:p>
            <w:pPr>
              <w:jc w:val="right"/>
              <w:ind w:right="80"/>
              <w:spacing w:after="0"/>
              <w:rPr>
                <w:sz w:val="20"/>
                <w:szCs w:val="20"/>
                <w:color w:val="auto"/>
              </w:rPr>
            </w:pPr>
            <w:r>
              <w:rPr>
                <w:rFonts w:ascii="Arial" w:cs="Arial" w:eastAsia="Arial" w:hAnsi="Arial"/>
                <w:sz w:val="16"/>
                <w:szCs w:val="16"/>
                <w:color w:val="auto"/>
              </w:rPr>
              <w:t>935,260</w:t>
            </w:r>
          </w:p>
        </w:tc>
        <w:tc>
          <w:tcPr>
            <w:tcW w:w="190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434,510</w:t>
            </w:r>
          </w:p>
        </w:tc>
        <w:tc>
          <w:tcPr>
            <w:tcW w:w="1620" w:type="dxa"/>
            <w:vAlign w:val="bottom"/>
          </w:tcPr>
          <w:p>
            <w:pPr>
              <w:jc w:val="right"/>
              <w:spacing w:after="0"/>
              <w:rPr>
                <w:sz w:val="20"/>
                <w:szCs w:val="20"/>
                <w:color w:val="auto"/>
              </w:rPr>
            </w:pPr>
            <w:r>
              <w:rPr>
                <w:rFonts w:ascii="Arial" w:cs="Arial" w:eastAsia="Arial" w:hAnsi="Arial"/>
                <w:sz w:val="16"/>
                <w:szCs w:val="16"/>
                <w:color w:val="auto"/>
              </w:rPr>
              <w:t>1,369,770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0" w:type="dxa"/>
            <w:vAlign w:val="bottom"/>
            <w:shd w:val="clear" w:color="auto" w:fill="C6D9F1"/>
          </w:tcPr>
          <w:p>
            <w:pPr>
              <w:spacing w:after="0"/>
              <w:rPr>
                <w:sz w:val="20"/>
                <w:szCs w:val="20"/>
                <w:color w:val="auto"/>
              </w:rPr>
            </w:pPr>
            <w:r>
              <w:rPr>
                <w:rFonts w:ascii="Arial" w:cs="Arial" w:eastAsia="Arial" w:hAnsi="Arial"/>
                <w:sz w:val="16"/>
                <w:szCs w:val="16"/>
                <w:color w:val="auto"/>
              </w:rPr>
              <w:t>Mr. Qualters</w:t>
            </w:r>
          </w:p>
        </w:tc>
        <w:tc>
          <w:tcPr>
            <w:tcW w:w="1580" w:type="dxa"/>
            <w:vAlign w:val="bottom"/>
            <w:gridSpan w:val="3"/>
            <w:shd w:val="clear" w:color="auto" w:fill="C6D9F1"/>
          </w:tcPr>
          <w:p>
            <w:pPr>
              <w:jc w:val="right"/>
              <w:ind w:right="80"/>
              <w:spacing w:after="0"/>
              <w:rPr>
                <w:sz w:val="20"/>
                <w:szCs w:val="20"/>
                <w:color w:val="auto"/>
              </w:rPr>
            </w:pPr>
            <w:r>
              <w:rPr>
                <w:rFonts w:ascii="Arial" w:cs="Arial" w:eastAsia="Arial" w:hAnsi="Arial"/>
                <w:sz w:val="16"/>
                <w:szCs w:val="16"/>
                <w:color w:val="auto"/>
              </w:rPr>
              <w:t>798,123</w:t>
            </w:r>
          </w:p>
        </w:tc>
        <w:tc>
          <w:tcPr>
            <w:tcW w:w="1900" w:type="dxa"/>
            <w:vAlign w:val="bottom"/>
            <w:gridSpan w:val="2"/>
            <w:shd w:val="clear" w:color="auto" w:fill="C6D9F1"/>
          </w:tcPr>
          <w:p>
            <w:pPr>
              <w:jc w:val="center"/>
              <w:ind w:right="60"/>
              <w:spacing w:after="0"/>
              <w:rPr>
                <w:sz w:val="20"/>
                <w:szCs w:val="20"/>
                <w:color w:val="auto"/>
              </w:rPr>
            </w:pPr>
            <w:r>
              <w:rPr>
                <w:rFonts w:ascii="Arial" w:cs="Arial" w:eastAsia="Arial" w:hAnsi="Arial"/>
                <w:sz w:val="16"/>
                <w:szCs w:val="16"/>
                <w:color w:val="auto"/>
                <w:w w:val="99"/>
              </w:rPr>
              <w:t>—</w:t>
            </w:r>
          </w:p>
        </w:tc>
        <w:tc>
          <w:tcPr>
            <w:tcW w:w="1700" w:type="dxa"/>
            <w:vAlign w:val="bottom"/>
            <w:gridSpan w:val="2"/>
            <w:shd w:val="clear" w:color="auto" w:fill="C6D9F1"/>
          </w:tcPr>
          <w:p>
            <w:pPr>
              <w:jc w:val="right"/>
              <w:ind w:right="180"/>
              <w:spacing w:after="0"/>
              <w:rPr>
                <w:sz w:val="20"/>
                <w:szCs w:val="20"/>
                <w:color w:val="auto"/>
              </w:rPr>
            </w:pPr>
            <w:r>
              <w:rPr>
                <w:rFonts w:ascii="Arial" w:cs="Arial" w:eastAsia="Arial" w:hAnsi="Arial"/>
                <w:sz w:val="16"/>
                <w:szCs w:val="16"/>
                <w:color w:val="auto"/>
              </w:rPr>
              <w:t>374,292</w:t>
            </w:r>
          </w:p>
        </w:tc>
        <w:tc>
          <w:tcPr>
            <w:tcW w:w="1620" w:type="dxa"/>
            <w:vAlign w:val="bottom"/>
            <w:shd w:val="clear" w:color="auto" w:fill="C6D9F1"/>
          </w:tcPr>
          <w:p>
            <w:pPr>
              <w:jc w:val="right"/>
              <w:spacing w:after="0"/>
              <w:rPr>
                <w:sz w:val="20"/>
                <w:szCs w:val="20"/>
                <w:color w:val="auto"/>
              </w:rPr>
            </w:pPr>
            <w:r>
              <w:rPr>
                <w:rFonts w:ascii="Arial" w:cs="Arial" w:eastAsia="Arial" w:hAnsi="Arial"/>
                <w:sz w:val="16"/>
                <w:szCs w:val="16"/>
                <w:color w:val="auto"/>
              </w:rPr>
              <w:t>1,172,415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400" w:type="dxa"/>
            <w:vAlign w:val="bottom"/>
          </w:tcPr>
          <w:p>
            <w:pPr>
              <w:spacing w:after="0" w:line="178" w:lineRule="exact"/>
              <w:rPr>
                <w:sz w:val="20"/>
                <w:szCs w:val="20"/>
                <w:color w:val="auto"/>
              </w:rPr>
            </w:pPr>
            <w:r>
              <w:rPr>
                <w:rFonts w:ascii="Arial" w:cs="Arial" w:eastAsia="Arial" w:hAnsi="Arial"/>
                <w:sz w:val="16"/>
                <w:szCs w:val="16"/>
                <w:color w:val="auto"/>
              </w:rPr>
              <w:t>Mr. Buchan</w:t>
            </w:r>
          </w:p>
        </w:tc>
        <w:tc>
          <w:tcPr>
            <w:tcW w:w="1580" w:type="dxa"/>
            <w:vAlign w:val="bottom"/>
            <w:gridSpan w:val="3"/>
          </w:tcPr>
          <w:p>
            <w:pPr>
              <w:jc w:val="right"/>
              <w:ind w:right="80"/>
              <w:spacing w:after="0" w:line="178" w:lineRule="exact"/>
              <w:rPr>
                <w:sz w:val="20"/>
                <w:szCs w:val="20"/>
                <w:color w:val="auto"/>
              </w:rPr>
            </w:pPr>
            <w:r>
              <w:rPr>
                <w:rFonts w:ascii="Arial" w:cs="Arial" w:eastAsia="Arial" w:hAnsi="Arial"/>
                <w:sz w:val="16"/>
                <w:szCs w:val="16"/>
                <w:color w:val="auto"/>
              </w:rPr>
              <w:t>837,000</w:t>
            </w:r>
          </w:p>
        </w:tc>
        <w:tc>
          <w:tcPr>
            <w:tcW w:w="1780" w:type="dxa"/>
            <w:vAlign w:val="bottom"/>
          </w:tcPr>
          <w:p>
            <w:pPr>
              <w:jc w:val="center"/>
              <w:spacing w:after="0" w:line="178" w:lineRule="exact"/>
              <w:rPr>
                <w:sz w:val="20"/>
                <w:szCs w:val="20"/>
                <w:color w:val="auto"/>
              </w:rPr>
            </w:pPr>
            <w:r>
              <w:rPr>
                <w:rFonts w:ascii="Arial" w:cs="Arial" w:eastAsia="Arial" w:hAnsi="Arial"/>
                <w:sz w:val="16"/>
                <w:szCs w:val="16"/>
                <w:color w:val="auto"/>
                <w:w w:val="89"/>
              </w:rPr>
              <w:t>18,084</w:t>
            </w:r>
          </w:p>
        </w:tc>
        <w:tc>
          <w:tcPr>
            <w:tcW w:w="120" w:type="dxa"/>
            <w:vAlign w:val="bottom"/>
          </w:tcPr>
          <w:p>
            <w:pPr>
              <w:spacing w:after="0"/>
              <w:rPr>
                <w:sz w:val="15"/>
                <w:szCs w:val="15"/>
                <w:color w:val="auto"/>
              </w:rPr>
            </w:pPr>
          </w:p>
        </w:tc>
        <w:tc>
          <w:tcPr>
            <w:tcW w:w="1700" w:type="dxa"/>
            <w:vAlign w:val="bottom"/>
            <w:gridSpan w:val="2"/>
          </w:tcPr>
          <w:p>
            <w:pPr>
              <w:jc w:val="right"/>
              <w:ind w:right="180"/>
              <w:spacing w:after="0" w:line="178" w:lineRule="exact"/>
              <w:rPr>
                <w:sz w:val="20"/>
                <w:szCs w:val="20"/>
                <w:color w:val="auto"/>
              </w:rPr>
            </w:pPr>
            <w:r>
              <w:rPr>
                <w:rFonts w:ascii="Arial" w:cs="Arial" w:eastAsia="Arial" w:hAnsi="Arial"/>
                <w:sz w:val="16"/>
                <w:szCs w:val="16"/>
                <w:color w:val="auto"/>
              </w:rPr>
              <w:t>164,854</w:t>
            </w:r>
          </w:p>
        </w:tc>
        <w:tc>
          <w:tcPr>
            <w:tcW w:w="1620" w:type="dxa"/>
            <w:vAlign w:val="bottom"/>
          </w:tcPr>
          <w:p>
            <w:pPr>
              <w:jc w:val="right"/>
              <w:spacing w:after="0" w:line="178" w:lineRule="exact"/>
              <w:rPr>
                <w:sz w:val="20"/>
                <w:szCs w:val="20"/>
                <w:color w:val="auto"/>
              </w:rPr>
            </w:pPr>
            <w:r>
              <w:rPr>
                <w:rFonts w:ascii="Arial" w:cs="Arial" w:eastAsia="Arial" w:hAnsi="Arial"/>
                <w:sz w:val="16"/>
                <w:szCs w:val="16"/>
                <w:color w:val="auto"/>
              </w:rPr>
              <w:t>1,019,938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0"/>
                <w:szCs w:val="20"/>
                <w:color w:val="auto"/>
              </w:rPr>
            </w:pPr>
            <w:r>
              <w:rPr>
                <w:rFonts w:ascii="Arial" w:cs="Arial" w:eastAsia="Arial" w:hAnsi="Arial"/>
                <w:sz w:val="20"/>
                <w:szCs w:val="20"/>
                <w:color w:val="auto"/>
              </w:rPr>
              <w:t>_______________</w:t>
            </w: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860" w:right="840" w:hanging="663"/>
        <w:spacing w:after="0" w:line="262"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Amounts represent two-times the named executive officer’s base salary, plus the named executive officer’s target bonus, plus a transition assistance payment of $12,000. None of the named executive officers were entitled to their bonuses for 2019, so that additional component is not reflected in the amounts above.</w:t>
      </w:r>
    </w:p>
    <w:p>
      <w:pPr>
        <w:spacing w:after="0" w:line="1" w:lineRule="exact"/>
        <w:rPr>
          <w:rFonts w:ascii="Arial" w:cs="Arial" w:eastAsia="Arial" w:hAnsi="Arial"/>
          <w:sz w:val="16"/>
          <w:szCs w:val="16"/>
          <w:color w:val="auto"/>
        </w:rPr>
      </w:pPr>
    </w:p>
    <w:p>
      <w:pPr>
        <w:ind w:left="860" w:right="780" w:hanging="663"/>
        <w:spacing w:after="0" w:line="294" w:lineRule="auto"/>
        <w:tabs>
          <w:tab w:leader="none" w:pos="8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Stock option acceleration is calculated based on the difference between: (a) the market value of the shares of common stock underlying the above named executive officer’s unvested options on December 31, 2019, and (b) the exercise price of the unvested options held by such executive officer. The market value as of December 31, 2019 is deemed to have been $9.25 per share, which is the closing sale price of our common stock reported for transactions effected on the Nasdaq Global Select Market on December 31, 2019. Mr. Buchan held unvested options as of December 31, 2019 with exercise prices of $24.55 per share and $7.93 per share. However, no compensation is reflected in this column for Mr. Buchan’s unvested options with an exercise price of $24.55 per share since the exercise price such unvested options is greater than the market value.</w:t>
      </w:r>
    </w:p>
    <w:p>
      <w:pPr>
        <w:spacing w:after="0" w:line="2" w:lineRule="exact"/>
        <w:rPr>
          <w:rFonts w:ascii="Arial" w:cs="Arial" w:eastAsia="Arial" w:hAnsi="Arial"/>
          <w:sz w:val="14"/>
          <w:szCs w:val="14"/>
          <w:color w:val="auto"/>
        </w:rPr>
      </w:pPr>
    </w:p>
    <w:p>
      <w:pPr>
        <w:ind w:left="860" w:right="760" w:hanging="663"/>
        <w:spacing w:after="0" w:line="261"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Restricted stock acceleration is calculated based on the market value of the above named executive officers’ unvested restricted stock and performance share units on December 31, 2019. The market value as of December 31, 2019 is deemed to have been $9.25 per share, which is the closing sale price of our common stock reported for transactions effected on the Nasdaq Global Select Market on December 31, 2019.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w:t>
      </w:r>
    </w:p>
    <w:p>
      <w:pPr>
        <w:spacing w:after="0" w:line="172" w:lineRule="exact"/>
        <w:rPr>
          <w:sz w:val="20"/>
          <w:szCs w:val="20"/>
          <w:color w:val="auto"/>
        </w:rPr>
      </w:pPr>
    </w:p>
    <w:p>
      <w:pPr>
        <w:ind w:right="160" w:firstLine="495"/>
        <w:spacing w:after="0" w:line="300" w:lineRule="auto"/>
        <w:rPr>
          <w:sz w:val="20"/>
          <w:szCs w:val="20"/>
          <w:color w:val="auto"/>
        </w:rPr>
      </w:pPr>
      <w:r>
        <w:rPr>
          <w:rFonts w:ascii="Arial" w:cs="Arial" w:eastAsia="Arial" w:hAnsi="Arial"/>
          <w:sz w:val="14"/>
          <w:szCs w:val="14"/>
          <w:color w:val="auto"/>
        </w:rPr>
        <w:t>Mr. Holder resigned effective as of September 13, 2019. We entered into a separation agreement and general release with Mr. Holder, dated September 15, 2019, under which Mr. Holder is entitled to receive severance payments equal to his last base salary of $972,000 for a period of 12 months following his resignation date, his annual target bonus in the amount of $656,752 and an additional payment in the amount of $37,000. Further, 52,496 unvested shares of restricted stock owned by</w:t>
      </w:r>
    </w:p>
    <w:p>
      <w:pPr>
        <w:ind w:right="180"/>
        <w:spacing w:after="0" w:line="275" w:lineRule="auto"/>
        <w:rPr>
          <w:sz w:val="20"/>
          <w:szCs w:val="20"/>
          <w:color w:val="auto"/>
        </w:rPr>
      </w:pPr>
      <w:r>
        <w:rPr>
          <w:rFonts w:ascii="Arial" w:cs="Arial" w:eastAsia="Arial" w:hAnsi="Arial"/>
          <w:sz w:val="16"/>
          <w:szCs w:val="16"/>
          <w:color w:val="auto"/>
        </w:rPr>
        <w:t>Mr. Holder vested, and the exercise period for his options to purchase shares of common stock will remain outstanding and exercisable until the tenth anniversary of the applicable date of grant.</w:t>
      </w:r>
    </w:p>
    <w:p>
      <w:pPr>
        <w:spacing w:after="0" w:line="160" w:lineRule="exact"/>
        <w:rPr>
          <w:sz w:val="20"/>
          <w:szCs w:val="20"/>
          <w:color w:val="auto"/>
        </w:rPr>
      </w:pPr>
    </w:p>
    <w:p>
      <w:pPr>
        <w:ind w:firstLine="495"/>
        <w:spacing w:after="0" w:line="287" w:lineRule="auto"/>
        <w:rPr>
          <w:sz w:val="20"/>
          <w:szCs w:val="20"/>
          <w:color w:val="auto"/>
        </w:rPr>
      </w:pPr>
      <w:r>
        <w:rPr>
          <w:rFonts w:ascii="Arial" w:cs="Arial" w:eastAsia="Arial" w:hAnsi="Arial"/>
          <w:sz w:val="15"/>
          <w:szCs w:val="15"/>
          <w:color w:val="auto"/>
        </w:rPr>
        <w:t>Mr. Burwell resigned effective as of July 12, 2019. We entered into a separation agreement and general release with Mr. Burwell, dated July 12, 2019, under which Mr. Burwell is entitled to receive the sum of $426,787, which is being paid over the thirteen months following his resignation. Further, any unvested options to purchase shares of common stock and unvested shares of restricted stock owned by Mr. Burwell vested, and the exercise period for his options to purchase shares of common stock was extended to July 12, 2021. In consideration of the payments and benefits provided under the Separation Agreement, Mr. Burwell agreed to certain confidentiality, non-competition and non-solicitation restrictions as well as other restrictive covenants and provided a global release of all claims.</w:t>
      </w:r>
    </w:p>
    <w:p>
      <w:pPr>
        <w:spacing w:after="0" w:line="154" w:lineRule="exact"/>
        <w:rPr>
          <w:sz w:val="20"/>
          <w:szCs w:val="20"/>
          <w:color w:val="auto"/>
        </w:rPr>
      </w:pPr>
    </w:p>
    <w:p>
      <w:pPr>
        <w:ind w:right="120" w:firstLine="495"/>
        <w:spacing w:after="0" w:line="268" w:lineRule="auto"/>
        <w:rPr>
          <w:sz w:val="20"/>
          <w:szCs w:val="20"/>
          <w:color w:val="auto"/>
        </w:rPr>
      </w:pPr>
      <w:r>
        <w:rPr>
          <w:rFonts w:ascii="Arial" w:cs="Arial" w:eastAsia="Arial" w:hAnsi="Arial"/>
          <w:sz w:val="16"/>
          <w:szCs w:val="16"/>
          <w:color w:val="auto"/>
        </w:rPr>
        <w:t>Mr. Atkinson resigned effective as of November 22, 2019. We entered into a separation agreement and general release with Mr. Atkinson, dated November 24, 2019, under which Mr. Atkinson is entitled to receive severance payments equal to $483,000, payable in accordance with the Company’s regular payroll procedures over the 18-month period following his separation date, and $12,000, payable in a lump sum, to assist with transition from employment. Further, 4,840 unvested shares of restricted stock owned by Mr. Atkinson vested.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16" w:lineRule="exact"/>
        <w:rPr>
          <w:sz w:val="20"/>
          <w:szCs w:val="20"/>
          <w:color w:val="auto"/>
        </w:rPr>
      </w:pPr>
    </w:p>
    <w:p>
      <w:pPr>
        <w:ind w:right="20" w:firstLine="495"/>
        <w:spacing w:after="0" w:line="265" w:lineRule="auto"/>
        <w:rPr>
          <w:sz w:val="20"/>
          <w:szCs w:val="20"/>
          <w:color w:val="auto"/>
        </w:rPr>
      </w:pPr>
      <w:r>
        <w:rPr>
          <w:rFonts w:ascii="Arial" w:cs="Arial" w:eastAsia="Arial" w:hAnsi="Arial"/>
          <w:sz w:val="16"/>
          <w:szCs w:val="16"/>
          <w:color w:val="auto"/>
        </w:rPr>
        <w:t>All compensation decisions during the fiscal year ended December 31, 2019 for each of the named executive officers were made by the Compensation Committee, consisting of, from time to time, Messrs. Warshaw, Brunner, Dries and Floyd and Ms. Harman,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CEO PAY RATIO</w:t>
      </w:r>
    </w:p>
    <w:p>
      <w:pPr>
        <w:spacing w:after="0" w:line="215" w:lineRule="exact"/>
        <w:rPr>
          <w:sz w:val="20"/>
          <w:szCs w:val="20"/>
          <w:color w:val="auto"/>
        </w:rPr>
      </w:pPr>
    </w:p>
    <w:p>
      <w:pPr>
        <w:ind w:right="100" w:firstLine="495"/>
        <w:spacing w:after="0" w:line="289" w:lineRule="auto"/>
        <w:rPr>
          <w:sz w:val="20"/>
          <w:szCs w:val="20"/>
          <w:color w:val="auto"/>
        </w:rPr>
      </w:pPr>
      <w:r>
        <w:rPr>
          <w:rFonts w:ascii="Arial" w:cs="Arial" w:eastAsia="Arial" w:hAnsi="Arial"/>
          <w:sz w:val="16"/>
          <w:szCs w:val="16"/>
          <w:color w:val="auto"/>
        </w:rPr>
        <w:t>In light of the CEO transition that occurred in 2019, as permitted by SEC rules, we elected to annualize CEO compensation for purposes of the pay ratio based on the compensation of Mr. Veltman, who was serving as CEO on the median employee identification date, December 31, 2019</w:t>
      </w:r>
      <w:r>
        <w:rPr>
          <w:rFonts w:ascii="Arial" w:cs="Arial" w:eastAsia="Arial" w:hAnsi="Arial"/>
          <w:sz w:val="16"/>
          <w:szCs w:val="16"/>
          <w:color w:val="3C4043"/>
        </w:rPr>
        <w:t>.</w:t>
      </w:r>
    </w:p>
    <w:p>
      <w:pPr>
        <w:spacing w:after="0" w:line="150" w:lineRule="exact"/>
        <w:rPr>
          <w:sz w:val="20"/>
          <w:szCs w:val="20"/>
          <w:color w:val="auto"/>
        </w:rPr>
      </w:pPr>
    </w:p>
    <w:p>
      <w:pPr>
        <w:ind w:right="280" w:firstLine="495"/>
        <w:spacing w:after="0" w:line="289" w:lineRule="auto"/>
        <w:rPr>
          <w:sz w:val="20"/>
          <w:szCs w:val="20"/>
          <w:color w:val="auto"/>
        </w:rPr>
      </w:pPr>
      <w:r>
        <w:rPr>
          <w:rFonts w:ascii="Arial" w:cs="Arial" w:eastAsia="Arial" w:hAnsi="Arial"/>
          <w:sz w:val="16"/>
          <w:szCs w:val="16"/>
          <w:color w:val="auto"/>
        </w:rPr>
        <w:t>For 2019, the annualized total compensation of Mr. Veltman as CEO, was $1,130,466, and the median of the annual total compensation of all employees, other than the CEO, was $33,588, resulting in a ratio of 34:1, or the Pay Ratio.</w:t>
      </w:r>
    </w:p>
    <w:p>
      <w:pPr>
        <w:spacing w:after="0" w:line="150" w:lineRule="exact"/>
        <w:rPr>
          <w:sz w:val="20"/>
          <w:szCs w:val="20"/>
          <w:color w:val="auto"/>
        </w:rPr>
      </w:pPr>
    </w:p>
    <w:p>
      <w:pPr>
        <w:ind w:right="100" w:firstLine="495"/>
        <w:spacing w:after="0" w:line="268" w:lineRule="auto"/>
        <w:rPr>
          <w:sz w:val="20"/>
          <w:szCs w:val="20"/>
          <w:color w:val="auto"/>
        </w:rPr>
      </w:pPr>
      <w:r>
        <w:rPr>
          <w:rFonts w:ascii="Arial" w:cs="Arial" w:eastAsia="Arial" w:hAnsi="Arial"/>
          <w:sz w:val="16"/>
          <w:szCs w:val="16"/>
          <w:color w:val="auto"/>
        </w:rPr>
        <w:t>In determining the median employee, we collected information regarding taxable wages for all 5,787 employees of the Company and its consolidated subsidiaries as of December 31, 2019 for the period beginning January 1, 2019 and ending December 31, 2019. Taxable wages generally included an employee’s actual income, including base wages, overtime, bonuses and other cash incentives, that are subject to taxation in the applicable jurisdiction. We converted earnings paid in local currencies to U.S. dollars by applying the exchange rate at December 31, 2019.</w:t>
      </w:r>
    </w:p>
    <w:p>
      <w:pPr>
        <w:spacing w:after="0" w:line="166" w:lineRule="exact"/>
        <w:rPr>
          <w:sz w:val="20"/>
          <w:szCs w:val="20"/>
          <w:color w:val="auto"/>
        </w:rPr>
      </w:pPr>
    </w:p>
    <w:p>
      <w:pPr>
        <w:ind w:right="360" w:firstLine="495"/>
        <w:spacing w:after="0" w:line="289" w:lineRule="auto"/>
        <w:rPr>
          <w:sz w:val="20"/>
          <w:szCs w:val="20"/>
          <w:color w:val="auto"/>
        </w:rPr>
      </w:pPr>
      <w:r>
        <w:rPr>
          <w:rFonts w:ascii="Arial" w:cs="Arial" w:eastAsia="Arial" w:hAnsi="Arial"/>
          <w:sz w:val="16"/>
          <w:szCs w:val="16"/>
          <w:color w:val="auto"/>
        </w:rPr>
        <w:t>We did not utilize the “de minimis” exception, statistical sampling or other similar methods, or any cost-of-living adjustment, as permitted by applicable SEC regulations, in calculating the Pay Ratio.</w:t>
      </w:r>
    </w:p>
    <w:p>
      <w:pPr>
        <w:spacing w:after="0" w:line="150" w:lineRule="exact"/>
        <w:rPr>
          <w:sz w:val="20"/>
          <w:szCs w:val="20"/>
          <w:color w:val="auto"/>
        </w:rPr>
      </w:pPr>
    </w:p>
    <w:p>
      <w:pPr>
        <w:ind w:right="40" w:firstLine="495"/>
        <w:spacing w:after="0" w:line="325" w:lineRule="auto"/>
        <w:rPr>
          <w:sz w:val="20"/>
          <w:szCs w:val="20"/>
          <w:color w:val="auto"/>
        </w:rPr>
      </w:pPr>
      <w:r>
        <w:rPr>
          <w:rFonts w:ascii="Arial" w:cs="Arial" w:eastAsia="Arial" w:hAnsi="Arial"/>
          <w:sz w:val="15"/>
          <w:szCs w:val="15"/>
          <w:color w:val="auto"/>
        </w:rPr>
        <w:t>The Pay Ratio disclosed above is a reasonable estimate. Because the SEC rules for identifying the median employee and calculating the pay ratio allow companies to use different methodologies, exemptions, estimates and assumptions, the Pay Ratio may not be comparable to the pay ratio reported by other companies.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VI: RATIFICATION OF SELECTION OF OUR REGISTERED INDEPENDENT PUBLIC ACCOUNTING FIRM</w:t>
      </w:r>
    </w:p>
    <w:p>
      <w:pPr>
        <w:spacing w:after="0" w:line="215" w:lineRule="exact"/>
        <w:rPr>
          <w:sz w:val="20"/>
          <w:szCs w:val="20"/>
          <w:color w:val="auto"/>
        </w:rPr>
      </w:pPr>
    </w:p>
    <w:p>
      <w:pPr>
        <w:ind w:firstLine="495"/>
        <w:spacing w:after="0" w:line="273" w:lineRule="auto"/>
        <w:rPr>
          <w:sz w:val="20"/>
          <w:szCs w:val="20"/>
          <w:color w:val="auto"/>
        </w:rPr>
      </w:pPr>
      <w:r>
        <w:rPr>
          <w:rFonts w:ascii="Arial" w:cs="Arial" w:eastAsia="Arial" w:hAnsi="Arial"/>
          <w:sz w:val="16"/>
          <w:szCs w:val="16"/>
          <w:color w:val="auto"/>
        </w:rPr>
        <w:t>PricewaterhouseCoopers LLP has been selected by the Audit Committee as our registered independent public accounting firm for 2019. Although it is not required to do so, the Board has determined that it is desirable to seek stockholders’ ratification of the selection of PricewaterhouseCoopers LLP. If the stockholders should not ratify the appointment of PricewaterhouseCoopers LLP, the Audit Committee will reconsider the appointment.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Fees Paid to Registered Independent Public Accounting Firm</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following table sets forth the aggregate fees and expenses billed or expected to be billed by PricewaterhouseCoopers LLP for fiscal years 2019 and 2018.</w:t>
      </w:r>
    </w:p>
    <w:p>
      <w:pPr>
        <w:spacing w:after="0" w:line="314" w:lineRule="exact"/>
        <w:rPr>
          <w:sz w:val="20"/>
          <w:szCs w:val="20"/>
          <w:color w:val="auto"/>
        </w:rPr>
      </w:pPr>
    </w:p>
    <w:tbl>
      <w:tblPr>
        <w:tblLayout w:type="fixed"/>
        <w:tblInd w:w="2180" w:type="dxa"/>
        <w:tblCellMar>
          <w:top w:w="0" w:type="dxa"/>
          <w:left w:w="0" w:type="dxa"/>
          <w:bottom w:w="0" w:type="dxa"/>
          <w:right w:w="0" w:type="dxa"/>
        </w:tblCellMar>
      </w:tblPr>
      <w:tr>
        <w:trPr>
          <w:trHeight w:val="156"/>
        </w:trPr>
        <w:tc>
          <w:tcPr>
            <w:tcW w:w="3380" w:type="dxa"/>
            <w:vAlign w:val="bottom"/>
            <w:vMerge w:val="restart"/>
          </w:tcPr>
          <w:p>
            <w:pPr>
              <w:spacing w:after="0"/>
              <w:rPr>
                <w:sz w:val="20"/>
                <w:szCs w:val="20"/>
                <w:color w:val="auto"/>
              </w:rPr>
            </w:pPr>
            <w:r>
              <w:rPr>
                <w:rFonts w:ascii="Arial" w:cs="Arial" w:eastAsia="Arial" w:hAnsi="Arial"/>
                <w:sz w:val="16"/>
                <w:szCs w:val="16"/>
                <w:color w:val="auto"/>
              </w:rPr>
              <w:t>Audit Fees</w:t>
            </w:r>
          </w:p>
        </w:tc>
        <w:tc>
          <w:tcPr>
            <w:tcW w:w="1300" w:type="dxa"/>
            <w:vAlign w:val="bottom"/>
          </w:tcPr>
          <w:p>
            <w:pPr>
              <w:jc w:val="right"/>
              <w:ind w:right="34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2080" w:type="dxa"/>
            <w:vAlign w:val="bottom"/>
            <w:gridSpan w:val="3"/>
          </w:tcPr>
          <w:p>
            <w:pPr>
              <w:jc w:val="right"/>
              <w:ind w:right="618"/>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380" w:type="dxa"/>
            <w:vAlign w:val="bottom"/>
            <w:vMerge w:val="continue"/>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$4,505,675</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$5,703,609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6D9F1"/>
          </w:tcPr>
          <w:p>
            <w:pPr>
              <w:spacing w:after="0"/>
              <w:rPr>
                <w:sz w:val="20"/>
                <w:szCs w:val="20"/>
                <w:color w:val="auto"/>
              </w:rPr>
            </w:pPr>
            <w:r>
              <w:rPr>
                <w:rFonts w:ascii="Arial" w:cs="Arial" w:eastAsia="Arial" w:hAnsi="Arial"/>
                <w:sz w:val="16"/>
                <w:szCs w:val="16"/>
                <w:color w:val="auto"/>
              </w:rPr>
              <w:t>Audit-Related Fees</w:t>
            </w:r>
          </w:p>
        </w:tc>
        <w:tc>
          <w:tcPr>
            <w:tcW w:w="1420" w:type="dxa"/>
            <w:vAlign w:val="bottom"/>
            <w:gridSpan w:val="2"/>
            <w:shd w:val="clear" w:color="auto" w:fill="C6D9F1"/>
          </w:tcPr>
          <w:p>
            <w:pPr>
              <w:jc w:val="right"/>
              <w:ind w:right="120"/>
              <w:spacing w:after="0"/>
              <w:rPr>
                <w:sz w:val="20"/>
                <w:szCs w:val="20"/>
                <w:color w:val="auto"/>
              </w:rPr>
            </w:pPr>
            <w:r>
              <w:rPr>
                <w:rFonts w:ascii="Arial" w:cs="Arial" w:eastAsia="Arial" w:hAnsi="Arial"/>
                <w:sz w:val="16"/>
                <w:szCs w:val="16"/>
                <w:color w:val="auto"/>
              </w:rPr>
              <w:t>—</w:t>
            </w:r>
          </w:p>
        </w:tc>
        <w:tc>
          <w:tcPr>
            <w:tcW w:w="2080" w:type="dxa"/>
            <w:vAlign w:val="bottom"/>
            <w:gridSpan w:val="3"/>
            <w:shd w:val="clear" w:color="auto" w:fill="C6D9F1"/>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20"/>
                <w:szCs w:val="20"/>
                <w:color w:val="auto"/>
              </w:rPr>
            </w:pPr>
            <w:r>
              <w:rPr>
                <w:rFonts w:ascii="Arial" w:cs="Arial" w:eastAsia="Arial" w:hAnsi="Arial"/>
                <w:sz w:val="16"/>
                <w:szCs w:val="16"/>
                <w:color w:val="auto"/>
              </w:rPr>
              <w:t>Tax Fees</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$631,584</w:t>
            </w:r>
          </w:p>
        </w:tc>
        <w:tc>
          <w:tcPr>
            <w:tcW w:w="2080" w:type="dxa"/>
            <w:vAlign w:val="bottom"/>
            <w:gridSpan w:val="3"/>
          </w:tcPr>
          <w:p>
            <w:pPr>
              <w:jc w:val="right"/>
              <w:spacing w:after="0"/>
              <w:rPr>
                <w:sz w:val="20"/>
                <w:szCs w:val="20"/>
                <w:color w:val="auto"/>
              </w:rPr>
            </w:pPr>
            <w:r>
              <w:rPr>
                <w:rFonts w:ascii="Arial" w:cs="Arial" w:eastAsia="Arial" w:hAnsi="Arial"/>
                <w:sz w:val="16"/>
                <w:szCs w:val="16"/>
                <w:color w:val="auto"/>
              </w:rPr>
              <w:t>$1,277,140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6D9F1"/>
          </w:tcPr>
          <w:p>
            <w:pPr>
              <w:spacing w:after="0"/>
              <w:rPr>
                <w:sz w:val="20"/>
                <w:szCs w:val="20"/>
                <w:color w:val="auto"/>
              </w:rPr>
            </w:pPr>
            <w:r>
              <w:rPr>
                <w:rFonts w:ascii="Arial" w:cs="Arial" w:eastAsia="Arial" w:hAnsi="Arial"/>
                <w:sz w:val="16"/>
                <w:szCs w:val="16"/>
                <w:color w:val="auto"/>
              </w:rPr>
              <w:t>Other Fees</w:t>
            </w:r>
          </w:p>
        </w:tc>
        <w:tc>
          <w:tcPr>
            <w:tcW w:w="1420" w:type="dxa"/>
            <w:vAlign w:val="bottom"/>
            <w:gridSpan w:val="2"/>
            <w:shd w:val="clear" w:color="auto" w:fill="C6D9F1"/>
          </w:tcPr>
          <w:p>
            <w:pPr>
              <w:jc w:val="right"/>
              <w:ind w:right="120"/>
              <w:spacing w:after="0"/>
              <w:rPr>
                <w:sz w:val="20"/>
                <w:szCs w:val="20"/>
                <w:color w:val="auto"/>
              </w:rPr>
            </w:pPr>
            <w:r>
              <w:rPr>
                <w:rFonts w:ascii="Arial" w:cs="Arial" w:eastAsia="Arial" w:hAnsi="Arial"/>
                <w:sz w:val="16"/>
                <w:szCs w:val="16"/>
                <w:color w:val="auto"/>
              </w:rPr>
              <w:t>$2,700</w:t>
            </w:r>
          </w:p>
        </w:tc>
        <w:tc>
          <w:tcPr>
            <w:tcW w:w="2080" w:type="dxa"/>
            <w:vAlign w:val="bottom"/>
            <w:gridSpan w:val="3"/>
            <w:shd w:val="clear" w:color="auto" w:fill="C6D9F1"/>
          </w:tcPr>
          <w:p>
            <w:pPr>
              <w:jc w:val="right"/>
              <w:spacing w:after="0"/>
              <w:rPr>
                <w:sz w:val="20"/>
                <w:szCs w:val="20"/>
                <w:color w:val="auto"/>
              </w:rPr>
            </w:pPr>
            <w:r>
              <w:rPr>
                <w:rFonts w:ascii="Arial" w:cs="Arial" w:eastAsia="Arial" w:hAnsi="Arial"/>
                <w:sz w:val="16"/>
                <w:szCs w:val="16"/>
                <w:color w:val="auto"/>
              </w:rPr>
              <w:t>$1,800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400"/>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$5,139,959</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$7,032,549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00" w:firstLine="539"/>
        <w:spacing w:after="0" w:line="265" w:lineRule="auto"/>
        <w:rPr>
          <w:sz w:val="20"/>
          <w:szCs w:val="20"/>
          <w:color w:val="auto"/>
        </w:rPr>
      </w:pPr>
      <w:r>
        <w:rPr>
          <w:rFonts w:ascii="Arial" w:cs="Arial" w:eastAsia="Arial" w:hAnsi="Arial"/>
          <w:sz w:val="16"/>
          <w:szCs w:val="16"/>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subscriptions to online accounting and tax information services.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Pre-Approval Policies and Procedures</w:t>
      </w:r>
    </w:p>
    <w:p>
      <w:pPr>
        <w:spacing w:after="0" w:line="116" w:lineRule="exact"/>
        <w:rPr>
          <w:sz w:val="20"/>
          <w:szCs w:val="20"/>
          <w:color w:val="auto"/>
        </w:rPr>
      </w:pPr>
    </w:p>
    <w:p>
      <w:pPr>
        <w:ind w:right="40" w:firstLine="539"/>
        <w:spacing w:after="0" w:line="291" w:lineRule="auto"/>
        <w:rPr>
          <w:sz w:val="20"/>
          <w:szCs w:val="20"/>
          <w:color w:val="auto"/>
        </w:rPr>
      </w:pPr>
      <w:r>
        <w:rPr>
          <w:rFonts w:ascii="Arial" w:cs="Arial" w:eastAsia="Arial" w:hAnsi="Arial"/>
          <w:sz w:val="15"/>
          <w:szCs w:val="15"/>
          <w:color w:val="auto"/>
        </w:rPr>
        <w:t>The Audit Committee pre-approves all audit and permissible non-audit services to be provided to us by its registered independent public accounting firm prior to commencement of services. The Chairman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PricewaterhouseCoopers LLP were pre-approved in accordance with the Audit Committee’s policies and procedures.</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Representatives of PricewaterhouseCoopers LLP will not be present at the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BOARD RECOMMENDS A VOTE “FOR” THIS PROPOSAL.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AUDIT COMMITTEE REPORT TO STOCKHOLDERS</w:t>
      </w:r>
    </w:p>
    <w:p>
      <w:pPr>
        <w:spacing w:after="0" w:line="116" w:lineRule="exact"/>
        <w:rPr>
          <w:sz w:val="20"/>
          <w:szCs w:val="20"/>
          <w:color w:val="auto"/>
        </w:rPr>
      </w:pPr>
    </w:p>
    <w:p>
      <w:pPr>
        <w:ind w:right="20" w:firstLine="539"/>
        <w:spacing w:after="0" w:line="268" w:lineRule="auto"/>
        <w:rPr>
          <w:sz w:val="20"/>
          <w:szCs w:val="20"/>
          <w:color w:val="auto"/>
        </w:rPr>
      </w:pPr>
      <w:r>
        <w:rPr>
          <w:rFonts w:ascii="Arial" w:cs="Arial" w:eastAsia="Arial" w:hAnsi="Arial"/>
          <w:sz w:val="16"/>
          <w:szCs w:val="16"/>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66" w:lineRule="exact"/>
        <w:rPr>
          <w:sz w:val="20"/>
          <w:szCs w:val="20"/>
          <w:color w:val="auto"/>
        </w:rPr>
      </w:pPr>
    </w:p>
    <w:p>
      <w:pPr>
        <w:ind w:firstLine="539"/>
        <w:spacing w:after="0" w:line="306" w:lineRule="auto"/>
        <w:rPr>
          <w:sz w:val="20"/>
          <w:szCs w:val="20"/>
          <w:color w:val="auto"/>
        </w:rPr>
      </w:pPr>
      <w:r>
        <w:rPr>
          <w:rFonts w:ascii="Arial" w:cs="Arial" w:eastAsia="Arial" w:hAnsi="Arial"/>
          <w:sz w:val="14"/>
          <w:szCs w:val="14"/>
          <w:color w:val="auto"/>
        </w:rPr>
        <w:t>The Audit Committee has reviewed and discussed with our management and PricewaterhouseCoopers LLP, our registered independent public accounting firm, the audited financial statements of the Company for 2019; has discussed with PricewaterhouseCoopers LLP matters required to be discussed by Public Company Accounting Oversight Board (PCAOB) standards; has received the written disclosures and the letter from PricewaterhouseCoopers LLP required by the applicable requirements of the PCAOB regarding its communications with the Audit Committee concerning independence; and has discussed with PricewaterhouseCoopers LLP their independence from the Company, including whether PricewaterhouseCoopers LLP’s provision of non-audit services to the Company was compatible with maintaining PricewaterhouseCoopers LLP’s independence. Based on the review and discussions described above, the Audit Committee recommended to the Board that the audited financial statements be included in our Annual Report on Form 10-K for the fiscal year ended December 31, 2019, which was filed with the SEC on March 16, 2020.</w:t>
      </w:r>
    </w:p>
    <w:p>
      <w:pPr>
        <w:spacing w:after="0" w:line="144"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Members of the Audit Committee:</w:t>
      </w:r>
    </w:p>
    <w:p>
      <w:pPr>
        <w:spacing w:after="0" w:line="112"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Thomas H Wilson, Jr., Chairman</w:t>
      </w:r>
    </w:p>
    <w:p>
      <w:pPr>
        <w:spacing w:after="0" w:line="25"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Steven T. Warshaw</w:t>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David L. Pugh</w:t>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Christina E. Carroll</w:t>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6"/>
          <w:szCs w:val="16"/>
          <w:color w:val="auto"/>
        </w:rPr>
        <w:t>Raynard D. Benvenuti</w:t>
      </w:r>
    </w:p>
    <w:p>
      <w:pPr>
        <w:spacing w:after="0" w:line="138" w:lineRule="exact"/>
        <w:rPr>
          <w:sz w:val="20"/>
          <w:szCs w:val="20"/>
          <w:color w:val="auto"/>
        </w:rPr>
      </w:pPr>
    </w:p>
    <w:p>
      <w:pPr>
        <w:ind w:right="420" w:firstLine="791"/>
        <w:spacing w:after="0" w:line="289" w:lineRule="auto"/>
        <w:tabs>
          <w:tab w:leader="none" w:pos="9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material in the foregoing Audit Committee report is not “soliciting material,” is not deemed “filed” with the SEC, and is not to be incorporated by reference into any of our filings under the Securities Act or the Exchange Act, whether made before or after the date 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116" w:lineRule="exact"/>
        <w:rPr>
          <w:sz w:val="20"/>
          <w:szCs w:val="20"/>
          <w:color w:val="auto"/>
        </w:rPr>
      </w:pPr>
    </w:p>
    <w:p>
      <w:pPr>
        <w:ind w:firstLine="539"/>
        <w:spacing w:after="0" w:line="282" w:lineRule="auto"/>
        <w:rPr>
          <w:sz w:val="20"/>
          <w:szCs w:val="20"/>
          <w:color w:val="auto"/>
        </w:rPr>
      </w:pPr>
      <w:r>
        <w:rPr>
          <w:rFonts w:ascii="Arial" w:cs="Arial" w:eastAsia="Arial" w:hAnsi="Arial"/>
          <w:sz w:val="15"/>
          <w:szCs w:val="15"/>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46" w:name="page47"/>
    <w:bookmarkEnd w:id="46"/>
    <w:p>
      <w:pPr>
        <w:jc w:val="center"/>
        <w:ind w:right="-99"/>
        <w:spacing w:after="0"/>
        <w:rPr>
          <w:sz w:val="20"/>
          <w:szCs w:val="20"/>
          <w:color w:val="auto"/>
        </w:rPr>
      </w:pPr>
      <w:r>
        <w:rPr>
          <w:rFonts w:ascii="Arial" w:cs="Arial" w:eastAsia="Arial" w:hAnsi="Arial"/>
          <w:sz w:val="16"/>
          <w:szCs w:val="16"/>
          <w:b w:val="1"/>
          <w:bCs w:val="1"/>
          <w:color w:val="auto"/>
        </w:rPr>
        <w:t>ANNUAL REPORT</w:t>
      </w:r>
    </w:p>
    <w:p>
      <w:pPr>
        <w:spacing w:after="0" w:line="116" w:lineRule="exact"/>
        <w:rPr>
          <w:sz w:val="20"/>
          <w:szCs w:val="20"/>
          <w:color w:val="auto"/>
        </w:rPr>
      </w:pPr>
    </w:p>
    <w:p>
      <w:pPr>
        <w:jc w:val="both"/>
        <w:ind w:right="120" w:firstLine="539"/>
        <w:spacing w:after="0" w:line="273" w:lineRule="auto"/>
        <w:rPr>
          <w:sz w:val="20"/>
          <w:szCs w:val="20"/>
          <w:color w:val="auto"/>
        </w:rPr>
      </w:pPr>
      <w:r>
        <w:rPr>
          <w:rFonts w:ascii="Arial" w:cs="Arial" w:eastAsia="Arial" w:hAnsi="Arial"/>
          <w:sz w:val="16"/>
          <w:szCs w:val="16"/>
          <w:color w:val="auto"/>
        </w:rPr>
        <w:t>Our Annual Report on Form 10-K for the year ended December 31, 2019 is being mailed together with this Proxy Statement or made accessible pursuant to the instructions contained in the Notice of Internet Availability. Exhibits to our Annual Report on Form 10-K may be obtained by contacting our Secretary at 6210 Ardrey Kell Road, Charlotte, North Carolina 28277.</w:t>
      </w:r>
    </w:p>
    <w:p>
      <w:pPr>
        <w:spacing w:after="0" w:line="163" w:lineRule="exact"/>
        <w:rPr>
          <w:sz w:val="20"/>
          <w:szCs w:val="20"/>
          <w:color w:val="auto"/>
        </w:rPr>
      </w:pPr>
    </w:p>
    <w:p>
      <w:pPr>
        <w:ind w:firstLine="539"/>
        <w:spacing w:after="0" w:line="273" w:lineRule="auto"/>
        <w:rPr>
          <w:sz w:val="20"/>
          <w:szCs w:val="20"/>
          <w:color w:val="auto"/>
        </w:rPr>
      </w:pPr>
      <w:r>
        <w:rPr>
          <w:rFonts w:ascii="Arial" w:cs="Arial" w:eastAsia="Arial" w:hAnsi="Arial"/>
          <w:sz w:val="16"/>
          <w:szCs w:val="16"/>
          <w:color w:val="auto"/>
        </w:rPr>
        <w:t>Notwithstanding anything to the contrary set forth in our previous filings under the Securities Act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163"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142240</wp:posOffset>
            </wp:positionV>
            <wp:extent cx="885825" cy="368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58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Matthew S. Heiter</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Secretary</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Charlotte, North Carolina</w:t>
      </w:r>
    </w:p>
    <w:p>
      <w:pPr>
        <w:spacing w:after="0" w:line="25" w:lineRule="exact"/>
        <w:rPr>
          <w:sz w:val="20"/>
          <w:szCs w:val="20"/>
          <w:color w:val="auto"/>
        </w:rPr>
      </w:pPr>
    </w:p>
    <w:p>
      <w:pPr>
        <w:ind w:left="6760"/>
        <w:spacing w:after="0"/>
        <w:tabs>
          <w:tab w:leader="none" w:pos="7320" w:val="left"/>
        </w:tabs>
        <w:rPr>
          <w:sz w:val="20"/>
          <w:szCs w:val="20"/>
          <w:color w:val="auto"/>
        </w:rPr>
      </w:pPr>
      <w:r>
        <w:rPr>
          <w:rFonts w:ascii="Arial" w:cs="Arial" w:eastAsia="Arial" w:hAnsi="Arial"/>
          <w:sz w:val="16"/>
          <w:szCs w:val="16"/>
          <w:color w:val="auto"/>
        </w:rPr>
        <w:t>April</w:t>
        <w:tab/>
        <w:t>, 2020</w:t>
      </w:r>
    </w:p>
    <w:p>
      <w:pPr>
        <w:spacing w:after="0" w:line="97" w:lineRule="exact"/>
        <w:rPr>
          <w:sz w:val="20"/>
          <w:szCs w:val="20"/>
          <w:color w:val="auto"/>
        </w:rPr>
      </w:pPr>
    </w:p>
    <w:p>
      <w:pPr>
        <w:ind w:right="740"/>
        <w:spacing w:after="0" w:line="295" w:lineRule="auto"/>
        <w:rPr>
          <w:sz w:val="20"/>
          <w:szCs w:val="20"/>
          <w:color w:val="auto"/>
        </w:rPr>
      </w:pPr>
      <w:r>
        <w:rPr>
          <w:rFonts w:ascii="Arial" w:cs="Arial" w:eastAsia="Arial" w:hAnsi="Arial"/>
          <w:sz w:val="16"/>
          <w:szCs w:val="16"/>
          <w:b w:val="1"/>
          <w:bCs w:val="1"/>
          <w:color w:val="auto"/>
        </w:rPr>
        <w:t>STOCKHOLDERS ARE REQUESTED TO MARK, DATE AND SIGN THE ENCLOSED PROXY CARD AND RETURN IT IN THE ENCLOSED ENVELOPE. YOUR PROMPT RESPONSE WILL BE HELPFUL, AND YOUR COOPERATION WILL BE APPRECIATED.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962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15875"/>
                    </a:xfrm>
                    <a:prstGeom prst="rect">
                      <a:avLst/>
                    </a:prstGeom>
                    <a:noFill/>
                  </pic:spPr>
                </pic:pic>
              </a:graphicData>
            </a:graphic>
          </wp:anchor>
        </w:drawing>
      </w:r>
    </w:p>
    <w:p>
      <w:pPr>
        <w:sectPr>
          <w:pgSz w:w="11900" w:h="16838" w:orient="portrait"/>
          <w:cols w:equalWidth="0" w:num="1">
            <w:col w:w="11160"/>
          </w:cols>
          <w:pgMar w:left="320" w:top="642" w:right="419" w:bottom="1440"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253365</wp:posOffset>
            </wp:positionV>
            <wp:extent cx="7159625" cy="70656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7065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355600</wp:posOffset>
            </wp:positionV>
            <wp:extent cx="7159625" cy="69322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6932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300355</wp:posOffset>
            </wp:positionV>
            <wp:extent cx="7159625" cy="6995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699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300355</wp:posOffset>
            </wp:positionV>
            <wp:extent cx="7159625" cy="7002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7002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300355</wp:posOffset>
            </wp:positionV>
            <wp:extent cx="7159625" cy="6995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699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300355</wp:posOffset>
            </wp:positionV>
            <wp:extent cx="7159625" cy="6995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699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308610</wp:posOffset>
            </wp:positionV>
            <wp:extent cx="7159625" cy="6995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699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300355</wp:posOffset>
            </wp:positionV>
            <wp:extent cx="7159625" cy="70027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7002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300355</wp:posOffset>
            </wp:positionV>
            <wp:extent cx="7159625" cy="6995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6995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1331595</wp:posOffset>
            </wp:positionH>
            <wp:positionV relativeFrom="page">
              <wp:posOffset>300355</wp:posOffset>
            </wp:positionV>
            <wp:extent cx="4885690" cy="6642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4885690" cy="66421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lvl w:ilvl="1">
      <w:lvlJc w:val="left"/>
      <w:lvlText w:val="(%2)"/>
      <w:numFmt w:val="decimal"/>
      <w:start w:val="1"/>
    </w:lvl>
  </w:abstractNum>
  <w:abstractNum w:abstractNumId="4">
    <w:nsid w:val="189A769B"/>
    <w:multiLevelType w:val="hybridMultilevel"/>
    <w:lvl w:ilvl="0">
      <w:lvlJc w:val="left"/>
      <w:lvlText w:val="☐"/>
      <w:numFmt w:val="bullet"/>
      <w:start w:val="1"/>
    </w:lvl>
    <w:lvl w:ilvl="1">
      <w:lvlJc w:val="left"/>
      <w:lvlText w:val="(%2)"/>
      <w:numFmt w:val="decimal"/>
      <w:start w:val="5"/>
    </w:lvl>
  </w:abstractNum>
  <w:abstractNum w:abstractNumId="5">
    <w:nsid w:val="54E49EB4"/>
    <w:multiLevelType w:val="hybridMultilevel"/>
    <w:lvl w:ilvl="0">
      <w:lvlJc w:val="left"/>
      <w:lvlText w:val="☐"/>
      <w:numFmt w:val="bullet"/>
      <w:start w:val="1"/>
    </w:lvl>
    <w:lvl w:ilvl="1">
      <w:lvlJc w:val="left"/>
      <w:lvlText w:val="(%2)"/>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upperLetter"/>
      <w:start w:val="6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9"/>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3"/>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3"/>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2020-03-27T15:09:27Z</dcterms:created>
  <dcterms:modified xsi:type="dcterms:W3CDTF">2020-03-27T15:09:27Z</dcterms:modified>
</cp:coreProperties>
</file>