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185420</wp:posOffset>
            </wp:positionH>
            <wp:positionV relativeFrom="page">
              <wp:posOffset>483235</wp:posOffset>
            </wp:positionV>
            <wp:extent cx="71780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500380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80010</wp:posOffset>
            </wp:positionV>
            <wp:extent cx="173164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53975</wp:posOffset>
            </wp:positionV>
            <wp:extent cx="173164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Pursuant to Section 13 OR 15(d) of The Securities Exchange Act of 1934</w:t>
      </w:r>
    </w:p>
    <w:p>
      <w:pPr>
        <w:spacing w:after="0" w:line="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Date of Report (Date of earliest event reported): May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75565</wp:posOffset>
            </wp:positionV>
            <wp:extent cx="1731645" cy="4057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31645" cy="40576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NN, Inc.</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1"/>
          <w:szCs w:val="11"/>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1997075</wp:posOffset>
            </wp:positionH>
            <wp:positionV relativeFrom="paragraph">
              <wp:posOffset>32385</wp:posOffset>
            </wp:positionV>
            <wp:extent cx="173164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31645" cy="5715"/>
                    </a:xfrm>
                    <a:prstGeom prst="rect">
                      <a:avLst/>
                    </a:prstGeom>
                    <a:noFill/>
                  </pic:spPr>
                </pic:pic>
              </a:graphicData>
            </a:graphic>
          </wp:anchor>
        </w:drawing>
      </w:r>
    </w:p>
    <w:p>
      <w:pPr>
        <w:spacing w:after="0" w:line="119" w:lineRule="exact"/>
        <w:rPr>
          <w:sz w:val="24"/>
          <w:szCs w:val="24"/>
          <w:color w:val="auto"/>
        </w:rPr>
      </w:pPr>
    </w:p>
    <w:tbl>
      <w:tblPr>
        <w:tblLayout w:type="fixed"/>
        <w:tblInd w:w="2060" w:type="dxa"/>
        <w:tblCellMar>
          <w:top w:w="0" w:type="dxa"/>
          <w:left w:w="0" w:type="dxa"/>
          <w:bottom w:w="0" w:type="dxa"/>
          <w:right w:w="0" w:type="dxa"/>
        </w:tblCellMar>
      </w:tblPr>
      <w:tr>
        <w:trPr>
          <w:trHeight w:val="169"/>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Delaware</w:t>
            </w:r>
          </w:p>
        </w:tc>
        <w:tc>
          <w:tcPr>
            <w:tcW w:w="2420" w:type="dxa"/>
            <w:vAlign w:val="bottom"/>
          </w:tcPr>
          <w:p>
            <w:pPr>
              <w:jc w:val="center"/>
              <w:ind w:right="26"/>
              <w:spacing w:after="0"/>
              <w:rPr>
                <w:sz w:val="20"/>
                <w:szCs w:val="20"/>
                <w:color w:val="auto"/>
              </w:rPr>
            </w:pPr>
            <w:r>
              <w:rPr>
                <w:rFonts w:ascii="Times New Roman" w:cs="Times New Roman" w:eastAsia="Times New Roman" w:hAnsi="Times New Roman"/>
                <w:sz w:val="11"/>
                <w:szCs w:val="11"/>
                <w:b w:val="1"/>
                <w:bCs w:val="1"/>
                <w:color w:val="auto"/>
                <w:w w:val="96"/>
              </w:rPr>
              <w:t>001-39268</w:t>
            </w: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7"/>
              </w:rPr>
              <w:t>62-1096725</w:t>
            </w:r>
          </w:p>
        </w:tc>
      </w:tr>
      <w:tr>
        <w:trPr>
          <w:trHeight w:val="112"/>
        </w:trPr>
        <w:tc>
          <w:tcPr>
            <w:tcW w:w="1280" w:type="dxa"/>
            <w:vAlign w:val="bottom"/>
          </w:tcPr>
          <w:p>
            <w:pPr>
              <w:jc w:val="center"/>
              <w:spacing w:after="0" w:line="112" w:lineRule="exact"/>
              <w:rPr>
                <w:sz w:val="20"/>
                <w:szCs w:val="20"/>
                <w:color w:val="auto"/>
              </w:rPr>
            </w:pPr>
            <w:r>
              <w:rPr>
                <w:rFonts w:ascii="Times New Roman" w:cs="Times New Roman" w:eastAsia="Times New Roman" w:hAnsi="Times New Roman"/>
                <w:sz w:val="11"/>
                <w:szCs w:val="11"/>
                <w:i w:val="1"/>
                <w:iCs w:val="1"/>
                <w:color w:val="auto"/>
                <w:w w:val="99"/>
              </w:rPr>
              <w:t>(State or other jurisdiction of</w:t>
            </w:r>
          </w:p>
        </w:tc>
        <w:tc>
          <w:tcPr>
            <w:tcW w:w="2420" w:type="dxa"/>
            <w:vAlign w:val="bottom"/>
          </w:tcPr>
          <w:p>
            <w:pPr>
              <w:jc w:val="center"/>
              <w:ind w:right="66"/>
              <w:spacing w:after="0" w:line="112" w:lineRule="exact"/>
              <w:rPr>
                <w:sz w:val="20"/>
                <w:szCs w:val="20"/>
                <w:color w:val="auto"/>
              </w:rPr>
            </w:pPr>
            <w:r>
              <w:rPr>
                <w:rFonts w:ascii="Times New Roman" w:cs="Times New Roman" w:eastAsia="Times New Roman" w:hAnsi="Times New Roman"/>
                <w:sz w:val="11"/>
                <w:szCs w:val="11"/>
                <w:i w:val="1"/>
                <w:iCs w:val="1"/>
                <w:color w:val="auto"/>
                <w:w w:val="97"/>
              </w:rPr>
              <w:t>(Commission File Number)</w:t>
            </w:r>
          </w:p>
        </w:tc>
        <w:tc>
          <w:tcPr>
            <w:tcW w:w="940" w:type="dxa"/>
            <w:vAlign w:val="bottom"/>
          </w:tcPr>
          <w:p>
            <w:pPr>
              <w:jc w:val="center"/>
              <w:ind w:left="86"/>
              <w:spacing w:after="0" w:line="112" w:lineRule="exact"/>
              <w:rPr>
                <w:sz w:val="20"/>
                <w:szCs w:val="20"/>
                <w:color w:val="auto"/>
              </w:rPr>
            </w:pPr>
            <w:r>
              <w:rPr>
                <w:rFonts w:ascii="Times New Roman" w:cs="Times New Roman" w:eastAsia="Times New Roman" w:hAnsi="Times New Roman"/>
                <w:sz w:val="11"/>
                <w:szCs w:val="11"/>
                <w:i w:val="1"/>
                <w:iCs w:val="1"/>
                <w:color w:val="auto"/>
                <w:w w:val="98"/>
              </w:rPr>
              <w:t>(I.R.S. Employer</w:t>
            </w:r>
          </w:p>
        </w:tc>
      </w:tr>
      <w:tr>
        <w:trPr>
          <w:trHeight w:val="142"/>
        </w:trPr>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i w:val="1"/>
                <w:iCs w:val="1"/>
                <w:color w:val="auto"/>
                <w:w w:val="98"/>
              </w:rPr>
              <w:t>incorporation)</w:t>
            </w:r>
          </w:p>
        </w:tc>
        <w:tc>
          <w:tcPr>
            <w:tcW w:w="2420" w:type="dxa"/>
            <w:vAlign w:val="bottom"/>
          </w:tcPr>
          <w:p>
            <w:pPr>
              <w:spacing w:after="0"/>
              <w:rPr>
                <w:sz w:val="12"/>
                <w:szCs w:val="12"/>
                <w:color w:val="auto"/>
              </w:rPr>
            </w:pPr>
          </w:p>
        </w:tc>
        <w:tc>
          <w:tcPr>
            <w:tcW w:w="940" w:type="dxa"/>
            <w:vAlign w:val="bottom"/>
          </w:tcPr>
          <w:p>
            <w:pPr>
              <w:jc w:val="center"/>
              <w:ind w:left="86"/>
              <w:spacing w:after="0"/>
              <w:rPr>
                <w:sz w:val="20"/>
                <w:szCs w:val="20"/>
                <w:color w:val="auto"/>
              </w:rPr>
            </w:pPr>
            <w:r>
              <w:rPr>
                <w:rFonts w:ascii="Times New Roman" w:cs="Times New Roman" w:eastAsia="Times New Roman" w:hAnsi="Times New Roman"/>
                <w:sz w:val="11"/>
                <w:szCs w:val="11"/>
                <w:i w:val="1"/>
                <w:iCs w:val="1"/>
                <w:color w:val="auto"/>
                <w:w w:val="98"/>
              </w:rPr>
              <w:t>Identification No.)</w:t>
            </w:r>
          </w:p>
        </w:tc>
      </w:tr>
      <w:tr>
        <w:trPr>
          <w:trHeight w:val="439"/>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7"/>
              </w:rPr>
              <w:t>6210 Ardrey Kell Road, Suite 120</w:t>
            </w:r>
          </w:p>
        </w:tc>
        <w:tc>
          <w:tcPr>
            <w:tcW w:w="940" w:type="dxa"/>
            <w:vAlign w:val="bottom"/>
          </w:tcPr>
          <w:p>
            <w:pPr>
              <w:spacing w:after="0"/>
              <w:rPr>
                <w:sz w:val="24"/>
                <w:szCs w:val="24"/>
                <w:color w:val="auto"/>
              </w:rPr>
            </w:pPr>
          </w:p>
        </w:tc>
      </w:tr>
      <w:tr>
        <w:trPr>
          <w:trHeight w:val="171"/>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b w:val="1"/>
                <w:bCs w:val="1"/>
                <w:color w:val="auto"/>
                <w:w w:val="99"/>
              </w:rPr>
              <w:t>Charlotte, North Carolina</w:t>
            </w:r>
          </w:p>
        </w:tc>
        <w:tc>
          <w:tcPr>
            <w:tcW w:w="940" w:type="dxa"/>
            <w:vAlign w:val="bottom"/>
          </w:tcPr>
          <w:p>
            <w:pPr>
              <w:jc w:val="right"/>
              <w:ind w:right="266"/>
              <w:spacing w:after="0"/>
              <w:rPr>
                <w:sz w:val="20"/>
                <w:szCs w:val="20"/>
                <w:color w:val="auto"/>
              </w:rPr>
            </w:pPr>
            <w:r>
              <w:rPr>
                <w:rFonts w:ascii="Times New Roman" w:cs="Times New Roman" w:eastAsia="Times New Roman" w:hAnsi="Times New Roman"/>
                <w:sz w:val="11"/>
                <w:szCs w:val="11"/>
                <w:b w:val="1"/>
                <w:bCs w:val="1"/>
                <w:color w:val="auto"/>
              </w:rPr>
              <w:t>28277</w:t>
            </w:r>
          </w:p>
        </w:tc>
      </w:tr>
      <w:tr>
        <w:trPr>
          <w:trHeight w:val="180"/>
        </w:trPr>
        <w:tc>
          <w:tcPr>
            <w:tcW w:w="3700" w:type="dxa"/>
            <w:vAlign w:val="bottom"/>
            <w:gridSpan w:val="2"/>
          </w:tcPr>
          <w:p>
            <w:pPr>
              <w:jc w:val="center"/>
              <w:ind w:right="1066"/>
              <w:spacing w:after="0"/>
              <w:rPr>
                <w:sz w:val="20"/>
                <w:szCs w:val="20"/>
                <w:color w:val="auto"/>
              </w:rPr>
            </w:pPr>
            <w:r>
              <w:rPr>
                <w:rFonts w:ascii="Times New Roman" w:cs="Times New Roman" w:eastAsia="Times New Roman" w:hAnsi="Times New Roman"/>
                <w:sz w:val="11"/>
                <w:szCs w:val="11"/>
                <w:i w:val="1"/>
                <w:iCs w:val="1"/>
                <w:color w:val="auto"/>
                <w:w w:val="98"/>
              </w:rPr>
              <w:t>(Address of principal executive offices)</w:t>
            </w:r>
          </w:p>
        </w:tc>
        <w:tc>
          <w:tcPr>
            <w:tcW w:w="940" w:type="dxa"/>
            <w:vAlign w:val="bottom"/>
          </w:tcPr>
          <w:p>
            <w:pPr>
              <w:jc w:val="center"/>
              <w:ind w:left="6"/>
              <w:spacing w:after="0"/>
              <w:rPr>
                <w:sz w:val="20"/>
                <w:szCs w:val="20"/>
                <w:color w:val="auto"/>
              </w:rPr>
            </w:pPr>
            <w:r>
              <w:rPr>
                <w:rFonts w:ascii="Times New Roman" w:cs="Times New Roman" w:eastAsia="Times New Roman" w:hAnsi="Times New Roman"/>
                <w:sz w:val="11"/>
                <w:szCs w:val="11"/>
                <w:i w:val="1"/>
                <w:iCs w:val="1"/>
                <w:color w:val="auto"/>
                <w:w w:val="99"/>
              </w:rPr>
              <w:t>(Zip Code)</w:t>
            </w:r>
          </w:p>
        </w:tc>
      </w:tr>
      <w:tr>
        <w:trPr>
          <w:trHeight w:val="380"/>
        </w:trPr>
        <w:tc>
          <w:tcPr>
            <w:tcW w:w="1280" w:type="dxa"/>
            <w:vAlign w:val="bottom"/>
          </w:tcPr>
          <w:p>
            <w:pPr>
              <w:spacing w:after="0"/>
              <w:rPr>
                <w:sz w:val="24"/>
                <w:szCs w:val="24"/>
                <w:color w:val="auto"/>
              </w:rPr>
            </w:pPr>
          </w:p>
        </w:tc>
        <w:tc>
          <w:tcPr>
            <w:tcW w:w="2420" w:type="dxa"/>
            <w:vAlign w:val="bottom"/>
          </w:tcPr>
          <w:p>
            <w:pPr>
              <w:jc w:val="center"/>
              <w:ind w:right="46"/>
              <w:spacing w:after="0"/>
              <w:rPr>
                <w:sz w:val="20"/>
                <w:szCs w:val="20"/>
                <w:color w:val="auto"/>
              </w:rPr>
            </w:pPr>
            <w:r>
              <w:rPr>
                <w:rFonts w:ascii="Times New Roman" w:cs="Times New Roman" w:eastAsia="Times New Roman" w:hAnsi="Times New Roman"/>
                <w:sz w:val="11"/>
                <w:szCs w:val="11"/>
                <w:b w:val="1"/>
                <w:bCs w:val="1"/>
                <w:color w:val="auto"/>
                <w:w w:val="98"/>
              </w:rPr>
              <w:t>(980) 264-4300</w:t>
            </w:r>
          </w:p>
        </w:tc>
        <w:tc>
          <w:tcPr>
            <w:tcW w:w="940" w:type="dxa"/>
            <w:vAlign w:val="bottom"/>
          </w:tcPr>
          <w:p>
            <w:pPr>
              <w:spacing w:after="0"/>
              <w:rPr>
                <w:sz w:val="24"/>
                <w:szCs w:val="24"/>
                <w:color w:val="auto"/>
              </w:rPr>
            </w:pPr>
          </w:p>
        </w:tc>
      </w:tr>
      <w:tr>
        <w:trPr>
          <w:trHeight w:val="142"/>
        </w:trPr>
        <w:tc>
          <w:tcPr>
            <w:tcW w:w="1280" w:type="dxa"/>
            <w:vAlign w:val="bottom"/>
          </w:tcPr>
          <w:p>
            <w:pPr>
              <w:spacing w:after="0"/>
              <w:rPr>
                <w:sz w:val="12"/>
                <w:szCs w:val="12"/>
                <w:color w:val="auto"/>
              </w:rPr>
            </w:pPr>
          </w:p>
        </w:tc>
        <w:tc>
          <w:tcPr>
            <w:tcW w:w="2420" w:type="dxa"/>
            <w:vAlign w:val="bottom"/>
          </w:tcPr>
          <w:p>
            <w:pPr>
              <w:jc w:val="center"/>
              <w:ind w:right="66"/>
              <w:spacing w:after="0"/>
              <w:rPr>
                <w:sz w:val="20"/>
                <w:szCs w:val="20"/>
                <w:color w:val="auto"/>
              </w:rPr>
            </w:pPr>
            <w:r>
              <w:rPr>
                <w:rFonts w:ascii="Times New Roman" w:cs="Times New Roman" w:eastAsia="Times New Roman" w:hAnsi="Times New Roman"/>
                <w:sz w:val="11"/>
                <w:szCs w:val="11"/>
                <w:i w:val="1"/>
                <w:iCs w:val="1"/>
                <w:color w:val="auto"/>
                <w:w w:val="97"/>
              </w:rPr>
              <w:t>(Registrant’s telephone number, including area code)</w:t>
            </w:r>
          </w:p>
        </w:tc>
        <w:tc>
          <w:tcPr>
            <w:tcW w:w="940" w:type="dxa"/>
            <w:vAlign w:val="bottom"/>
          </w:tcPr>
          <w:p>
            <w:pPr>
              <w:spacing w:after="0"/>
              <w:rPr>
                <w:sz w:val="12"/>
                <w:szCs w:val="12"/>
                <w:color w:val="auto"/>
              </w:rPr>
            </w:pPr>
          </w:p>
        </w:tc>
      </w:tr>
    </w:tbl>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1791335</wp:posOffset>
            </wp:positionH>
            <wp:positionV relativeFrom="paragraph">
              <wp:posOffset>22860</wp:posOffset>
            </wp:positionV>
            <wp:extent cx="213741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137410" cy="5715"/>
                    </a:xfrm>
                    <a:prstGeom prst="rect">
                      <a:avLst/>
                    </a:prstGeom>
                    <a:noFill/>
                  </pic:spPr>
                </pic:pic>
              </a:graphicData>
            </a:graphic>
          </wp:anchor>
        </w:drawing>
      </w:r>
    </w:p>
    <w:p>
      <w:pPr>
        <w:spacing w:after="0" w:line="294" w:lineRule="exact"/>
        <w:rPr>
          <w:sz w:val="24"/>
          <w:szCs w:val="24"/>
          <w:color w:val="auto"/>
        </w:rPr>
      </w:pPr>
    </w:p>
    <w:p>
      <w:pPr>
        <w:ind w:left="1440" w:right="1679"/>
        <w:spacing w:after="0" w:line="236" w:lineRule="auto"/>
        <w:rPr>
          <w:sz w:val="20"/>
          <w:szCs w:val="20"/>
          <w:color w:val="auto"/>
        </w:rPr>
      </w:pPr>
      <w:r>
        <w:rPr>
          <w:rFonts w:ascii="Times New Roman" w:cs="Times New Roman" w:eastAsia="Times New Roman" w:hAnsi="Times New Roman"/>
          <w:sz w:val="12"/>
          <w:szCs w:val="12"/>
          <w:color w:val="auto"/>
        </w:rPr>
        <w:t>Check the appropriate box if the Form 8-K filing is intended to simultaneously satisfy the filing obligation of the registrant under any of the following provisions (see General Instruction A.2. below):</w:t>
      </w:r>
    </w:p>
    <w:p>
      <w:pPr>
        <w:spacing w:after="0" w:line="35" w:lineRule="exact"/>
        <w:rPr>
          <w:sz w:val="24"/>
          <w:szCs w:val="24"/>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240.14d- 2(b))</w:t>
      </w:r>
    </w:p>
    <w:p>
      <w:pPr>
        <w:spacing w:after="0" w:line="69" w:lineRule="exact"/>
        <w:rPr>
          <w:rFonts w:ascii="MS PGothic" w:cs="MS PGothic" w:eastAsia="MS PGothic" w:hAnsi="MS PGothic"/>
          <w:sz w:val="12"/>
          <w:szCs w:val="12"/>
          <w:color w:val="auto"/>
        </w:rPr>
      </w:pPr>
    </w:p>
    <w:p>
      <w:pPr>
        <w:ind w:left="1660" w:hanging="222"/>
        <w:spacing w:after="0"/>
        <w:tabs>
          <w:tab w:leader="none" w:pos="166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240.13e- 4(c))</w:t>
      </w:r>
    </w:p>
    <w:p>
      <w:pPr>
        <w:spacing w:after="0" w:line="2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Securities registered pursuant to Section 12(b) of the Act:</w:t>
      </w:r>
    </w:p>
    <w:p>
      <w:pPr>
        <w:sectPr>
          <w:pgSz w:w="11900" w:h="16838" w:orient="portrait"/>
          <w:cols w:equalWidth="0" w:num="1">
            <w:col w:w="9019"/>
          </w:cols>
          <w:pgMar w:left="1440" w:top="907" w:right="1440" w:bottom="1440" w:gutter="0" w:footer="0" w:header="0"/>
        </w:sectPr>
      </w:pPr>
    </w:p>
    <w:p>
      <w:pPr>
        <w:spacing w:after="0" w:line="29" w:lineRule="exact"/>
        <w:rPr>
          <w:sz w:val="24"/>
          <w:szCs w:val="24"/>
          <w:color w:val="auto"/>
        </w:rPr>
      </w:pPr>
    </w:p>
    <w:p>
      <w:pPr>
        <w:ind w:left="2240"/>
        <w:spacing w:after="0"/>
        <w:rPr>
          <w:sz w:val="20"/>
          <w:szCs w:val="20"/>
          <w:color w:val="auto"/>
        </w:rPr>
      </w:pPr>
      <w:r>
        <w:rPr>
          <w:rFonts w:ascii="Times New Roman" w:cs="Times New Roman" w:eastAsia="Times New Roman" w:hAnsi="Times New Roman"/>
          <w:sz w:val="8"/>
          <w:szCs w:val="8"/>
          <w:i w:val="1"/>
          <w:iCs w:val="1"/>
          <w:color w:val="auto"/>
        </w:rPr>
        <w:t>Title of each class</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Trading symbol</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i w:val="1"/>
          <w:iCs w:val="1"/>
          <w:color w:val="auto"/>
        </w:rPr>
        <w:t>Name of each exchange on which registered</w:t>
      </w:r>
    </w:p>
    <w:p>
      <w:pPr>
        <w:spacing w:after="0" w:line="52" w:lineRule="exact"/>
        <w:rPr>
          <w:sz w:val="24"/>
          <w:szCs w:val="24"/>
          <w:color w:val="auto"/>
        </w:rPr>
      </w:pPr>
    </w:p>
    <w:p>
      <w:pPr>
        <w:sectPr>
          <w:pgSz w:w="11900" w:h="16838" w:orient="portrait"/>
          <w:cols w:equalWidth="0" w:num="3">
            <w:col w:w="3480" w:space="720"/>
            <w:col w:w="640" w:space="720"/>
            <w:col w:w="3459"/>
          </w:cols>
          <w:pgMar w:left="1440" w:top="907" w:right="1440" w:bottom="1440" w:gutter="0" w:footer="0" w:header="0"/>
          <w:type w:val="continuous"/>
        </w:sectPr>
      </w:pPr>
    </w:p>
    <w:p>
      <w:pPr>
        <w:ind w:left="1920"/>
        <w:spacing w:after="0"/>
        <w:rPr>
          <w:sz w:val="20"/>
          <w:szCs w:val="20"/>
          <w:color w:val="auto"/>
        </w:rPr>
      </w:pPr>
      <w:r>
        <w:rPr>
          <w:rFonts w:ascii="Times New Roman" w:cs="Times New Roman" w:eastAsia="Times New Roman" w:hAnsi="Times New Roman"/>
          <w:sz w:val="8"/>
          <w:szCs w:val="8"/>
          <w:b w:val="1"/>
          <w:bCs w:val="1"/>
          <w:color w:val="auto"/>
        </w:rPr>
        <w:t>Common Stock, par value $0.01</w:t>
      </w:r>
    </w:p>
    <w:p>
      <w:pPr>
        <w:spacing w:after="0" w:line="20" w:lineRule="exact"/>
        <w:rPr>
          <w:sz w:val="24"/>
          <w:szCs w:val="24"/>
          <w:color w:val="auto"/>
        </w:rPr>
      </w:pPr>
      <w:r>
        <w:rPr>
          <w:sz w:val="24"/>
          <w:szCs w:val="24"/>
          <w:color w:val="auto"/>
        </w:rPr>
        <w:br w:type="column"/>
      </w:r>
    </w:p>
    <w:p>
      <w:pPr>
        <w:jc w:val="center"/>
        <w:ind w:right="420"/>
        <w:spacing w:after="0"/>
        <w:rPr>
          <w:sz w:val="20"/>
          <w:szCs w:val="20"/>
          <w:color w:val="auto"/>
        </w:rPr>
      </w:pPr>
      <w:r>
        <w:rPr>
          <w:rFonts w:ascii="Times New Roman" w:cs="Times New Roman" w:eastAsia="Times New Roman" w:hAnsi="Times New Roman"/>
          <w:sz w:val="8"/>
          <w:szCs w:val="8"/>
          <w:b w:val="1"/>
          <w:bCs w:val="1"/>
          <w:color w:val="auto"/>
        </w:rPr>
        <w:t>NNBR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The Nasdaq Stock Market LLC</w:t>
      </w:r>
    </w:p>
    <w:p>
      <w:pPr>
        <w:spacing w:after="0" w:line="200" w:lineRule="exact"/>
        <w:rPr>
          <w:sz w:val="24"/>
          <w:szCs w:val="24"/>
          <w:color w:val="auto"/>
        </w:rPr>
      </w:pPr>
    </w:p>
    <w:p>
      <w:pPr>
        <w:sectPr>
          <w:pgSz w:w="11900" w:h="16838" w:orient="portrait"/>
          <w:cols w:equalWidth="0" w:num="3">
            <w:col w:w="3640" w:space="720"/>
            <w:col w:w="680" w:space="720"/>
            <w:col w:w="3259"/>
          </w:cols>
          <w:pgMar w:left="1440" w:top="907" w:right="1440" w:bottom="1440" w:gutter="0" w:footer="0" w:header="0"/>
          <w:type w:val="continuous"/>
        </w:sectPr>
      </w:pPr>
    </w:p>
    <w:p>
      <w:pPr>
        <w:spacing w:after="0" w:line="110" w:lineRule="exact"/>
        <w:rPr>
          <w:sz w:val="24"/>
          <w:szCs w:val="24"/>
          <w:color w:val="auto"/>
        </w:rPr>
      </w:pPr>
    </w:p>
    <w:p>
      <w:pPr>
        <w:ind w:left="1440" w:right="1559"/>
        <w:spacing w:after="0" w:line="236"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ind w:left="6000"/>
        <w:spacing w:after="0" w:line="235" w:lineRule="exact"/>
        <w:rPr>
          <w:sz w:val="20"/>
          <w:szCs w:val="20"/>
          <w:color w:val="auto"/>
        </w:rPr>
      </w:pPr>
      <w:r>
        <w:rPr>
          <w:rFonts w:ascii="Times New Roman" w:cs="Times New Roman" w:eastAsia="Times New Roman" w:hAnsi="Times New Roman"/>
          <w:sz w:val="11"/>
          <w:szCs w:val="11"/>
          <w:color w:val="auto"/>
        </w:rPr>
        <w:t xml:space="preserve">Emerging growth company. </w:t>
      </w:r>
      <w:r>
        <w:rPr>
          <w:rFonts w:ascii="MS PGothic" w:cs="MS PGothic" w:eastAsia="MS PGothic" w:hAnsi="MS PGothic"/>
          <w:sz w:val="21"/>
          <w:szCs w:val="21"/>
          <w:color w:val="auto"/>
          <w:vertAlign w:val="subscript"/>
        </w:rPr>
        <w:t>☐</w:t>
      </w:r>
    </w:p>
    <w:p>
      <w:pPr>
        <w:spacing w:after="0" w:line="16" w:lineRule="exact"/>
        <w:rPr>
          <w:sz w:val="24"/>
          <w:szCs w:val="24"/>
          <w:color w:val="auto"/>
        </w:rPr>
      </w:pPr>
    </w:p>
    <w:p>
      <w:pPr>
        <w:ind w:left="1440" w:right="1599"/>
        <w:spacing w:after="0" w:line="13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-741045</wp:posOffset>
            </wp:positionH>
            <wp:positionV relativeFrom="paragraph">
              <wp:posOffset>491490</wp:posOffset>
            </wp:positionV>
            <wp:extent cx="7203440"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401320</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-728345</wp:posOffset>
            </wp:positionH>
            <wp:positionV relativeFrom="paragraph">
              <wp:posOffset>418465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type w:val="continuous"/>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OPERATIONS AND FINANCIAL CONDITION</w:t>
      </w:r>
    </w:p>
    <w:p>
      <w:pPr>
        <w:spacing w:after="0" w:line="46" w:lineRule="exact"/>
        <w:rPr>
          <w:sz w:val="20"/>
          <w:szCs w:val="20"/>
          <w:color w:val="auto"/>
        </w:rPr>
      </w:pPr>
    </w:p>
    <w:p>
      <w:pPr>
        <w:ind w:right="80" w:firstLine="432"/>
        <w:spacing w:after="0" w:line="279" w:lineRule="auto"/>
        <w:rPr>
          <w:sz w:val="20"/>
          <w:szCs w:val="20"/>
          <w:color w:val="auto"/>
        </w:rPr>
      </w:pPr>
      <w:r>
        <w:rPr>
          <w:rFonts w:ascii="Times New Roman" w:cs="Times New Roman" w:eastAsia="Times New Roman" w:hAnsi="Times New Roman"/>
          <w:sz w:val="12"/>
          <w:szCs w:val="12"/>
          <w:color w:val="auto"/>
        </w:rPr>
        <w:t>On May 6, 2024, NN, Inc. (the “Company”) issued a press release announcing the Company’s financial results for the quarter ended March 31, 2024. The full text of the press release is furnished as Exhibit 99.1 to this Current Report on Form 8-K (the "Current Report").</w:t>
      </w:r>
    </w:p>
    <w:p>
      <w:pPr>
        <w:spacing w:after="0" w:line="39" w:lineRule="exact"/>
        <w:rPr>
          <w:sz w:val="20"/>
          <w:szCs w:val="20"/>
          <w:color w:val="auto"/>
        </w:rPr>
      </w:pPr>
    </w:p>
    <w:p>
      <w:pPr>
        <w:ind w:right="16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U.S. Securities and Exchange Commission (the “SEC”), the information furnished pursuant to Item 2.02 of this Current Report (including Exhibit 99.1) is deemed to have been furnished and shall not be deemed to be “filed” for purposes of Section 18 of the Securities Exchange Act of 1934, as amended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4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46" w:lineRule="exact"/>
        <w:rPr>
          <w:sz w:val="20"/>
          <w:szCs w:val="20"/>
          <w:color w:val="auto"/>
        </w:rPr>
      </w:pPr>
    </w:p>
    <w:p>
      <w:pPr>
        <w:ind w:right="500" w:firstLine="432"/>
        <w:spacing w:after="0" w:line="279" w:lineRule="auto"/>
        <w:rPr>
          <w:sz w:val="20"/>
          <w:szCs w:val="20"/>
          <w:color w:val="auto"/>
        </w:rPr>
      </w:pPr>
      <w:r>
        <w:rPr>
          <w:rFonts w:ascii="Times New Roman" w:cs="Times New Roman" w:eastAsia="Times New Roman" w:hAnsi="Times New Roman"/>
          <w:sz w:val="12"/>
          <w:szCs w:val="12"/>
          <w:color w:val="auto"/>
        </w:rPr>
        <w:t>On May 6, 2024, the Company posted a supplemental presentation to its website, https://investors.nninc.com/, which will be presented during its quarterly investor conference call on May 7, 2024, at 9:00a.m. ET. The supplemental presentation is included as Exhibit 99.2 to this Current Report.</w:t>
      </w:r>
    </w:p>
    <w:p>
      <w:pPr>
        <w:spacing w:after="0" w:line="39" w:lineRule="exact"/>
        <w:rPr>
          <w:sz w:val="20"/>
          <w:szCs w:val="20"/>
          <w:color w:val="auto"/>
        </w:rPr>
      </w:pPr>
    </w:p>
    <w:p>
      <w:pPr>
        <w:ind w:right="240" w:firstLine="432"/>
        <w:spacing w:after="0" w:line="265" w:lineRule="auto"/>
        <w:rPr>
          <w:sz w:val="20"/>
          <w:szCs w:val="20"/>
          <w:color w:val="auto"/>
        </w:rPr>
      </w:pPr>
      <w:r>
        <w:rPr>
          <w:rFonts w:ascii="Times New Roman" w:cs="Times New Roman" w:eastAsia="Times New Roman" w:hAnsi="Times New Roman"/>
          <w:sz w:val="12"/>
          <w:szCs w:val="12"/>
          <w:color w:val="auto"/>
        </w:rPr>
        <w:t>Pursuant to the rules and regulations of the SEC, the information furnished pursuant to Item 7.01 of this Current Report (including Exhibit 99.2) is deemed to have been furnished and shall not be deemed to be “filed” for purposes of Section 18 of the Exchange Act or otherwise subject to the liabilities of that section. Such information shall not be incorporated by reference into any filing of the Company, whether made before or after the date hereof, regardless of any general incorporation language in such filing.</w:t>
      </w:r>
    </w:p>
    <w:p>
      <w:pPr>
        <w:spacing w:after="0" w:line="277"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44" w:lineRule="exact"/>
        <w:rPr>
          <w:sz w:val="20"/>
          <w:szCs w:val="20"/>
          <w:color w:val="auto"/>
        </w:rPr>
      </w:pPr>
    </w:p>
    <w:p>
      <w:pPr>
        <w:ind w:left="280" w:hanging="258"/>
        <w:spacing w:after="0"/>
        <w:tabs>
          <w:tab w:leader="none" w:pos="280" w:val="left"/>
        </w:tabs>
        <w:numPr>
          <w:ilvl w:val="0"/>
          <w:numId w:val="2"/>
        </w:numPr>
        <w:rPr>
          <w:rFonts w:ascii="Times New Roman" w:cs="Times New Roman" w:eastAsia="Times New Roman" w:hAnsi="Times New Roman"/>
          <w:sz w:val="12"/>
          <w:szCs w:val="12"/>
          <w:i w:val="1"/>
          <w:iCs w:val="1"/>
          <w:color w:val="auto"/>
        </w:rPr>
      </w:pPr>
      <w:r>
        <w:rPr>
          <w:rFonts w:ascii="Times New Roman" w:cs="Times New Roman" w:eastAsia="Times New Roman" w:hAnsi="Times New Roman"/>
          <w:sz w:val="12"/>
          <w:szCs w:val="12"/>
          <w:i w:val="1"/>
          <w:iCs w:val="1"/>
          <w:color w:val="auto"/>
        </w:rPr>
        <w:t>Exhibits.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80" w:type="dxa"/>
            <w:vAlign w:val="bottom"/>
            <w:gridSpan w:val="5"/>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4"/>
              </w:rPr>
              <w:t>Exhibit</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color w:val="auto"/>
                <w:w w:val="93"/>
              </w:rPr>
              <w:t>Description of Exhibit</w:t>
            </w:r>
          </w:p>
        </w:tc>
        <w:tc>
          <w:tcPr>
            <w:tcW w:w="9820" w:type="dxa"/>
            <w:vAlign w:val="bottom"/>
            <w:gridSpan w:val="3"/>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60" w:type="dxa"/>
            <w:vAlign w:val="bottom"/>
          </w:tcPr>
          <w:p>
            <w:pPr>
              <w:spacing w:after="0"/>
              <w:rPr>
                <w:sz w:val="6"/>
                <w:szCs w:val="6"/>
                <w:color w:val="auto"/>
              </w:rPr>
            </w:pPr>
          </w:p>
        </w:tc>
        <w:tc>
          <w:tcPr>
            <w:tcW w:w="80" w:type="dxa"/>
            <w:vAlign w:val="bottom"/>
            <w:tcBorders>
              <w:top w:val="single" w:sz="8" w:color="auto"/>
            </w:tcBorders>
          </w:tcPr>
          <w:p>
            <w:pPr>
              <w:spacing w:after="0"/>
              <w:rPr>
                <w:sz w:val="6"/>
                <w:szCs w:val="6"/>
                <w:color w:val="auto"/>
              </w:rPr>
            </w:pPr>
          </w:p>
        </w:tc>
        <w:tc>
          <w:tcPr>
            <w:tcW w:w="140" w:type="dxa"/>
            <w:vAlign w:val="bottom"/>
            <w:tcBorders>
              <w:top w:val="single" w:sz="8" w:color="auto"/>
              <w:bottom w:val="single" w:sz="8" w:color="auto"/>
            </w:tcBorders>
          </w:tcPr>
          <w:p>
            <w:pPr>
              <w:jc w:val="center"/>
              <w:spacing w:after="0" w:line="70" w:lineRule="exact"/>
              <w:rPr>
                <w:sz w:val="20"/>
                <w:szCs w:val="20"/>
                <w:color w:val="auto"/>
              </w:rPr>
            </w:pPr>
            <w:r>
              <w:rPr>
                <w:rFonts w:ascii="Times New Roman" w:cs="Times New Roman" w:eastAsia="Times New Roman" w:hAnsi="Times New Roman"/>
                <w:sz w:val="8"/>
                <w:szCs w:val="8"/>
                <w:b w:val="1"/>
                <w:bCs w:val="1"/>
                <w:color w:val="auto"/>
              </w:rPr>
              <w:t>No.</w:t>
            </w:r>
          </w:p>
        </w:tc>
        <w:tc>
          <w:tcPr>
            <w:tcW w:w="8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900" w:type="dxa"/>
            <w:vAlign w:val="bottom"/>
            <w:tcBorders>
              <w:bottom w:val="single" w:sz="8" w:color="auto"/>
            </w:tcBorders>
            <w:vMerge w:val="continue"/>
          </w:tcPr>
          <w:p>
            <w:pPr>
              <w:spacing w:after="0"/>
              <w:rPr>
                <w:sz w:val="6"/>
                <w:szCs w:val="6"/>
                <w:color w:val="auto"/>
              </w:rPr>
            </w:pPr>
          </w:p>
        </w:tc>
        <w:tc>
          <w:tcPr>
            <w:tcW w:w="98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0"/>
        </w:trPr>
        <w:tc>
          <w:tcPr>
            <w:tcW w:w="360" w:type="dxa"/>
            <w:vAlign w:val="bottom"/>
            <w:gridSpan w:val="4"/>
          </w:tcPr>
          <w:p>
            <w:pPr>
              <w:jc w:val="center"/>
              <w:spacing w:after="0"/>
              <w:rPr>
                <w:sz w:val="20"/>
                <w:szCs w:val="20"/>
                <w:color w:val="auto"/>
              </w:rPr>
            </w:pPr>
            <w:r>
              <w:rPr>
                <w:rFonts w:ascii="Times New Roman" w:cs="Times New Roman" w:eastAsia="Times New Roman" w:hAnsi="Times New Roman"/>
                <w:sz w:val="12"/>
                <w:szCs w:val="12"/>
                <w:color w:val="auto"/>
                <w:w w:val="95"/>
              </w:rPr>
              <w:t>99.1</w:t>
            </w:r>
          </w:p>
        </w:tc>
        <w:tc>
          <w:tcPr>
            <w:tcW w:w="220" w:type="dxa"/>
            <w:vAlign w:val="bottom"/>
          </w:tcPr>
          <w:p>
            <w:pPr>
              <w:spacing w:after="0"/>
              <w:rPr>
                <w:sz w:val="13"/>
                <w:szCs w:val="13"/>
                <w:color w:val="auto"/>
              </w:rPr>
            </w:pPr>
          </w:p>
        </w:tc>
        <w:tc>
          <w:tcPr>
            <w:tcW w:w="25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2"/>
                <w:szCs w:val="12"/>
                <w:color w:val="0000FF"/>
                <w:w w:val="99"/>
              </w:rPr>
              <w:t>Press Release issued by NN, Inc., dated May 6, 2024</w:t>
            </w:r>
          </w:p>
        </w:tc>
        <w:tc>
          <w:tcPr>
            <w:tcW w:w="8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360" w:type="dxa"/>
            <w:vAlign w:val="bottom"/>
            <w:gridSpan w:val="4"/>
          </w:tcPr>
          <w:p>
            <w:pPr>
              <w:jc w:val="center"/>
              <w:spacing w:after="0" w:line="133" w:lineRule="exact"/>
              <w:rPr>
                <w:sz w:val="20"/>
                <w:szCs w:val="20"/>
                <w:color w:val="auto"/>
              </w:rPr>
            </w:pPr>
            <w:r>
              <w:rPr>
                <w:rFonts w:ascii="Times New Roman" w:cs="Times New Roman" w:eastAsia="Times New Roman" w:hAnsi="Times New Roman"/>
                <w:sz w:val="12"/>
                <w:szCs w:val="12"/>
                <w:color w:val="auto"/>
                <w:w w:val="95"/>
              </w:rPr>
              <w:t>99.2</w:t>
            </w:r>
          </w:p>
        </w:tc>
        <w:tc>
          <w:tcPr>
            <w:tcW w:w="220" w:type="dxa"/>
            <w:vAlign w:val="bottom"/>
          </w:tcPr>
          <w:p>
            <w:pPr>
              <w:spacing w:after="0"/>
              <w:rPr>
                <w:sz w:val="11"/>
                <w:szCs w:val="11"/>
                <w:color w:val="auto"/>
              </w:rPr>
            </w:pPr>
          </w:p>
        </w:tc>
        <w:tc>
          <w:tcPr>
            <w:tcW w:w="1072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Investor Presentation, dated May 7, 2024</w:t>
            </w:r>
          </w:p>
        </w:tc>
        <w:tc>
          <w:tcPr>
            <w:tcW w:w="0" w:type="dxa"/>
            <w:vAlign w:val="bottom"/>
          </w:tcPr>
          <w:p>
            <w:pPr>
              <w:spacing w:after="0"/>
              <w:rPr>
                <w:sz w:val="1"/>
                <w:szCs w:val="1"/>
                <w:color w:val="auto"/>
              </w:rPr>
            </w:pPr>
          </w:p>
        </w:tc>
      </w:tr>
      <w:tr>
        <w:trPr>
          <w:trHeight w:val="20"/>
        </w:trPr>
        <w:tc>
          <w:tcPr>
            <w:tcW w:w="36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gridSpan w:val="2"/>
            <w:shd w:val="clear" w:color="auto" w:fill="0000FF"/>
          </w:tcPr>
          <w:p>
            <w:pPr>
              <w:spacing w:after="0" w:line="20" w:lineRule="exact"/>
              <w:rPr>
                <w:sz w:val="1"/>
                <w:szCs w:val="1"/>
                <w:color w:val="auto"/>
              </w:rPr>
            </w:pPr>
          </w:p>
        </w:tc>
        <w:tc>
          <w:tcPr>
            <w:tcW w:w="87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60" w:type="dxa"/>
            <w:vAlign w:val="bottom"/>
            <w:gridSpan w:val="4"/>
          </w:tcPr>
          <w:p>
            <w:pPr>
              <w:jc w:val="center"/>
              <w:ind w:left="3"/>
              <w:spacing w:after="0"/>
              <w:rPr>
                <w:sz w:val="20"/>
                <w:szCs w:val="20"/>
                <w:color w:val="auto"/>
              </w:rPr>
            </w:pPr>
            <w:r>
              <w:rPr>
                <w:rFonts w:ascii="Times New Roman" w:cs="Times New Roman" w:eastAsia="Times New Roman" w:hAnsi="Times New Roman"/>
                <w:sz w:val="12"/>
                <w:szCs w:val="12"/>
                <w:color w:val="auto"/>
                <w:w w:val="99"/>
              </w:rPr>
              <w:t>104</w:t>
            </w:r>
          </w:p>
        </w:tc>
        <w:tc>
          <w:tcPr>
            <w:tcW w:w="220" w:type="dxa"/>
            <w:vAlign w:val="bottom"/>
          </w:tcPr>
          <w:p>
            <w:pPr>
              <w:spacing w:after="0"/>
              <w:rPr>
                <w:sz w:val="15"/>
                <w:szCs w:val="15"/>
                <w:color w:val="auto"/>
              </w:rPr>
            </w:pPr>
          </w:p>
        </w:tc>
        <w:tc>
          <w:tcPr>
            <w:tcW w:w="107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c>
          <w:tcPr>
            <w:tcW w:w="0" w:type="dxa"/>
            <w:vAlign w:val="bottom"/>
          </w:tcPr>
          <w:p>
            <w:pPr>
              <w:spacing w:after="0"/>
              <w:rPr>
                <w:sz w:val="1"/>
                <w:szCs w:val="1"/>
                <w:color w:val="auto"/>
              </w:rPr>
            </w:pPr>
          </w:p>
        </w:tc>
      </w:tr>
      <w:tr>
        <w:trPr>
          <w:trHeight w:val="1080"/>
        </w:trPr>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638" w:right="2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343" w:lineRule="exact"/>
        <w:rPr>
          <w:sz w:val="20"/>
          <w:szCs w:val="20"/>
          <w:color w:val="auto"/>
        </w:rPr>
      </w:pPr>
    </w:p>
    <w:p>
      <w:pPr>
        <w:ind w:left="1440" w:right="1719" w:firstLine="297"/>
        <w:spacing w:after="0" w:line="236"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215" w:lineRule="exact"/>
        <w:rPr>
          <w:sz w:val="20"/>
          <w:szCs w:val="20"/>
          <w:color w:val="auto"/>
        </w:rPr>
      </w:pPr>
    </w:p>
    <w:p>
      <w:pPr>
        <w:ind w:left="1440"/>
        <w:spacing w:after="0"/>
        <w:tabs>
          <w:tab w:leader="none" w:pos="1820" w:val="left"/>
        </w:tabs>
        <w:rPr>
          <w:sz w:val="20"/>
          <w:szCs w:val="20"/>
          <w:color w:val="auto"/>
        </w:rPr>
      </w:pPr>
      <w:r>
        <w:rPr>
          <w:rFonts w:ascii="Times New Roman" w:cs="Times New Roman" w:eastAsia="Times New Roman" w:hAnsi="Times New Roman"/>
          <w:sz w:val="12"/>
          <w:szCs w:val="12"/>
          <w:color w:val="auto"/>
        </w:rPr>
        <w:t>Date:</w:t>
        <w:tab/>
        <w:t>May 6, 2024</w:t>
      </w:r>
    </w:p>
    <w:p>
      <w:pPr>
        <w:spacing w:after="0" w:line="308" w:lineRule="exact"/>
        <w:rPr>
          <w:sz w:val="20"/>
          <w:szCs w:val="20"/>
          <w:color w:val="auto"/>
        </w:rPr>
      </w:pPr>
    </w:p>
    <w:tbl>
      <w:tblPr>
        <w:tblLayout w:type="fixed"/>
        <w:tblInd w:w="4380" w:type="dxa"/>
        <w:tblCellMar>
          <w:top w:w="0" w:type="dxa"/>
          <w:left w:w="0" w:type="dxa"/>
          <w:bottom w:w="0" w:type="dxa"/>
          <w:right w:w="0" w:type="dxa"/>
        </w:tblCellMar>
      </w:tblPr>
      <w:tr>
        <w:trPr>
          <w:trHeight w:val="159"/>
        </w:trPr>
        <w:tc>
          <w:tcPr>
            <w:tcW w:w="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NN, INC.</w:t>
            </w:r>
          </w:p>
        </w:tc>
        <w:tc>
          <w:tcPr>
            <w:tcW w:w="2600" w:type="dxa"/>
            <w:vAlign w:val="bottom"/>
          </w:tcPr>
          <w:p>
            <w:pPr>
              <w:spacing w:after="0"/>
              <w:rPr>
                <w:sz w:val="13"/>
                <w:szCs w:val="13"/>
                <w:color w:val="auto"/>
              </w:rPr>
            </w:pPr>
          </w:p>
        </w:tc>
      </w:tr>
      <w:tr>
        <w:trPr>
          <w:trHeight w:val="351"/>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By:</w:t>
            </w:r>
          </w:p>
        </w:tc>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Michael C. Felcher</w:t>
            </w:r>
          </w:p>
        </w:tc>
      </w:tr>
      <w:tr>
        <w:trPr>
          <w:trHeight w:val="149"/>
        </w:trPr>
        <w:tc>
          <w:tcPr>
            <w:tcW w:w="60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Name: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Michael C. Felcher</w:t>
            </w:r>
          </w:p>
        </w:tc>
      </w:tr>
      <w:tr>
        <w:trPr>
          <w:trHeight w:val="173"/>
        </w:trPr>
        <w:tc>
          <w:tcPr>
            <w:tcW w:w="600" w:type="dxa"/>
            <w:vAlign w:val="bottom"/>
          </w:tcPr>
          <w:p>
            <w:pPr>
              <w:spacing w:after="0"/>
              <w:rPr>
                <w:sz w:val="20"/>
                <w:szCs w:val="20"/>
                <w:color w:val="auto"/>
              </w:rPr>
            </w:pPr>
            <w:r>
              <w:rPr>
                <w:rFonts w:ascii="Times New Roman" w:cs="Times New Roman" w:eastAsia="Times New Roman" w:hAnsi="Times New Roman"/>
                <w:sz w:val="12"/>
                <w:szCs w:val="12"/>
                <w:color w:val="auto"/>
              </w:rPr>
              <w:t>Title:</w:t>
            </w:r>
          </w:p>
        </w:tc>
        <w:tc>
          <w:tcPr>
            <w:tcW w:w="2600" w:type="dxa"/>
            <w:vAlign w:val="bottom"/>
          </w:tcPr>
          <w:p>
            <w:pPr>
              <w:spacing w:after="0"/>
              <w:rPr>
                <w:sz w:val="20"/>
                <w:szCs w:val="20"/>
                <w:color w:val="auto"/>
              </w:rPr>
            </w:pPr>
            <w:r>
              <w:rPr>
                <w:rFonts w:ascii="Times New Roman" w:cs="Times New Roman" w:eastAsia="Times New Roman" w:hAnsi="Times New Roman"/>
                <w:sz w:val="12"/>
                <w:szCs w:val="12"/>
                <w:color w:val="auto"/>
              </w:rPr>
              <w:t>Senior Vice President and Chief Financial Officer</w:t>
            </w:r>
          </w:p>
        </w:tc>
      </w:tr>
    </w:tbl>
    <w:p>
      <w:pPr>
        <w:sectPr>
          <w:pgSz w:w="11900" w:h="16838" w:orient="portrait"/>
          <w:cols w:equalWidth="0" w:num="1">
            <w:col w:w="9019"/>
          </w:cols>
          <w:pgMar w:left="1440" w:top="638"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464820</wp:posOffset>
            </wp:positionV>
            <wp:extent cx="1097280" cy="817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97280" cy="817245"/>
                    </a:xfrm>
                    <a:prstGeom prst="rect">
                      <a:avLst/>
                    </a:prstGeom>
                    <a:noFill/>
                  </pic:spPr>
                </pic:pic>
              </a:graphicData>
            </a:graphic>
          </wp:anchor>
        </w:drawing>
        <w:drawing>
          <wp:anchor simplePos="0" relativeHeight="251657728" behindDoc="1" locked="0" layoutInCell="0" allowOverlap="1">
            <wp:simplePos x="0" y="0"/>
            <wp:positionH relativeFrom="column">
              <wp:posOffset>5881370</wp:posOffset>
            </wp:positionH>
            <wp:positionV relativeFrom="paragraph">
              <wp:posOffset>664845</wp:posOffset>
            </wp:positionV>
            <wp:extent cx="1285875" cy="4114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5875"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alibri" w:cs="Calibri" w:eastAsia="Calibri" w:hAnsi="Calibri"/>
          <w:sz w:val="12"/>
          <w:szCs w:val="12"/>
          <w:color w:val="auto"/>
        </w:rPr>
        <w:t>NN, Inc.</w:t>
      </w:r>
    </w:p>
    <w:p>
      <w:pPr>
        <w:spacing w:after="0" w:line="235" w:lineRule="auto"/>
        <w:rPr>
          <w:sz w:val="20"/>
          <w:szCs w:val="20"/>
          <w:color w:val="auto"/>
        </w:rPr>
      </w:pPr>
      <w:r>
        <w:rPr>
          <w:rFonts w:ascii="Calibri" w:cs="Calibri" w:eastAsia="Calibri" w:hAnsi="Calibri"/>
          <w:sz w:val="12"/>
          <w:szCs w:val="12"/>
          <w:color w:val="auto"/>
        </w:rPr>
        <w:t>6210 Ardrey Kell Road, Suite 120</w:t>
      </w:r>
    </w:p>
    <w:p>
      <w:pPr>
        <w:spacing w:after="0" w:line="236" w:lineRule="auto"/>
        <w:rPr>
          <w:sz w:val="20"/>
          <w:szCs w:val="20"/>
          <w:color w:val="auto"/>
        </w:rPr>
      </w:pPr>
      <w:r>
        <w:rPr>
          <w:rFonts w:ascii="Calibri" w:cs="Calibri" w:eastAsia="Calibri" w:hAnsi="Calibri"/>
          <w:sz w:val="12"/>
          <w:szCs w:val="12"/>
          <w:color w:val="auto"/>
        </w:rPr>
        <w:t>Charlote, NC 28277</w:t>
      </w:r>
    </w:p>
    <w:p>
      <w:pPr>
        <w:spacing w:after="0" w:line="161"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FOR IMMEDIATE RELEASE</w:t>
      </w:r>
    </w:p>
    <w:p>
      <w:pPr>
        <w:spacing w:after="0" w:line="165" w:lineRule="exact"/>
        <w:rPr>
          <w:sz w:val="20"/>
          <w:szCs w:val="20"/>
          <w:color w:val="auto"/>
        </w:rPr>
      </w:pPr>
    </w:p>
    <w:p>
      <w:pPr>
        <w:jc w:val="center"/>
        <w:spacing w:after="0"/>
        <w:rPr>
          <w:sz w:val="20"/>
          <w:szCs w:val="20"/>
          <w:color w:val="auto"/>
        </w:rPr>
      </w:pPr>
      <w:r>
        <w:rPr>
          <w:rFonts w:ascii="Calibri" w:cs="Calibri" w:eastAsia="Calibri" w:hAnsi="Calibri"/>
          <w:sz w:val="13"/>
          <w:szCs w:val="13"/>
          <w:b w:val="1"/>
          <w:bCs w:val="1"/>
          <w:color w:val="auto"/>
        </w:rPr>
        <w:t>NN, INC. REPORTS FIRST QUARTER 2024 RESULTS</w:t>
      </w:r>
    </w:p>
    <w:p>
      <w:pPr>
        <w:spacing w:after="0" w:line="145"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Business transformaton contnues to drive improved proftability and new business wins</w:t>
      </w:r>
    </w:p>
    <w:p>
      <w:pPr>
        <w:spacing w:after="0" w:line="160" w:lineRule="exact"/>
        <w:rPr>
          <w:sz w:val="20"/>
          <w:szCs w:val="20"/>
          <w:color w:val="auto"/>
        </w:rPr>
      </w:pPr>
    </w:p>
    <w:p>
      <w:pPr>
        <w:spacing w:after="0" w:line="255" w:lineRule="auto"/>
        <w:rPr>
          <w:sz w:val="20"/>
          <w:szCs w:val="20"/>
          <w:color w:val="auto"/>
        </w:rPr>
      </w:pPr>
      <w:r>
        <w:rPr>
          <w:rFonts w:ascii="Calibri" w:cs="Calibri" w:eastAsia="Calibri" w:hAnsi="Calibri"/>
          <w:sz w:val="13"/>
          <w:szCs w:val="13"/>
          <w:b w:val="1"/>
          <w:bCs w:val="1"/>
          <w:color w:val="auto"/>
        </w:rPr>
        <w:t xml:space="preserve">CHARLOTTE, N.C., May 6, 2024 </w:t>
      </w:r>
      <w:r>
        <w:rPr>
          <w:rFonts w:ascii="Calibri" w:cs="Calibri" w:eastAsia="Calibri" w:hAnsi="Calibri"/>
          <w:sz w:val="13"/>
          <w:szCs w:val="13"/>
          <w:color w:val="auto"/>
        </w:rPr>
        <w:t>– NN, Inc. (NASDAQ: NNBR), a global diversifed industrial company that engineers and manufactures high-precision components and assemblies, today reported its fnancial</w:t>
      </w:r>
      <w:r>
        <w:rPr>
          <w:rFonts w:ascii="Calibri" w:cs="Calibri" w:eastAsia="Calibri" w:hAnsi="Calibri"/>
          <w:sz w:val="13"/>
          <w:szCs w:val="13"/>
          <w:b w:val="1"/>
          <w:bCs w:val="1"/>
          <w:color w:val="auto"/>
        </w:rPr>
        <w:t xml:space="preserve"> </w:t>
      </w:r>
      <w:r>
        <w:rPr>
          <w:rFonts w:ascii="Calibri" w:cs="Calibri" w:eastAsia="Calibri" w:hAnsi="Calibri"/>
          <w:sz w:val="13"/>
          <w:szCs w:val="13"/>
          <w:color w:val="auto"/>
        </w:rPr>
        <w:t>results for the frst quarter ended March 31, 2024.</w:t>
      </w:r>
    </w:p>
    <w:p>
      <w:pPr>
        <w:spacing w:after="0" w:line="102"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Highlights</w:t>
      </w:r>
    </w:p>
    <w:p>
      <w:pPr>
        <w:spacing w:after="0" w:line="32" w:lineRule="exact"/>
        <w:rPr>
          <w:sz w:val="20"/>
          <w:szCs w:val="20"/>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Calibri" w:cs="Calibri" w:eastAsia="Calibri" w:hAnsi="Calibri"/>
          <w:sz w:val="13"/>
          <w:szCs w:val="13"/>
          <w:color w:val="auto"/>
        </w:rPr>
        <w:t>Strategic transformaton program drove another quarter of improved results, 3</w:t>
      </w:r>
      <w:r>
        <w:rPr>
          <w:rFonts w:ascii="Calibri" w:cs="Calibri" w:eastAsia="Calibri" w:hAnsi="Calibri"/>
          <w:sz w:val="15"/>
          <w:szCs w:val="15"/>
          <w:color w:val="auto"/>
          <w:vertAlign w:val="superscript"/>
        </w:rPr>
        <w:t>rd</w:t>
      </w:r>
      <w:r>
        <w:rPr>
          <w:rFonts w:ascii="Calibri" w:cs="Calibri" w:eastAsia="Calibri" w:hAnsi="Calibri"/>
          <w:sz w:val="13"/>
          <w:szCs w:val="13"/>
          <w:color w:val="auto"/>
        </w:rPr>
        <w:t xml:space="preserve"> quarter in a row;</w:t>
      </w:r>
    </w:p>
    <w:p>
      <w:pPr>
        <w:spacing w:after="0" w:line="2" w:lineRule="exact"/>
        <w:rPr>
          <w:rFonts w:ascii="Arial" w:cs="Arial" w:eastAsia="Arial" w:hAnsi="Arial"/>
          <w:sz w:val="14"/>
          <w:szCs w:val="14"/>
          <w:color w:val="auto"/>
        </w:rPr>
      </w:pPr>
    </w:p>
    <w:p>
      <w:pPr>
        <w:ind w:left="420" w:hanging="212"/>
        <w:spacing w:after="0" w:line="232" w:lineRule="auto"/>
        <w:tabs>
          <w:tab w:leader="none" w:pos="420" w:val="left"/>
        </w:tabs>
        <w:numPr>
          <w:ilvl w:val="0"/>
          <w:numId w:val="3"/>
        </w:numPr>
        <w:rPr>
          <w:rFonts w:ascii="Arial" w:cs="Arial" w:eastAsia="Arial" w:hAnsi="Arial"/>
          <w:sz w:val="14"/>
          <w:szCs w:val="14"/>
          <w:color w:val="auto"/>
        </w:rPr>
      </w:pPr>
      <w:r>
        <w:rPr>
          <w:rFonts w:ascii="Calibri" w:cs="Calibri" w:eastAsia="Calibri" w:hAnsi="Calibri"/>
          <w:sz w:val="13"/>
          <w:szCs w:val="13"/>
          <w:color w:val="auto"/>
        </w:rPr>
        <w:t>First quarter net sales of $121.2 million, down 4.6% versus prior year, driven largely by ratonalized volume;</w:t>
      </w:r>
    </w:p>
    <w:p>
      <w:pPr>
        <w:spacing w:after="0" w:line="22"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Calibri" w:cs="Calibri" w:eastAsia="Calibri" w:hAnsi="Calibri"/>
          <w:sz w:val="13"/>
          <w:szCs w:val="13"/>
          <w:color w:val="auto"/>
        </w:rPr>
        <w:t>First quarter operatng loss of $4.8 million, an improvement of $2.3 million versus prior year;</w:t>
      </w:r>
    </w:p>
    <w:p>
      <w:pPr>
        <w:spacing w:after="0" w:line="31"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Calibri" w:cs="Calibri" w:eastAsia="Calibri" w:hAnsi="Calibri"/>
          <w:sz w:val="13"/>
          <w:szCs w:val="13"/>
          <w:color w:val="auto"/>
        </w:rPr>
        <w:t>First quarter adjusted EBITDA of $11.3 million, an improvement of 38.9% versus prior year;</w:t>
      </w:r>
    </w:p>
    <w:p>
      <w:pPr>
        <w:spacing w:after="0" w:line="22"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Calibri" w:cs="Calibri" w:eastAsia="Calibri" w:hAnsi="Calibri"/>
          <w:sz w:val="13"/>
          <w:szCs w:val="13"/>
          <w:color w:val="auto"/>
        </w:rPr>
        <w:t>First quarter free cash fow of $0.3 million, an improvement of $4.0 million versus prior year; and</w:t>
      </w:r>
    </w:p>
    <w:p>
      <w:pPr>
        <w:spacing w:after="0" w:line="22" w:lineRule="exact"/>
        <w:rPr>
          <w:rFonts w:ascii="Arial" w:cs="Arial" w:eastAsia="Arial" w:hAnsi="Arial"/>
          <w:sz w:val="14"/>
          <w:szCs w:val="14"/>
          <w:color w:val="auto"/>
        </w:rPr>
      </w:pPr>
    </w:p>
    <w:p>
      <w:pPr>
        <w:ind w:left="420" w:hanging="212"/>
        <w:spacing w:after="0"/>
        <w:tabs>
          <w:tab w:leader="none" w:pos="420" w:val="left"/>
        </w:tabs>
        <w:numPr>
          <w:ilvl w:val="0"/>
          <w:numId w:val="3"/>
        </w:numPr>
        <w:rPr>
          <w:rFonts w:ascii="Arial" w:cs="Arial" w:eastAsia="Arial" w:hAnsi="Arial"/>
          <w:sz w:val="14"/>
          <w:szCs w:val="14"/>
          <w:color w:val="auto"/>
        </w:rPr>
      </w:pPr>
      <w:r>
        <w:rPr>
          <w:rFonts w:ascii="Calibri" w:cs="Calibri" w:eastAsia="Calibri" w:hAnsi="Calibri"/>
          <w:sz w:val="13"/>
          <w:szCs w:val="13"/>
          <w:color w:val="auto"/>
        </w:rPr>
        <w:t>Secured new business awards of $17.2 million in the frst quarter, $80 million in our last 5 quarters.</w:t>
      </w:r>
    </w:p>
    <w:p>
      <w:pPr>
        <w:spacing w:after="0" w:line="167" w:lineRule="exact"/>
        <w:rPr>
          <w:sz w:val="20"/>
          <w:szCs w:val="20"/>
          <w:color w:val="auto"/>
        </w:rPr>
      </w:pPr>
    </w:p>
    <w:p>
      <w:pPr>
        <w:jc w:val="both"/>
        <w:spacing w:after="0"/>
        <w:rPr>
          <w:sz w:val="20"/>
          <w:szCs w:val="20"/>
          <w:color w:val="auto"/>
        </w:rPr>
      </w:pPr>
      <w:r>
        <w:rPr>
          <w:rFonts w:ascii="Calibri" w:cs="Calibri" w:eastAsia="Calibri" w:hAnsi="Calibri"/>
          <w:sz w:val="13"/>
          <w:szCs w:val="13"/>
          <w:color w:val="auto"/>
        </w:rPr>
        <w:t>“In the frst quarter, we contnued to execute our strategic transformaton, which yielded contnued improvement in base business proftability and additve new business wins,” said Harold Bevis, President and Chief Executve Ofcer. “Our trailing-twelve-month adjusted EBITDA of $46 million improved for the fourth consecutve quarter. We are increasing profts on business in house, and we have cumulatvely won $80 million of new business over the last 5 quarters. This combinaton of results is giving us new optons to optmize our performance even further. We have begun work on a laddered improvement program reaching into 2025 to contnue our sequental improvement. We are balancing between cost-out and growth initatves, and using our free cash fow to fund our business plan actvites. Our cash fow generaton has been historically tght due to our current capital structure, but we are improving our credit profle through this same hard work and opening opportunites to improve our capital structure and lower our cost of capital as well.”</w:t>
      </w:r>
    </w:p>
    <w:p>
      <w:pPr>
        <w:spacing w:after="0" w:line="260" w:lineRule="exact"/>
        <w:rPr>
          <w:sz w:val="20"/>
          <w:szCs w:val="20"/>
          <w:color w:val="auto"/>
        </w:rPr>
      </w:pPr>
    </w:p>
    <w:p>
      <w:pPr>
        <w:jc w:val="both"/>
        <w:spacing w:after="0" w:line="250" w:lineRule="auto"/>
        <w:rPr>
          <w:sz w:val="20"/>
          <w:szCs w:val="20"/>
          <w:color w:val="auto"/>
        </w:rPr>
      </w:pPr>
      <w:r>
        <w:rPr>
          <w:rFonts w:ascii="Calibri" w:cs="Calibri" w:eastAsia="Calibri" w:hAnsi="Calibri"/>
          <w:sz w:val="13"/>
          <w:szCs w:val="13"/>
          <w:color w:val="auto"/>
        </w:rPr>
        <w:t>Mr. Bevis contnued, “We are further refning our targeted growth agendas and reallocatng our resources in targeted areas. Our commercial performance year-to-date is on pace with our 2024 targets for new business growth at 3x market rates, and our cost improvement agenda is on track. We are pleased with our overall performance but stll have many areas to improve further. Our results over the last year are encouraging us to set our goals high.”</w:t>
      </w:r>
    </w:p>
    <w:p>
      <w:pPr>
        <w:spacing w:after="0" w:line="161" w:lineRule="exact"/>
        <w:rPr>
          <w:sz w:val="20"/>
          <w:szCs w:val="20"/>
          <w:color w:val="auto"/>
        </w:rPr>
      </w:pPr>
    </w:p>
    <w:p>
      <w:pPr>
        <w:jc w:val="both"/>
        <w:ind w:right="20"/>
        <w:spacing w:after="0" w:line="242" w:lineRule="auto"/>
        <w:rPr>
          <w:sz w:val="20"/>
          <w:szCs w:val="20"/>
          <w:color w:val="auto"/>
        </w:rPr>
      </w:pPr>
      <w:r>
        <w:rPr>
          <w:rFonts w:ascii="Calibri" w:cs="Calibri" w:eastAsia="Calibri" w:hAnsi="Calibri"/>
          <w:sz w:val="13"/>
          <w:szCs w:val="13"/>
          <w:color w:val="auto"/>
        </w:rPr>
        <w:t>Mr. Bevis concluded, “Our worldwide markets are mostly healthy, partcularly in front of our most compettve Mobile plants in China and Brazil and in front of Power plants in the U.S. Steady investment into electric grid, electrifcaton, and climate-friendly vehicle power trains is ongoing and good for us. The sof spots in our end-market demand are the U.S.</w:t>
      </w:r>
    </w:p>
    <w:p>
      <w:pPr>
        <w:spacing w:after="0" w:line="155" w:lineRule="exact"/>
        <w:rPr>
          <w:sz w:val="20"/>
          <w:szCs w:val="20"/>
          <w:color w:val="auto"/>
        </w:rPr>
      </w:pPr>
    </w:p>
    <w:p>
      <w:pPr>
        <w:ind w:left="11220"/>
        <w:spacing w:after="0"/>
        <w:rPr>
          <w:sz w:val="20"/>
          <w:szCs w:val="20"/>
          <w:color w:val="auto"/>
        </w:rPr>
      </w:pPr>
      <w:r>
        <w:rPr>
          <w:rFonts w:ascii="Calibri" w:cs="Calibri" w:eastAsia="Calibri" w:hAnsi="Calibri"/>
          <w:sz w:val="13"/>
          <w:szCs w:val="13"/>
          <w:color w:val="auto"/>
        </w:rPr>
        <w:t>1</w:t>
      </w:r>
    </w:p>
    <w:p>
      <w:pPr>
        <w:sectPr>
          <w:pgSz w:w="11900" w:h="16838" w:orient="portrait"/>
          <w:cols w:equalWidth="0" w:num="1">
            <w:col w:w="11300"/>
          </w:cols>
          <w:pgMar w:left="300" w:top="128" w:right="299" w:bottom="1440" w:gutter="0" w:footer="0" w:header="0"/>
        </w:sectPr>
      </w:pPr>
    </w:p>
    <w:bookmarkStart w:id="4" w:name="page5"/>
    <w:bookmarkEnd w:id="4"/>
    <w:p>
      <w:pPr>
        <w:jc w:val="both"/>
        <w:spacing w:after="0" w:line="250" w:lineRule="auto"/>
        <w:rPr>
          <w:sz w:val="20"/>
          <w:szCs w:val="20"/>
          <w:color w:val="auto"/>
        </w:rPr>
      </w:pPr>
      <w:r>
        <w:rPr>
          <w:rFonts w:ascii="Calibri" w:cs="Calibri" w:eastAsia="Calibri" w:hAnsi="Calibri"/>
          <w:sz w:val="13"/>
          <w:szCs w:val="13"/>
          <w:color w:val="auto"/>
        </w:rPr>
        <w:t>commercial vehicle market and the U.S. residental constructon markets, both small markets for us. So overall today, we have a good demand outlook across our market profle. We are comfortable with our 2024 guidance on sales, adjusted EBITDA, free cash fow generaton, and new business wins. I want to thank all of our employees globally who deliver beyond-reliable products every day, on-tme to some of the world’s most discriminatng customers. Together with our customers, we are developing and producing products that improve quality of life and climate conditons for all of us.”</w:t>
      </w:r>
    </w:p>
    <w:p>
      <w:pPr>
        <w:spacing w:after="0" w:line="312" w:lineRule="exact"/>
        <w:rPr>
          <w:sz w:val="20"/>
          <w:szCs w:val="20"/>
          <w:color w:val="auto"/>
        </w:rPr>
      </w:pPr>
    </w:p>
    <w:p>
      <w:pPr>
        <w:spacing w:after="0"/>
        <w:rPr>
          <w:sz w:val="20"/>
          <w:szCs w:val="20"/>
          <w:color w:val="auto"/>
        </w:rPr>
      </w:pPr>
      <w:r>
        <w:rPr>
          <w:rFonts w:ascii="Calibri" w:cs="Calibri" w:eastAsia="Calibri" w:hAnsi="Calibri"/>
          <w:sz w:val="13"/>
          <w:szCs w:val="13"/>
          <w:b w:val="1"/>
          <w:bCs w:val="1"/>
          <w:u w:val="single" w:color="auto"/>
          <w:color w:val="auto"/>
        </w:rPr>
        <w:t>First Quarter GAAP Results</w:t>
      </w:r>
    </w:p>
    <w:p>
      <w:pPr>
        <w:spacing w:after="0" w:line="41" w:lineRule="exact"/>
        <w:rPr>
          <w:sz w:val="20"/>
          <w:szCs w:val="20"/>
          <w:color w:val="auto"/>
        </w:rPr>
      </w:pPr>
    </w:p>
    <w:p>
      <w:pPr>
        <w:jc w:val="both"/>
        <w:ind w:right="20"/>
        <w:spacing w:after="0" w:line="227" w:lineRule="auto"/>
        <w:rPr>
          <w:sz w:val="20"/>
          <w:szCs w:val="20"/>
          <w:color w:val="auto"/>
        </w:rPr>
      </w:pPr>
      <w:r>
        <w:rPr>
          <w:rFonts w:ascii="Calibri" w:cs="Calibri" w:eastAsia="Calibri" w:hAnsi="Calibri"/>
          <w:sz w:val="13"/>
          <w:szCs w:val="13"/>
          <w:color w:val="auto"/>
        </w:rPr>
        <w:t>Net sales were $121.2 million, a decrease of 4.6% from the frst quarter of 2023, which was primarily due to non-recurring end-of-life pricing received in the frst quarter of 2023, ratonalized volume at plants undergoing turnarounds, and increased organic volume at healthy plants.</w:t>
      </w:r>
    </w:p>
    <w:p>
      <w:pPr>
        <w:spacing w:after="0" w:line="159" w:lineRule="exact"/>
        <w:rPr>
          <w:sz w:val="20"/>
          <w:szCs w:val="20"/>
          <w:color w:val="auto"/>
        </w:rPr>
      </w:pPr>
    </w:p>
    <w:p>
      <w:pPr>
        <w:jc w:val="both"/>
        <w:spacing w:after="0" w:line="255" w:lineRule="auto"/>
        <w:rPr>
          <w:sz w:val="20"/>
          <w:szCs w:val="20"/>
          <w:color w:val="auto"/>
        </w:rPr>
      </w:pPr>
      <w:r>
        <w:rPr>
          <w:rFonts w:ascii="Calibri" w:cs="Calibri" w:eastAsia="Calibri" w:hAnsi="Calibri"/>
          <w:sz w:val="13"/>
          <w:szCs w:val="13"/>
          <w:color w:val="auto"/>
        </w:rPr>
        <w:t>Loss from operatons was $4.8 million compared to a loss from operatons of $7.1 million in the frst quarter of 2023. The decrease in loss from operatons was primarily due to items related to its 2023 facility closures - (1) sublease income on closed facilites, and (2) one-tme losses during the frst quarter of 2023 on sales of machinery and equipment associated with these closures.</w:t>
      </w:r>
    </w:p>
    <w:p>
      <w:pPr>
        <w:spacing w:after="0" w:line="113" w:lineRule="exact"/>
        <w:rPr>
          <w:sz w:val="20"/>
          <w:szCs w:val="20"/>
          <w:color w:val="auto"/>
        </w:rPr>
      </w:pPr>
    </w:p>
    <w:p>
      <w:pPr>
        <w:jc w:val="both"/>
        <w:ind w:right="20"/>
        <w:spacing w:after="0" w:line="255" w:lineRule="auto"/>
        <w:rPr>
          <w:sz w:val="20"/>
          <w:szCs w:val="20"/>
          <w:color w:val="auto"/>
        </w:rPr>
      </w:pPr>
      <w:r>
        <w:rPr>
          <w:rFonts w:ascii="Calibri" w:cs="Calibri" w:eastAsia="Calibri" w:hAnsi="Calibri"/>
          <w:sz w:val="13"/>
          <w:szCs w:val="13"/>
          <w:color w:val="auto"/>
        </w:rPr>
        <w:t>For the reportng segments, Income from operatons for Power Solutons was $4.0 million compared to income from operatons of $1.7 million for the same period in 2023. Loss from operatons for Mobile Solutons was $2.1 million compared to loss from operatons of $3.3 million for the same period in 2023.</w:t>
      </w:r>
    </w:p>
    <w:p>
      <w:pPr>
        <w:spacing w:after="0" w:line="113" w:lineRule="exact"/>
        <w:rPr>
          <w:sz w:val="20"/>
          <w:szCs w:val="20"/>
          <w:color w:val="auto"/>
        </w:rPr>
      </w:pPr>
    </w:p>
    <w:p>
      <w:pPr>
        <w:jc w:val="both"/>
        <w:ind w:right="20"/>
        <w:spacing w:after="0" w:line="255" w:lineRule="auto"/>
        <w:rPr>
          <w:sz w:val="20"/>
          <w:szCs w:val="20"/>
          <w:color w:val="auto"/>
        </w:rPr>
      </w:pPr>
      <w:r>
        <w:rPr>
          <w:rFonts w:ascii="Calibri" w:cs="Calibri" w:eastAsia="Calibri" w:hAnsi="Calibri"/>
          <w:sz w:val="13"/>
          <w:szCs w:val="13"/>
          <w:color w:val="auto"/>
        </w:rPr>
        <w:t>Net loss was $12.5 million compared to net loss of $10.2 million for the same period in 2023. The increase in net loss was primarily due to warrant valuaton based on our stock price and higher interest expense, partally ofset by cost reductons and higher joint venture income.</w:t>
      </w:r>
    </w:p>
    <w:p>
      <w:pPr>
        <w:spacing w:after="0" w:line="111" w:lineRule="exact"/>
        <w:rPr>
          <w:sz w:val="20"/>
          <w:szCs w:val="20"/>
          <w:color w:val="auto"/>
        </w:rPr>
      </w:pPr>
    </w:p>
    <w:p>
      <w:pPr>
        <w:spacing w:after="0"/>
        <w:rPr>
          <w:sz w:val="20"/>
          <w:szCs w:val="20"/>
          <w:color w:val="auto"/>
        </w:rPr>
      </w:pPr>
      <w:r>
        <w:rPr>
          <w:rFonts w:ascii="Calibri" w:cs="Calibri" w:eastAsia="Calibri" w:hAnsi="Calibri"/>
          <w:sz w:val="13"/>
          <w:szCs w:val="13"/>
          <w:b w:val="1"/>
          <w:bCs w:val="1"/>
          <w:u w:val="single" w:color="auto"/>
          <w:color w:val="auto"/>
        </w:rPr>
        <w:t>First Quarter Adjusted Results</w:t>
      </w:r>
    </w:p>
    <w:p>
      <w:pPr>
        <w:spacing w:after="0" w:line="131" w:lineRule="exact"/>
        <w:rPr>
          <w:sz w:val="20"/>
          <w:szCs w:val="20"/>
          <w:color w:val="auto"/>
        </w:rPr>
      </w:pPr>
    </w:p>
    <w:p>
      <w:pPr>
        <w:jc w:val="both"/>
        <w:spacing w:after="0" w:line="250" w:lineRule="auto"/>
        <w:rPr>
          <w:sz w:val="20"/>
          <w:szCs w:val="20"/>
          <w:color w:val="auto"/>
        </w:rPr>
      </w:pPr>
      <w:r>
        <w:rPr>
          <w:rFonts w:ascii="Calibri" w:cs="Calibri" w:eastAsia="Calibri" w:hAnsi="Calibri"/>
          <w:sz w:val="13"/>
          <w:szCs w:val="13"/>
          <w:color w:val="auto"/>
        </w:rPr>
        <w:t>Adjusted loss from operatons for the frst quarter of 2024 was $0.7 million compared to adjusted loss from operatons of $0.4 million for the same period in 2023. Adjusted EBITDA was $11.3 million, or 9.3% of sales, compared to $8.1 million, or 6.4% of sales, for the same period in 2023. Adjusted net loss was $4.0 million, or $0.08 per diluted share, compared to adjusted net loss of $5.7 million, or $0.12 per diluted share, for the same period in 2023. The improvement in proftability was driven primarily by cost-out actons, partally ofset by end-of-life pricing in the prior year period.</w:t>
      </w:r>
    </w:p>
    <w:p>
      <w:pPr>
        <w:spacing w:after="0" w:line="114" w:lineRule="exact"/>
        <w:rPr>
          <w:sz w:val="20"/>
          <w:szCs w:val="20"/>
          <w:color w:val="auto"/>
        </w:rPr>
      </w:pPr>
    </w:p>
    <w:p>
      <w:pPr>
        <w:spacing w:after="0"/>
        <w:rPr>
          <w:sz w:val="20"/>
          <w:szCs w:val="20"/>
          <w:color w:val="auto"/>
        </w:rPr>
      </w:pPr>
      <w:r>
        <w:rPr>
          <w:rFonts w:ascii="Calibri" w:cs="Calibri" w:eastAsia="Calibri" w:hAnsi="Calibri"/>
          <w:sz w:val="13"/>
          <w:szCs w:val="13"/>
          <w:color w:val="auto"/>
        </w:rPr>
        <w:t>Free cash fow was a generaton of cash of $0.3 million compared to a use of cash of $3.7 million for the same period in 2023.</w:t>
      </w:r>
    </w:p>
    <w:p>
      <w:pPr>
        <w:spacing w:after="0" w:line="129" w:lineRule="exact"/>
        <w:rPr>
          <w:sz w:val="20"/>
          <w:szCs w:val="20"/>
          <w:color w:val="auto"/>
        </w:rPr>
      </w:pPr>
    </w:p>
    <w:p>
      <w:pPr>
        <w:spacing w:after="0"/>
        <w:rPr>
          <w:sz w:val="20"/>
          <w:szCs w:val="20"/>
          <w:color w:val="auto"/>
        </w:rPr>
      </w:pPr>
      <w:r>
        <w:rPr>
          <w:rFonts w:ascii="Calibri" w:cs="Calibri" w:eastAsia="Calibri" w:hAnsi="Calibri"/>
          <w:sz w:val="13"/>
          <w:szCs w:val="13"/>
          <w:b w:val="1"/>
          <w:bCs w:val="1"/>
          <w:u w:val="single" w:color="auto"/>
          <w:color w:val="auto"/>
        </w:rPr>
        <w:t>Power Solutons</w:t>
      </w:r>
    </w:p>
    <w:p>
      <w:pPr>
        <w:spacing w:after="0" w:line="5" w:lineRule="exact"/>
        <w:rPr>
          <w:sz w:val="20"/>
          <w:szCs w:val="20"/>
          <w:color w:val="auto"/>
        </w:rPr>
      </w:pPr>
    </w:p>
    <w:p>
      <w:pPr>
        <w:jc w:val="both"/>
        <w:spacing w:after="0" w:line="248" w:lineRule="auto"/>
        <w:rPr>
          <w:sz w:val="20"/>
          <w:szCs w:val="20"/>
          <w:color w:val="auto"/>
        </w:rPr>
      </w:pPr>
      <w:r>
        <w:rPr>
          <w:rFonts w:ascii="Calibri" w:cs="Calibri" w:eastAsia="Calibri" w:hAnsi="Calibri"/>
          <w:sz w:val="13"/>
          <w:szCs w:val="13"/>
          <w:color w:val="auto"/>
        </w:rPr>
        <w:t>Net sales for the frst quarter of 2024 were $48.2 million compared to $49.1 million in the frst quarter of 2023, a decrease of 1.7%, or $0.9 million. The decrease in sales was primarily due to the non-recurrence of end-of-life pricing received during the frst quarter of 2023 associated with the Irvine plant closure, partally ofset by higher volume. Adjusted income from operatons was $6.8 million compared to adjusted income from operatons of $5.5 million in the frst quarter of 2023. The increase in adjusted income from operatons was primarily due to favorable product mix and improved operatng performance, partally ofset by the non-recurrence of end-of-life pricing in the frst quarter of 2023 associated with the Irvine plant closure.</w:t>
      </w:r>
    </w:p>
    <w:p>
      <w:pPr>
        <w:spacing w:after="0" w:line="242" w:lineRule="exact"/>
        <w:rPr>
          <w:sz w:val="20"/>
          <w:szCs w:val="20"/>
          <w:color w:val="auto"/>
        </w:rPr>
      </w:pPr>
    </w:p>
    <w:p>
      <w:pPr>
        <w:spacing w:after="0"/>
        <w:rPr>
          <w:sz w:val="20"/>
          <w:szCs w:val="20"/>
          <w:color w:val="auto"/>
        </w:rPr>
      </w:pPr>
      <w:r>
        <w:rPr>
          <w:rFonts w:ascii="Calibri" w:cs="Calibri" w:eastAsia="Calibri" w:hAnsi="Calibri"/>
          <w:sz w:val="13"/>
          <w:szCs w:val="13"/>
          <w:b w:val="1"/>
          <w:bCs w:val="1"/>
          <w:u w:val="single" w:color="auto"/>
          <w:color w:val="auto"/>
        </w:rPr>
        <w:t>Mobile Solutons</w:t>
      </w:r>
    </w:p>
    <w:p>
      <w:pPr>
        <w:spacing w:after="0" w:line="32" w:lineRule="exact"/>
        <w:rPr>
          <w:sz w:val="20"/>
          <w:szCs w:val="20"/>
          <w:color w:val="auto"/>
        </w:rPr>
      </w:pPr>
    </w:p>
    <w:p>
      <w:pPr>
        <w:jc w:val="both"/>
        <w:spacing w:after="0" w:line="228" w:lineRule="auto"/>
        <w:rPr>
          <w:sz w:val="20"/>
          <w:szCs w:val="20"/>
          <w:color w:val="auto"/>
        </w:rPr>
      </w:pPr>
      <w:r>
        <w:rPr>
          <w:rFonts w:ascii="Calibri" w:cs="Calibri" w:eastAsia="Calibri" w:hAnsi="Calibri"/>
          <w:sz w:val="13"/>
          <w:szCs w:val="13"/>
          <w:color w:val="auto"/>
        </w:rPr>
        <w:t>Net sales for the frst quarter of 2024 were $73.1 million compared to $78.0 million in the frst quarter of 2023, a decrease of 6.4%, or $4.9 million. The decrease in sales was primarily due to ratonalized volume at underperforming plants and the pass-through efect of lower raw material costs. Adjusted loss from operatons was $1.2 million compared to adjusted loss from operatons of $0.8 million in the frst quarter of 2023. The increase in adjusted loss from operatons was due to lower volume, partally ofset by cost reductons and operatonal improvements.</w:t>
      </w:r>
    </w:p>
    <w:p>
      <w:pPr>
        <w:spacing w:after="0" w:line="149"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2</w:t>
      </w:r>
    </w:p>
    <w:p>
      <w:pPr>
        <w:sectPr>
          <w:pgSz w:w="11900" w:h="16838" w:orient="portrait"/>
          <w:cols w:equalWidth="0" w:num="1">
            <w:col w:w="11300"/>
          </w:cols>
          <w:pgMar w:left="300" w:top="969" w:right="299" w:bottom="1440" w:gutter="0" w:footer="0" w:header="0"/>
        </w:sectPr>
      </w:pPr>
    </w:p>
    <w:bookmarkStart w:id="5" w:name="page6"/>
    <w:bookmarkEnd w:id="5"/>
    <w:p>
      <w:pPr>
        <w:spacing w:after="0"/>
        <w:rPr>
          <w:sz w:val="20"/>
          <w:szCs w:val="20"/>
          <w:color w:val="auto"/>
        </w:rPr>
      </w:pPr>
      <w:r>
        <w:rPr>
          <w:rFonts w:ascii="Calibri" w:cs="Calibri" w:eastAsia="Calibri" w:hAnsi="Calibri"/>
          <w:sz w:val="13"/>
          <w:szCs w:val="13"/>
          <w:b w:val="1"/>
          <w:bCs w:val="1"/>
          <w:u w:val="single" w:color="auto"/>
          <w:color w:val="auto"/>
        </w:rPr>
        <w:t>2024 Outlook</w:t>
      </w:r>
    </w:p>
    <w:p>
      <w:pPr>
        <w:spacing w:after="0" w:line="41" w:lineRule="exact"/>
        <w:rPr>
          <w:sz w:val="20"/>
          <w:szCs w:val="20"/>
          <w:color w:val="auto"/>
        </w:rPr>
      </w:pPr>
    </w:p>
    <w:p>
      <w:pPr>
        <w:ind w:right="20"/>
        <w:spacing w:after="0" w:line="227" w:lineRule="auto"/>
        <w:rPr>
          <w:sz w:val="20"/>
          <w:szCs w:val="20"/>
          <w:color w:val="auto"/>
        </w:rPr>
      </w:pPr>
      <w:r>
        <w:rPr>
          <w:rFonts w:ascii="Calibri" w:cs="Calibri" w:eastAsia="Calibri" w:hAnsi="Calibri"/>
          <w:sz w:val="13"/>
          <w:szCs w:val="13"/>
          <w:color w:val="auto"/>
        </w:rPr>
        <w:t>Assuming steady end-market demand outlook, with the excepton of the North American residental constructon market and North American commercial vehicle market, we are confrming and slightly tghtening, in part, our outlook for the full year 2024 as follows:</w:t>
      </w:r>
    </w:p>
    <w:p>
      <w:pPr>
        <w:spacing w:after="0" w:line="4" w:lineRule="exact"/>
        <w:rPr>
          <w:sz w:val="20"/>
          <w:szCs w:val="20"/>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Calibri" w:cs="Calibri" w:eastAsia="Calibri" w:hAnsi="Calibri"/>
          <w:sz w:val="13"/>
          <w:szCs w:val="13"/>
          <w:color w:val="auto"/>
        </w:rPr>
        <w:t>Revenue in the range of $485 million to $505 million;</w:t>
      </w:r>
    </w:p>
    <w:p>
      <w:pPr>
        <w:spacing w:after="0" w:line="21"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Calibri" w:cs="Calibri" w:eastAsia="Calibri" w:hAnsi="Calibri"/>
          <w:sz w:val="13"/>
          <w:szCs w:val="13"/>
          <w:color w:val="auto"/>
        </w:rPr>
        <w:t>Adjusted EBITDA in the range of $48 million to $54 million;</w:t>
      </w:r>
    </w:p>
    <w:p>
      <w:pPr>
        <w:spacing w:after="0" w:line="10" w:lineRule="exact"/>
        <w:rPr>
          <w:rFonts w:ascii="Arial" w:cs="Arial" w:eastAsia="Arial" w:hAnsi="Arial"/>
          <w:sz w:val="13"/>
          <w:szCs w:val="13"/>
          <w:color w:val="auto"/>
        </w:rPr>
      </w:pPr>
    </w:p>
    <w:p>
      <w:pPr>
        <w:ind w:left="420" w:hanging="212"/>
        <w:spacing w:after="0" w:line="229" w:lineRule="auto"/>
        <w:tabs>
          <w:tab w:leader="none" w:pos="420" w:val="left"/>
        </w:tabs>
        <w:numPr>
          <w:ilvl w:val="0"/>
          <w:numId w:val="4"/>
        </w:numPr>
        <w:rPr>
          <w:rFonts w:ascii="Arial" w:cs="Arial" w:eastAsia="Arial" w:hAnsi="Arial"/>
          <w:sz w:val="13"/>
          <w:szCs w:val="13"/>
          <w:color w:val="auto"/>
        </w:rPr>
      </w:pPr>
      <w:r>
        <w:rPr>
          <w:rFonts w:ascii="Calibri" w:cs="Calibri" w:eastAsia="Calibri" w:hAnsi="Calibri"/>
          <w:sz w:val="13"/>
          <w:szCs w:val="13"/>
          <w:color w:val="auto"/>
        </w:rPr>
        <w:t>Free cash fow in the range of $10 million to $15 million; and</w:t>
      </w:r>
    </w:p>
    <w:p>
      <w:pPr>
        <w:spacing w:after="0" w:line="21" w:lineRule="exact"/>
        <w:rPr>
          <w:rFonts w:ascii="Arial" w:cs="Arial" w:eastAsia="Arial" w:hAnsi="Arial"/>
          <w:sz w:val="13"/>
          <w:szCs w:val="13"/>
          <w:color w:val="auto"/>
        </w:rPr>
      </w:pPr>
    </w:p>
    <w:p>
      <w:pPr>
        <w:ind w:left="420" w:hanging="212"/>
        <w:spacing w:after="0"/>
        <w:tabs>
          <w:tab w:leader="none" w:pos="420" w:val="left"/>
        </w:tabs>
        <w:numPr>
          <w:ilvl w:val="0"/>
          <w:numId w:val="4"/>
        </w:numPr>
        <w:rPr>
          <w:rFonts w:ascii="Arial" w:cs="Arial" w:eastAsia="Arial" w:hAnsi="Arial"/>
          <w:sz w:val="13"/>
          <w:szCs w:val="13"/>
          <w:color w:val="auto"/>
        </w:rPr>
      </w:pPr>
      <w:r>
        <w:rPr>
          <w:rFonts w:ascii="Calibri" w:cs="Calibri" w:eastAsia="Calibri" w:hAnsi="Calibri"/>
          <w:sz w:val="13"/>
          <w:szCs w:val="13"/>
          <w:color w:val="auto"/>
        </w:rPr>
        <w:t>New business wins in the range of $55 million to $70 million.</w:t>
      </w:r>
    </w:p>
    <w:p>
      <w:pPr>
        <w:spacing w:after="0" w:line="167" w:lineRule="exact"/>
        <w:rPr>
          <w:sz w:val="20"/>
          <w:szCs w:val="20"/>
          <w:color w:val="auto"/>
        </w:rPr>
      </w:pPr>
    </w:p>
    <w:p>
      <w:pPr>
        <w:jc w:val="both"/>
        <w:spacing w:after="0" w:line="228" w:lineRule="auto"/>
        <w:rPr>
          <w:sz w:val="20"/>
          <w:szCs w:val="20"/>
          <w:color w:val="auto"/>
        </w:rPr>
      </w:pPr>
      <w:r>
        <w:rPr>
          <w:rFonts w:ascii="Calibri" w:cs="Calibri" w:eastAsia="Calibri" w:hAnsi="Calibri"/>
          <w:sz w:val="13"/>
          <w:szCs w:val="13"/>
          <w:color w:val="auto"/>
        </w:rPr>
        <w:t>Michael Felcher, Senior Vice President and Chief Financial Ofcer, commented, “Our strong transformaton momentum contnued in the frst quarter of 2024, and we are both confrming and slightly tghtening our full-year 2024 guidance ranges, which are underpinned by our operatonal initatves and commercial prospectng. We are focused on generatng improved proftability and strong cash fow this year. We expect our improved performance will improve our credit profle and enable opportunites to improve our balance sheet and cost of capital further.”</w:t>
      </w:r>
    </w:p>
    <w:p>
      <w:pPr>
        <w:spacing w:after="0" w:line="140"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3</w:t>
      </w:r>
    </w:p>
    <w:p>
      <w:pPr>
        <w:sectPr>
          <w:pgSz w:w="11900" w:h="16838" w:orient="portrait"/>
          <w:cols w:equalWidth="0" w:num="1">
            <w:col w:w="11300"/>
          </w:cols>
          <w:pgMar w:left="300" w:top="670" w:right="299" w:bottom="1440" w:gutter="0" w:footer="0" w:header="0"/>
        </w:sectPr>
      </w:pPr>
    </w:p>
    <w:bookmarkStart w:id="6" w:name="page7"/>
    <w:bookmarkEnd w:id="6"/>
    <w:p>
      <w:pPr>
        <w:ind w:left="8"/>
        <w:spacing w:after="0"/>
        <w:rPr>
          <w:sz w:val="20"/>
          <w:szCs w:val="20"/>
          <w:color w:val="auto"/>
        </w:rPr>
      </w:pPr>
      <w:r>
        <w:rPr>
          <w:rFonts w:ascii="Calibri" w:cs="Calibri" w:eastAsia="Calibri" w:hAnsi="Calibri"/>
          <w:sz w:val="13"/>
          <w:szCs w:val="13"/>
          <w:b w:val="1"/>
          <w:bCs w:val="1"/>
          <w:u w:val="single" w:color="auto"/>
          <w:color w:val="auto"/>
        </w:rPr>
        <w:t>Conference Call</w:t>
      </w:r>
    </w:p>
    <w:p>
      <w:pPr>
        <w:spacing w:after="0" w:line="50" w:lineRule="exact"/>
        <w:rPr>
          <w:sz w:val="20"/>
          <w:szCs w:val="20"/>
          <w:color w:val="auto"/>
        </w:rPr>
      </w:pPr>
    </w:p>
    <w:p>
      <w:pPr>
        <w:jc w:val="both"/>
        <w:ind w:left="8" w:hanging="8"/>
        <w:spacing w:after="0" w:line="244" w:lineRule="auto"/>
        <w:tabs>
          <w:tab w:leader="none" w:pos="233" w:val="left"/>
        </w:tabs>
        <w:numPr>
          <w:ilvl w:val="0"/>
          <w:numId w:val="5"/>
        </w:numPr>
        <w:rPr>
          <w:rFonts w:ascii="Calibri" w:cs="Calibri" w:eastAsia="Calibri" w:hAnsi="Calibri"/>
          <w:sz w:val="13"/>
          <w:szCs w:val="13"/>
          <w:color w:val="auto"/>
        </w:rPr>
      </w:pPr>
      <w:r>
        <w:rPr>
          <w:rFonts w:ascii="Calibri" w:cs="Calibri" w:eastAsia="Calibri" w:hAnsi="Calibri"/>
          <w:sz w:val="13"/>
          <w:szCs w:val="13"/>
          <w:color w:val="auto"/>
        </w:rPr>
        <w:t>will discuss its results during its quarterly investor conference call on May 7, 2024, at 9 a.m. ET. The call and supplemental presentaton may be accessed via NN's website, www.nninc.com. The conference call can also be accessed by dialing 1-877-255-4315 or 1-412-317-6579. For those who are unavailable to listen to the live broadcast, a replay will be available shortly afer the call untl May 7, 2025.</w:t>
      </w:r>
    </w:p>
    <w:p>
      <w:pPr>
        <w:spacing w:after="0" w:line="289" w:lineRule="exact"/>
        <w:rPr>
          <w:sz w:val="20"/>
          <w:szCs w:val="20"/>
          <w:color w:val="auto"/>
        </w:rPr>
      </w:pPr>
    </w:p>
    <w:p>
      <w:pPr>
        <w:jc w:val="both"/>
        <w:ind w:left="8" w:hanging="8"/>
        <w:spacing w:after="0" w:line="250" w:lineRule="auto"/>
        <w:tabs>
          <w:tab w:leader="none" w:pos="220" w:val="left"/>
        </w:tabs>
        <w:numPr>
          <w:ilvl w:val="0"/>
          <w:numId w:val="6"/>
        </w:numPr>
        <w:rPr>
          <w:rFonts w:ascii="Calibri" w:cs="Calibri" w:eastAsia="Calibri" w:hAnsi="Calibri"/>
          <w:sz w:val="13"/>
          <w:szCs w:val="13"/>
          <w:color w:val="auto"/>
        </w:rPr>
      </w:pPr>
      <w:r>
        <w:rPr>
          <w:rFonts w:ascii="Calibri" w:cs="Calibri" w:eastAsia="Calibri" w:hAnsi="Calibri"/>
          <w:sz w:val="13"/>
          <w:szCs w:val="13"/>
          <w:color w:val="auto"/>
        </w:rPr>
        <w:t>discloses in this press release the non-GAAP fnancial measures of adjusted income (loss) from operatons, adjusted EBITDA, adjusted net income (loss), adjusted net income (loss) per diluted common share, and free cash fow. Each of these non-GAAP fnancial measures provides supplementary informaton about the impacts of restructuring and integraton expense, acquisiton and transiton expenses, foreign exchange impacts on inter-company loans, amortzaton of intangibles and deferred fnancing costs, and other non-operatng impacts on our business.</w:t>
      </w:r>
    </w:p>
    <w:p>
      <w:pPr>
        <w:spacing w:after="0" w:line="116" w:lineRule="exact"/>
        <w:rPr>
          <w:sz w:val="20"/>
          <w:szCs w:val="20"/>
          <w:color w:val="auto"/>
        </w:rPr>
      </w:pPr>
    </w:p>
    <w:p>
      <w:pPr>
        <w:jc w:val="both"/>
        <w:ind w:left="8"/>
        <w:spacing w:after="0" w:line="250" w:lineRule="auto"/>
        <w:rPr>
          <w:sz w:val="20"/>
          <w:szCs w:val="20"/>
          <w:color w:val="auto"/>
        </w:rPr>
      </w:pPr>
      <w:r>
        <w:rPr>
          <w:rFonts w:ascii="Calibri" w:cs="Calibri" w:eastAsia="Calibri" w:hAnsi="Calibri"/>
          <w:sz w:val="13"/>
          <w:szCs w:val="13"/>
          <w:color w:val="auto"/>
        </w:rPr>
        <w:t>The fnancial tables found later in this press release include a reconciliaton of adjusted income (loss) from operatons, adjusted operatng margin, adjusted EBITDA, adjusted EBITDA margin, adjusted net income (loss), adjusted net income (loss) per diluted share, free cash fow to the U.S. GAAP fnancial measures of income (loss) from operatons, net income (loss), net income (loss) per diluted common share, and cash provided (used) by operatng actvites.</w:t>
      </w:r>
    </w:p>
    <w:p>
      <w:pPr>
        <w:spacing w:after="0" w:line="267"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4</w:t>
      </w:r>
    </w:p>
    <w:p>
      <w:pPr>
        <w:sectPr>
          <w:pgSz w:w="11900" w:h="16838" w:orient="portrait"/>
          <w:cols w:equalWidth="0" w:num="1">
            <w:col w:w="11308"/>
          </w:cols>
          <w:pgMar w:left="292" w:top="670" w:right="299" w:bottom="1440" w:gutter="0" w:footer="0" w:header="0"/>
        </w:sectPr>
      </w:pPr>
    </w:p>
    <w:bookmarkStart w:id="7" w:name="page8"/>
    <w:bookmarkEnd w:id="7"/>
    <w:p>
      <w:pPr>
        <w:spacing w:after="0"/>
        <w:rPr>
          <w:sz w:val="20"/>
          <w:szCs w:val="20"/>
          <w:color w:val="auto"/>
        </w:rPr>
      </w:pPr>
      <w:r>
        <w:rPr>
          <w:rFonts w:ascii="Calibri" w:cs="Calibri" w:eastAsia="Calibri" w:hAnsi="Calibri"/>
          <w:sz w:val="13"/>
          <w:szCs w:val="13"/>
          <w:b w:val="1"/>
          <w:bCs w:val="1"/>
          <w:u w:val="single" w:color="auto"/>
          <w:color w:val="auto"/>
        </w:rPr>
        <w:t>About NN, Inc</w:t>
      </w:r>
      <w:r>
        <w:rPr>
          <w:rFonts w:ascii="Calibri" w:cs="Calibri" w:eastAsia="Calibri" w:hAnsi="Calibri"/>
          <w:sz w:val="13"/>
          <w:szCs w:val="13"/>
          <w:b w:val="1"/>
          <w:bCs w:val="1"/>
          <w:color w:val="auto"/>
          <w:highlight w:val="white"/>
        </w:rPr>
        <w:t>.</w:t>
      </w:r>
    </w:p>
    <w:p>
      <w:pPr>
        <w:spacing w:after="0" w:line="50" w:lineRule="exact"/>
        <w:rPr>
          <w:sz w:val="20"/>
          <w:szCs w:val="20"/>
          <w:color w:val="auto"/>
        </w:rPr>
      </w:pPr>
    </w:p>
    <w:p>
      <w:pPr>
        <w:jc w:val="both"/>
        <w:spacing w:after="0" w:line="243" w:lineRule="auto"/>
        <w:rPr>
          <w:sz w:val="20"/>
          <w:szCs w:val="20"/>
          <w:color w:val="auto"/>
        </w:rPr>
      </w:pPr>
      <w:r>
        <w:rPr>
          <w:rFonts w:ascii="Calibri" w:cs="Calibri" w:eastAsia="Calibri" w:hAnsi="Calibri"/>
          <w:sz w:val="13"/>
          <w:szCs w:val="13"/>
          <w:color w:val="auto"/>
        </w:rPr>
        <w:t>NN, Inc., a global diversifed industrial company, combines advanced engineering and producton capabilites with in-depth materials science expertse to design and manufacture high-precision components and assemblies for a variety of markets on a global basis. Headquartered in Charlote, North Carolina, NN has facilites in North America, Europe, South America, and Asia. For more informaton about the company and its products, please visit www.nninc.com.</w:t>
      </w:r>
    </w:p>
    <w:p>
      <w:pPr>
        <w:spacing w:after="0" w:line="138" w:lineRule="exact"/>
        <w:rPr>
          <w:sz w:val="20"/>
          <w:szCs w:val="20"/>
          <w:color w:val="auto"/>
        </w:rPr>
      </w:pPr>
    </w:p>
    <w:p>
      <w:pPr>
        <w:jc w:val="both"/>
        <w:spacing w:after="0" w:line="299" w:lineRule="auto"/>
        <w:rPr>
          <w:sz w:val="20"/>
          <w:szCs w:val="20"/>
          <w:color w:val="auto"/>
        </w:rPr>
      </w:pPr>
      <w:r>
        <w:rPr>
          <w:rFonts w:ascii="Calibri" w:cs="Calibri" w:eastAsia="Calibri" w:hAnsi="Calibri"/>
          <w:sz w:val="8"/>
          <w:szCs w:val="8"/>
          <w:i w:val="1"/>
          <w:iCs w:val="1"/>
          <w:color w:val="auto"/>
        </w:rPr>
        <w:t>Except for specifc historical informaton, many of the maters discussed in this press release may express or imply projectons of revenues or expenditures, statements of plans and objectves or future operatons or statements of future economic performance. These statements may discuss goals, intentons and expectatons as to future trends, plans, events, results of operatons or fnancial conditon, or state other informaton relatng to NN, Inc. (the “Company”) based on current beliefs of management as well as assumptons made by, and informaton currently available to, management. Forward-looking statements generally will be accompanied by words such as “antcipate,” “believe,” “could,” “estmate,” “expect,” “forecast,” “guidance,” “intend,” “may,” “possible,” “potental,” “predict,” “project” or other similar words, phrases or expressions. Forward-looking statements involve a number of risks and uncertaintes that are outside of management’s control and that may cause actual results to be materially diferent from such forward-looking statements. Such factors include, among others, general economic conditons and economic conditons in the industrial sector; the impacts of pandemics, epidemics, disease outbreaks and other public health crises, on our fnancial conditon, business operatons and liquidity; compettve infuences; risks that current customers will commence or increase captve producton; risks of capacity underutlizaton; quality issues; material changes in the costs and availability of raw materials; economic, social, politcal and geopolitcal instability, military confict, currency fuctuaton, and other risks of doing business outside of the United States; infatonary pressures and changes in the cost or availability of materials, supply chain shortages and disruptons, the availability of labor and labor disruptons along the supply chain; our dependence on certain major customers, some of whom are not partes to long-term agreements (and/or are terminable on short notce); the impact of acquisitons and divesttures, as well as expansion of end markets and product oferings; our ability to hire or retain key personnel; the level of our indebtedness; the restrictons contained in our debt agreements; our ability to obtain fnancing at favorable rates, if at all, and to refnance existng debt as it matures; new laws and governmental regulatons; the impact of climate change on our operatons; and cyber liability or potental liability for breaches of our or our service providers’ informaton technology systems or business operatons disruptons. The foregoing factors should not be construed as exhaustve and should be read in conjuncton with the sectons enttled “Risk Factors” and “Management’s Discussion and Analysis of Financial Conditon and Results of Operatons” included in the Company’s flings made with the Securites and Exchange Commission. Any forward-looking statement speaks only as of the date of this press release, and the Company undertakes no obligaton to publicly update or review any forward-looking statement, whether as a result of new informaton, future developments or otherwise, except as required by law. New risks and uncertaintes may emerge from tme to tme, and it is not possible for the Company to predict their occurrence or how they will afect the Company. The Company qualifes all forward-looking statements by these cautonary statements.</w:t>
      </w:r>
    </w:p>
    <w:p>
      <w:pPr>
        <w:spacing w:after="0" w:line="385" w:lineRule="exact"/>
        <w:rPr>
          <w:sz w:val="20"/>
          <w:szCs w:val="20"/>
          <w:color w:val="auto"/>
        </w:rPr>
      </w:pPr>
    </w:p>
    <w:p>
      <w:pPr>
        <w:ind w:right="60"/>
        <w:spacing w:after="0" w:line="225" w:lineRule="auto"/>
        <w:rPr>
          <w:sz w:val="20"/>
          <w:szCs w:val="20"/>
          <w:color w:val="auto"/>
        </w:rPr>
      </w:pPr>
      <w:r>
        <w:rPr>
          <w:rFonts w:ascii="Calibri" w:cs="Calibri" w:eastAsia="Calibri" w:hAnsi="Calibri"/>
          <w:sz w:val="10"/>
          <w:szCs w:val="10"/>
          <w:i w:val="1"/>
          <w:iCs w:val="1"/>
          <w:color w:val="auto"/>
        </w:rPr>
        <w:t>With respect to any non-GAAP fnancial measures included in the following document, the accompanying informaton required by SEC Regulaton G can be found in the back of this document or in the “Investors” secton of the Company’s web site, www.nninc.com, under the heading “News &amp; Events” and subheading “Presentatons.”</w:t>
      </w:r>
    </w:p>
    <w:p>
      <w:pPr>
        <w:spacing w:after="0" w:line="157" w:lineRule="exact"/>
        <w:rPr>
          <w:sz w:val="20"/>
          <w:szCs w:val="20"/>
          <w:color w:val="auto"/>
        </w:rPr>
      </w:pPr>
    </w:p>
    <w:p>
      <w:pPr>
        <w:spacing w:after="0"/>
        <w:rPr>
          <w:sz w:val="20"/>
          <w:szCs w:val="20"/>
          <w:color w:val="auto"/>
        </w:rPr>
      </w:pPr>
      <w:r>
        <w:rPr>
          <w:rFonts w:ascii="Calibri" w:cs="Calibri" w:eastAsia="Calibri" w:hAnsi="Calibri"/>
          <w:sz w:val="13"/>
          <w:szCs w:val="13"/>
          <w:b w:val="1"/>
          <w:bCs w:val="1"/>
          <w:color w:val="auto"/>
        </w:rPr>
        <w:t>Investor &amp; Media Contacts:</w:t>
      </w:r>
    </w:p>
    <w:p>
      <w:pPr>
        <w:spacing w:after="0" w:line="231" w:lineRule="auto"/>
        <w:rPr>
          <w:sz w:val="20"/>
          <w:szCs w:val="20"/>
          <w:color w:val="auto"/>
        </w:rPr>
      </w:pPr>
      <w:r>
        <w:rPr>
          <w:rFonts w:ascii="Calibri" w:cs="Calibri" w:eastAsia="Calibri" w:hAnsi="Calibri"/>
          <w:sz w:val="13"/>
          <w:szCs w:val="13"/>
          <w:color w:val="auto"/>
        </w:rPr>
        <w:t>Joe Caminit or Stephen Poe, Investors</w:t>
      </w:r>
    </w:p>
    <w:p>
      <w:pPr>
        <w:spacing w:after="0" w:line="4" w:lineRule="exact"/>
        <w:rPr>
          <w:sz w:val="20"/>
          <w:szCs w:val="20"/>
          <w:color w:val="auto"/>
        </w:rPr>
      </w:pPr>
    </w:p>
    <w:p>
      <w:pPr>
        <w:spacing w:after="0"/>
        <w:rPr>
          <w:sz w:val="20"/>
          <w:szCs w:val="20"/>
          <w:color w:val="auto"/>
        </w:rPr>
      </w:pPr>
      <w:r>
        <w:rPr>
          <w:rFonts w:ascii="Calibri" w:cs="Calibri" w:eastAsia="Calibri" w:hAnsi="Calibri"/>
          <w:sz w:val="13"/>
          <w:szCs w:val="13"/>
          <w:color w:val="auto"/>
        </w:rPr>
        <w:t>Tim Peters, Media</w:t>
      </w:r>
    </w:p>
    <w:p>
      <w:pPr>
        <w:spacing w:after="0" w:line="3" w:lineRule="exact"/>
        <w:rPr>
          <w:sz w:val="20"/>
          <w:szCs w:val="20"/>
          <w:color w:val="auto"/>
        </w:rPr>
      </w:pPr>
    </w:p>
    <w:p>
      <w:pPr>
        <w:spacing w:after="0"/>
        <w:rPr>
          <w:sz w:val="20"/>
          <w:szCs w:val="20"/>
          <w:color w:val="auto"/>
        </w:rPr>
      </w:pPr>
      <w:r>
        <w:rPr>
          <w:rFonts w:ascii="Calibri" w:cs="Calibri" w:eastAsia="Calibri" w:hAnsi="Calibri"/>
          <w:sz w:val="13"/>
          <w:szCs w:val="13"/>
          <w:color w:val="auto"/>
        </w:rPr>
        <w:t>NNBR@alpha-ir.com</w:t>
      </w:r>
    </w:p>
    <w:p>
      <w:pPr>
        <w:spacing w:after="0" w:line="231" w:lineRule="auto"/>
        <w:rPr>
          <w:sz w:val="20"/>
          <w:szCs w:val="20"/>
          <w:color w:val="auto"/>
        </w:rPr>
      </w:pPr>
      <w:r>
        <w:rPr>
          <w:rFonts w:ascii="Calibri" w:cs="Calibri" w:eastAsia="Calibri" w:hAnsi="Calibri"/>
          <w:sz w:val="13"/>
          <w:szCs w:val="13"/>
          <w:color w:val="auto"/>
        </w:rPr>
        <w:t>312-445-2870</w:t>
      </w:r>
    </w:p>
    <w:p>
      <w:pPr>
        <w:spacing w:after="0" w:line="166" w:lineRule="exact"/>
        <w:rPr>
          <w:sz w:val="20"/>
          <w:szCs w:val="20"/>
          <w:color w:val="auto"/>
        </w:rPr>
      </w:pPr>
    </w:p>
    <w:p>
      <w:pPr>
        <w:jc w:val="center"/>
        <w:spacing w:after="0"/>
        <w:rPr>
          <w:sz w:val="20"/>
          <w:szCs w:val="20"/>
          <w:color w:val="auto"/>
        </w:rPr>
      </w:pPr>
      <w:r>
        <w:rPr>
          <w:rFonts w:ascii="Calibri" w:cs="Calibri" w:eastAsia="Calibri" w:hAnsi="Calibri"/>
          <w:sz w:val="13"/>
          <w:szCs w:val="13"/>
          <w:i w:val="1"/>
          <w:iCs w:val="1"/>
          <w:color w:val="auto"/>
        </w:rPr>
        <w:t>Financial Tables Follow</w:t>
      </w:r>
    </w:p>
    <w:p>
      <w:pPr>
        <w:spacing w:after="0" w:line="147" w:lineRule="exact"/>
        <w:rPr>
          <w:sz w:val="20"/>
          <w:szCs w:val="20"/>
          <w:color w:val="auto"/>
        </w:rPr>
      </w:pPr>
    </w:p>
    <w:p>
      <w:pPr>
        <w:ind w:left="11220"/>
        <w:spacing w:after="0"/>
        <w:rPr>
          <w:sz w:val="20"/>
          <w:szCs w:val="20"/>
          <w:color w:val="auto"/>
        </w:rPr>
      </w:pPr>
      <w:r>
        <w:rPr>
          <w:rFonts w:ascii="Calibri" w:cs="Calibri" w:eastAsia="Calibri" w:hAnsi="Calibri"/>
          <w:sz w:val="13"/>
          <w:szCs w:val="13"/>
          <w:color w:val="auto"/>
        </w:rPr>
        <w:t>5</w:t>
      </w:r>
    </w:p>
    <w:p>
      <w:pPr>
        <w:sectPr>
          <w:pgSz w:w="11900" w:h="16838" w:orient="portrait"/>
          <w:cols w:equalWidth="0" w:num="1">
            <w:col w:w="11300"/>
          </w:cols>
          <w:pgMar w:left="300" w:top="670" w:right="29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Operations and Comprehensive Income (Loss)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00" w:type="dxa"/>
            <w:vAlign w:val="bottom"/>
            <w:gridSpan w:val="3"/>
          </w:tcPr>
          <w:p>
            <w:pPr>
              <w:jc w:val="right"/>
              <w:ind w:right="20"/>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00" w:type="dxa"/>
            <w:vAlign w:val="bottom"/>
          </w:tcPr>
          <w:p>
            <w:pPr>
              <w:spacing w:after="0"/>
              <w:rPr>
                <w:sz w:val="10"/>
                <w:szCs w:val="10"/>
                <w:color w:val="auto"/>
              </w:rPr>
            </w:pPr>
          </w:p>
        </w:tc>
      </w:tr>
      <w:tr>
        <w:trPr>
          <w:trHeight w:val="125"/>
        </w:trPr>
        <w:tc>
          <w:tcPr>
            <w:tcW w:w="8700" w:type="dxa"/>
            <w:vAlign w:val="bottom"/>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800" w:type="dxa"/>
            <w:vAlign w:val="bottom"/>
            <w:tcBorders>
              <w:bottom w:val="single" w:sz="8" w:color="auto"/>
            </w:tcBorders>
          </w:tcPr>
          <w:p>
            <w:pPr>
              <w:spacing w:after="0"/>
              <w:rPr>
                <w:sz w:val="10"/>
                <w:szCs w:val="10"/>
                <w:color w:val="auto"/>
              </w:rPr>
            </w:pPr>
          </w:p>
        </w:tc>
      </w:tr>
      <w:tr>
        <w:trPr>
          <w:trHeight w:val="127"/>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 except per share data)</w:t>
            </w:r>
          </w:p>
        </w:tc>
        <w:tc>
          <w:tcPr>
            <w:tcW w:w="3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47"/>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sales</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121,198</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127,088</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Cost of sales (exclusive of depreciation and amortization shown separately below)</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101,086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108,421</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13,348</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13,165</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12,547</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11,516</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 operating expense (income), net</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(1,000)</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1,061</w:t>
            </w:r>
          </w:p>
        </w:tc>
      </w:tr>
      <w:tr>
        <w:trPr>
          <w:trHeight w:val="142"/>
        </w:trPr>
        <w:tc>
          <w:tcPr>
            <w:tcW w:w="87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30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(4,783)</w:t>
            </w: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(7,075)</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5,366</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4,288</w:t>
            </w:r>
          </w:p>
        </w:tc>
      </w:tr>
      <w:tr>
        <w:trPr>
          <w:trHeight w:val="153"/>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expense (income), net</w:t>
            </w:r>
          </w:p>
        </w:tc>
        <w:tc>
          <w:tcPr>
            <w:tcW w:w="3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2"/>
                <w:szCs w:val="12"/>
                <w:color w:val="auto"/>
              </w:rPr>
              <w:t>4,153</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(2,208)</w:t>
            </w:r>
          </w:p>
        </w:tc>
      </w:tr>
      <w:tr>
        <w:trPr>
          <w:trHeight w:val="142"/>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before provision for income taxes and share of net income from joint venture</w:t>
            </w:r>
          </w:p>
        </w:tc>
        <w:tc>
          <w:tcPr>
            <w:tcW w:w="3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(14,302)</w:t>
            </w: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(9,155)</w:t>
            </w:r>
          </w:p>
        </w:tc>
      </w:tr>
      <w:tr>
        <w:trPr>
          <w:trHeight w:val="153"/>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(506)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(1,301)</w:t>
            </w: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Share of net income from joint venture</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2"/>
                <w:szCs w:val="12"/>
                <w:color w:val="auto"/>
              </w:rPr>
              <w:t>2,271</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w:t>
            </w:r>
          </w:p>
        </w:tc>
      </w:tr>
      <w:tr>
        <w:trPr>
          <w:trHeight w:val="158"/>
        </w:trPr>
        <w:tc>
          <w:tcPr>
            <w:tcW w:w="8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(12,537)</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(10,175)</w:t>
            </w:r>
          </w:p>
        </w:tc>
      </w:tr>
      <w:tr>
        <w:trPr>
          <w:trHeight w:val="135"/>
        </w:trPr>
        <w:tc>
          <w:tcPr>
            <w:tcW w:w="870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30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3"/>
        </w:trPr>
        <w:tc>
          <w:tcPr>
            <w:tcW w:w="87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Foreign currency transaction gain (loss)</w:t>
            </w:r>
          </w:p>
        </w:tc>
        <w:tc>
          <w:tcPr>
            <w:tcW w:w="3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(2,346)</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1,840</w:t>
            </w:r>
          </w:p>
        </w:tc>
      </w:tr>
      <w:tr>
        <w:trPr>
          <w:trHeight w:val="153"/>
        </w:trPr>
        <w:tc>
          <w:tcPr>
            <w:tcW w:w="8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Interest rate swap:</w:t>
            </w: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153"/>
        </w:trPr>
        <w:tc>
          <w:tcPr>
            <w:tcW w:w="870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Change in fair value, net of tax</w:t>
            </w:r>
          </w:p>
        </w:tc>
        <w:tc>
          <w:tcPr>
            <w:tcW w:w="300" w:type="dxa"/>
            <w:vAlign w:val="bottom"/>
          </w:tcPr>
          <w:p>
            <w:pPr>
              <w:spacing w:after="0"/>
              <w:rPr>
                <w:sz w:val="13"/>
                <w:szCs w:val="13"/>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2"/>
                <w:szCs w:val="12"/>
                <w:color w:val="auto"/>
              </w:rPr>
              <w:t>—</w:t>
            </w: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(230)</w:t>
            </w:r>
          </w:p>
        </w:tc>
      </w:tr>
      <w:tr>
        <w:trPr>
          <w:trHeight w:val="153"/>
        </w:trPr>
        <w:tc>
          <w:tcPr>
            <w:tcW w:w="87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2"/>
                <w:szCs w:val="12"/>
                <w:color w:val="auto"/>
              </w:rPr>
              <w:t>Reclassification adjustments included in net loss, net of tax</w:t>
            </w:r>
          </w:p>
        </w:tc>
        <w:tc>
          <w:tcPr>
            <w:tcW w:w="300" w:type="dxa"/>
            <w:vAlign w:val="bottom"/>
            <w:tcBorders>
              <w:bottom w:val="single" w:sz="8" w:color="auto"/>
            </w:tcBorders>
            <w:shd w:val="clear" w:color="auto" w:fill="CCEEFF"/>
          </w:tcPr>
          <w:p>
            <w:pPr>
              <w:spacing w:after="0"/>
              <w:rPr>
                <w:sz w:val="13"/>
                <w:szCs w:val="1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(449)</w:t>
            </w:r>
          </w:p>
        </w:tc>
        <w:tc>
          <w:tcPr>
            <w:tcW w:w="80" w:type="dxa"/>
            <w:vAlign w:val="bottom"/>
            <w:shd w:val="clear" w:color="auto" w:fill="CCEEFF"/>
          </w:tcPr>
          <w:p>
            <w:pPr>
              <w:spacing w:after="0"/>
              <w:rPr>
                <w:sz w:val="13"/>
                <w:szCs w:val="13"/>
                <w:color w:val="auto"/>
              </w:rPr>
            </w:pPr>
          </w:p>
        </w:tc>
        <w:tc>
          <w:tcPr>
            <w:tcW w:w="46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(468)</w:t>
            </w:r>
          </w:p>
        </w:tc>
      </w:tr>
      <w:tr>
        <w:trPr>
          <w:trHeight w:val="142"/>
        </w:trPr>
        <w:tc>
          <w:tcPr>
            <w:tcW w:w="870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Other comprehensive income (loss)</w:t>
            </w:r>
          </w:p>
        </w:tc>
        <w:tc>
          <w:tcPr>
            <w:tcW w:w="3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(2,795)</w:t>
            </w:r>
          </w:p>
        </w:tc>
        <w:tc>
          <w:tcPr>
            <w:tcW w:w="80" w:type="dxa"/>
            <w:vAlign w:val="bottom"/>
            <w:tcBorders>
              <w:bottom w:val="single" w:sz="8" w:color="CCEEFF"/>
            </w:tcBorders>
          </w:tcPr>
          <w:p>
            <w:pPr>
              <w:spacing w:after="0"/>
              <w:rPr>
                <w:sz w:val="12"/>
                <w:szCs w:val="12"/>
                <w:color w:val="auto"/>
              </w:rPr>
            </w:pPr>
          </w:p>
        </w:tc>
        <w:tc>
          <w:tcPr>
            <w:tcW w:w="46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1,142</w:t>
            </w:r>
          </w:p>
        </w:tc>
      </w:tr>
      <w:tr>
        <w:trPr>
          <w:trHeight w:val="140"/>
        </w:trPr>
        <w:tc>
          <w:tcPr>
            <w:tcW w:w="870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Comprehensive loss</w:t>
            </w:r>
          </w:p>
        </w:tc>
        <w:tc>
          <w:tcPr>
            <w:tcW w:w="300" w:type="dxa"/>
            <w:vAlign w:val="bottom"/>
            <w:tcBorders>
              <w:bottom w:val="single" w:sz="8" w:color="auto"/>
            </w:tcBorders>
            <w:shd w:val="clear" w:color="auto" w:fill="CCEEFF"/>
          </w:tcPr>
          <w:p>
            <w:pPr>
              <w:jc w:val="right"/>
              <w:ind w:right="16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(15,332)</w:t>
            </w:r>
          </w:p>
        </w:tc>
        <w:tc>
          <w:tcPr>
            <w:tcW w:w="80" w:type="dxa"/>
            <w:vAlign w:val="bottom"/>
            <w:tcBorders>
              <w:bottom w:val="single" w:sz="8" w:color="CCEEFF"/>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ind w:right="32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(9,033)</w:t>
            </w:r>
          </w:p>
        </w:tc>
      </w:tr>
      <w:tr>
        <w:trPr>
          <w:trHeight w:val="153"/>
        </w:trPr>
        <w:tc>
          <w:tcPr>
            <w:tcW w:w="8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153"/>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 and diluted net loss per share</w:t>
            </w:r>
          </w:p>
        </w:tc>
        <w:tc>
          <w:tcPr>
            <w:tcW w:w="300" w:type="dxa"/>
            <w:vAlign w:val="bottom"/>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(0.34)</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jc w:val="right"/>
              <w:ind w:right="32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(0.29)</w:t>
            </w:r>
          </w:p>
        </w:tc>
      </w:tr>
      <w:tr>
        <w:trPr>
          <w:trHeight w:val="155"/>
        </w:trPr>
        <w:tc>
          <w:tcPr>
            <w:tcW w:w="8700" w:type="dxa"/>
            <w:vAlign w:val="bottom"/>
          </w:tcPr>
          <w:p>
            <w:pPr>
              <w:spacing w:after="0"/>
              <w:rPr>
                <w:sz w:val="20"/>
                <w:szCs w:val="20"/>
                <w:color w:val="auto"/>
              </w:rPr>
            </w:pPr>
            <w:r>
              <w:rPr>
                <w:rFonts w:ascii="Times New Roman" w:cs="Times New Roman" w:eastAsia="Times New Roman" w:hAnsi="Times New Roman"/>
                <w:sz w:val="12"/>
                <w:szCs w:val="12"/>
                <w:color w:val="auto"/>
              </w:rPr>
              <w:t>Shares used to calculate basic and diluted net loss per share</w:t>
            </w:r>
          </w:p>
        </w:tc>
        <w:tc>
          <w:tcPr>
            <w:tcW w:w="300" w:type="dxa"/>
            <w:vAlign w:val="bottom"/>
          </w:tcPr>
          <w:p>
            <w:pPr>
              <w:spacing w:after="0"/>
              <w:rPr>
                <w:sz w:val="13"/>
                <w:szCs w:val="13"/>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2"/>
                <w:szCs w:val="12"/>
                <w:color w:val="auto"/>
              </w:rPr>
              <w:t>47,724</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45,309</w:t>
            </w:r>
          </w:p>
        </w:tc>
      </w:tr>
      <w:tr>
        <w:trPr>
          <w:trHeight w:val="372"/>
        </w:trPr>
        <w:tc>
          <w:tcPr>
            <w:tcW w:w="87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alibri" w:cs="Calibri" w:eastAsia="Calibri" w:hAnsi="Calibri"/>
                <w:sz w:val="13"/>
                <w:szCs w:val="13"/>
                <w:color w:val="auto"/>
              </w:rPr>
              <w:t>6</w:t>
            </w:r>
          </w:p>
        </w:tc>
      </w:tr>
    </w:tbl>
    <w:p>
      <w:pPr>
        <w:sectPr>
          <w:pgSz w:w="11900" w:h="16838" w:orient="portrait"/>
          <w:cols w:equalWidth="0" w:num="1">
            <w:col w:w="11300"/>
          </w:cols>
          <w:pgMar w:left="300" w:top="674" w:right="299" w:bottom="1440" w:gutter="0" w:footer="0" w:header="0"/>
        </w:sectPr>
      </w:pPr>
    </w:p>
    <w:bookmarkStart w:id="9" w:name="page10"/>
    <w:bookmarkEnd w:id="9"/>
    <w:p>
      <w:pPr>
        <w:ind w:left="54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4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660" w:type="dxa"/>
            <w:vAlign w:val="bottom"/>
            <w:vMerge w:val="restart"/>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 except per share data)</w:t>
            </w:r>
          </w:p>
        </w:tc>
        <w:tc>
          <w:tcPr>
            <w:tcW w:w="260" w:type="dxa"/>
            <w:vAlign w:val="bottom"/>
          </w:tcPr>
          <w:p>
            <w:pPr>
              <w:spacing w:after="0"/>
              <w:rPr>
                <w:sz w:val="10"/>
                <w:szCs w:val="10"/>
                <w:color w:val="auto"/>
              </w:rPr>
            </w:pPr>
          </w:p>
        </w:tc>
        <w:tc>
          <w:tcPr>
            <w:tcW w:w="1100" w:type="dxa"/>
            <w:vAlign w:val="bottom"/>
            <w:gridSpan w:val="2"/>
          </w:tcPr>
          <w:p>
            <w:pPr>
              <w:ind w:left="180"/>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220" w:type="dxa"/>
            <w:vAlign w:val="bottom"/>
          </w:tcPr>
          <w:p>
            <w:pPr>
              <w:spacing w:after="0"/>
              <w:rPr>
                <w:sz w:val="10"/>
                <w:szCs w:val="10"/>
                <w:color w:val="auto"/>
              </w:rPr>
            </w:pPr>
          </w:p>
        </w:tc>
        <w:tc>
          <w:tcPr>
            <w:tcW w:w="1060" w:type="dxa"/>
            <w:vAlign w:val="bottom"/>
          </w:tcPr>
          <w:p>
            <w:pPr>
              <w:jc w:val="right"/>
              <w:ind w:right="301"/>
              <w:spacing w:after="0"/>
              <w:rPr>
                <w:sz w:val="20"/>
                <w:szCs w:val="20"/>
                <w:color w:val="auto"/>
              </w:rPr>
            </w:pPr>
            <w:r>
              <w:rPr>
                <w:rFonts w:ascii="Times New Roman" w:cs="Times New Roman" w:eastAsia="Times New Roman" w:hAnsi="Times New Roman"/>
                <w:sz w:val="10"/>
                <w:szCs w:val="10"/>
                <w:b w:val="1"/>
                <w:bCs w:val="1"/>
                <w:color w:val="auto"/>
              </w:rPr>
              <w:t>December 31,</w:t>
            </w:r>
          </w:p>
        </w:tc>
        <w:tc>
          <w:tcPr>
            <w:tcW w:w="0" w:type="dxa"/>
            <w:vAlign w:val="bottom"/>
          </w:tcPr>
          <w:p>
            <w:pPr>
              <w:spacing w:after="0"/>
              <w:rPr>
                <w:sz w:val="1"/>
                <w:szCs w:val="1"/>
                <w:color w:val="auto"/>
              </w:rPr>
            </w:pPr>
          </w:p>
        </w:tc>
      </w:tr>
      <w:tr>
        <w:trPr>
          <w:trHeight w:val="129"/>
        </w:trPr>
        <w:tc>
          <w:tcPr>
            <w:tcW w:w="8660" w:type="dxa"/>
            <w:vAlign w:val="bottom"/>
            <w:tcBorders>
              <w:bottom w:val="single" w:sz="8" w:color="BFE4FF"/>
            </w:tcBorders>
            <w:vMerge w:val="continue"/>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2024</w:t>
            </w:r>
          </w:p>
        </w:tc>
        <w:tc>
          <w:tcPr>
            <w:tcW w:w="80" w:type="dxa"/>
            <w:vAlign w:val="bottom"/>
            <w:tcBorders>
              <w:bottom w:val="single" w:sz="8" w:color="BFE4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jc w:val="right"/>
              <w:ind w:right="481"/>
              <w:spacing w:after="0"/>
              <w:rPr>
                <w:sz w:val="20"/>
                <w:szCs w:val="20"/>
                <w:color w:val="auto"/>
              </w:rPr>
            </w:pPr>
            <w:r>
              <w:rPr>
                <w:rFonts w:ascii="Times New Roman" w:cs="Times New Roman" w:eastAsia="Times New Roman" w:hAnsi="Times New Roman"/>
                <w:sz w:val="10"/>
                <w:szCs w:val="10"/>
                <w:b w:val="1"/>
                <w:bCs w:val="1"/>
                <w:color w:val="auto"/>
              </w:rPr>
              <w:t>2023</w:t>
            </w:r>
          </w:p>
        </w:tc>
        <w:tc>
          <w:tcPr>
            <w:tcW w:w="0" w:type="dxa"/>
            <w:vAlign w:val="bottom"/>
          </w:tcPr>
          <w:p>
            <w:pPr>
              <w:spacing w:after="0"/>
              <w:rPr>
                <w:sz w:val="1"/>
                <w:szCs w:val="1"/>
                <w:color w:val="auto"/>
              </w:rPr>
            </w:pPr>
          </w:p>
        </w:tc>
      </w:tr>
      <w:tr>
        <w:trPr>
          <w:trHeight w:val="137"/>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b w:val="1"/>
                <w:bCs w:val="1"/>
                <w:color w:val="auto"/>
              </w:rPr>
              <w:t>Assets</w:t>
            </w:r>
          </w:p>
        </w:tc>
        <w:tc>
          <w:tcPr>
            <w:tcW w:w="260" w:type="dxa"/>
            <w:vAlign w:val="bottom"/>
            <w:shd w:val="clear" w:color="auto" w:fill="BFE4FF"/>
          </w:tcPr>
          <w:p>
            <w:pPr>
              <w:spacing w:after="0"/>
              <w:rPr>
                <w:sz w:val="11"/>
                <w:szCs w:val="11"/>
                <w:color w:val="auto"/>
              </w:rPr>
            </w:pPr>
          </w:p>
        </w:tc>
        <w:tc>
          <w:tcPr>
            <w:tcW w:w="102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Current assets:</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260" w:type="dxa"/>
            <w:vAlign w:val="bottom"/>
            <w:shd w:val="clear" w:color="auto" w:fill="BFE4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20,610</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21,903</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Accounts receivable, net</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71,862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65,545</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Inventories</w:t>
            </w:r>
          </w:p>
        </w:tc>
        <w:tc>
          <w:tcPr>
            <w:tcW w:w="26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72,718</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71,563</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Income tax receivable</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11,952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11,885</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Prepaid assets</w:t>
            </w:r>
          </w:p>
        </w:tc>
        <w:tc>
          <w:tcPr>
            <w:tcW w:w="26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5,957</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2,464</w:t>
            </w:r>
          </w:p>
        </w:tc>
        <w:tc>
          <w:tcPr>
            <w:tcW w:w="0" w:type="dxa"/>
            <w:vAlign w:val="bottom"/>
          </w:tcPr>
          <w:p>
            <w:pPr>
              <w:spacing w:after="0"/>
              <w:rPr>
                <w:sz w:val="1"/>
                <w:szCs w:val="1"/>
                <w:color w:val="auto"/>
              </w:rPr>
            </w:pPr>
          </w:p>
        </w:tc>
      </w:tr>
      <w:tr>
        <w:trPr>
          <w:trHeight w:val="153"/>
        </w:trPr>
        <w:tc>
          <w:tcPr>
            <w:tcW w:w="8660" w:type="dxa"/>
            <w:vAlign w:val="bottom"/>
            <w:tcBorders>
              <w:bottom w:val="single" w:sz="8" w:color="BFE4FF"/>
            </w:tcBorders>
          </w:tcPr>
          <w:p>
            <w:pPr>
              <w:ind w:left="140"/>
              <w:spacing w:after="0"/>
              <w:rPr>
                <w:sz w:val="20"/>
                <w:szCs w:val="20"/>
                <w:color w:val="auto"/>
              </w:rPr>
            </w:pPr>
            <w:r>
              <w:rPr>
                <w:rFonts w:ascii="Times New Roman" w:cs="Times New Roman" w:eastAsia="Times New Roman" w:hAnsi="Times New Roman"/>
                <w:sz w:val="12"/>
                <w:szCs w:val="12"/>
                <w:color w:val="auto"/>
              </w:rPr>
              <w:t>Other current assets</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10,439</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9,194</w:t>
            </w:r>
          </w:p>
        </w:tc>
        <w:tc>
          <w:tcPr>
            <w:tcW w:w="0" w:type="dxa"/>
            <w:vAlign w:val="bottom"/>
          </w:tcPr>
          <w:p>
            <w:pPr>
              <w:spacing w:after="0"/>
              <w:rPr>
                <w:sz w:val="1"/>
                <w:szCs w:val="1"/>
                <w:color w:val="auto"/>
              </w:rPr>
            </w:pPr>
          </w:p>
        </w:tc>
      </w:tr>
      <w:tr>
        <w:trPr>
          <w:trHeight w:val="142"/>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current assets</w:t>
            </w:r>
          </w:p>
        </w:tc>
        <w:tc>
          <w:tcPr>
            <w:tcW w:w="260" w:type="dxa"/>
            <w:vAlign w:val="bottom"/>
            <w:shd w:val="clear" w:color="auto" w:fill="BFE4FF"/>
          </w:tcPr>
          <w:p>
            <w:pPr>
              <w:spacing w:after="0"/>
              <w:rPr>
                <w:sz w:val="12"/>
                <w:szCs w:val="12"/>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193,538</w:t>
            </w:r>
          </w:p>
        </w:tc>
        <w:tc>
          <w:tcPr>
            <w:tcW w:w="80" w:type="dxa"/>
            <w:vAlign w:val="bottom"/>
            <w:shd w:val="clear" w:color="auto" w:fill="BFE4FF"/>
          </w:tcPr>
          <w:p>
            <w:pPr>
              <w:spacing w:after="0"/>
              <w:rPr>
                <w:sz w:val="12"/>
                <w:szCs w:val="12"/>
                <w:color w:val="auto"/>
              </w:rPr>
            </w:pP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182,554</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Property, plant and equipment, net</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179,647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185,812</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Operating lease right-of-use assets</w:t>
            </w:r>
          </w:p>
        </w:tc>
        <w:tc>
          <w:tcPr>
            <w:tcW w:w="26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42,141</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43,357</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55,268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58,724</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Investment in joint venture</w:t>
            </w:r>
          </w:p>
        </w:tc>
        <w:tc>
          <w:tcPr>
            <w:tcW w:w="26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34,409</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32,701</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assets</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734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734</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Other non-current assets</w:t>
            </w:r>
          </w:p>
        </w:tc>
        <w:tc>
          <w:tcPr>
            <w:tcW w:w="260" w:type="dxa"/>
            <w:vAlign w:val="bottom"/>
            <w:tcBorders>
              <w:bottom w:val="single" w:sz="8" w:color="auto"/>
            </w:tcBorders>
            <w:shd w:val="clear" w:color="auto" w:fill="BFE4FF"/>
          </w:tcPr>
          <w:p>
            <w:pPr>
              <w:spacing w:after="0"/>
              <w:rPr>
                <w:sz w:val="13"/>
                <w:szCs w:val="13"/>
                <w:color w:val="auto"/>
              </w:rPr>
            </w:pPr>
          </w:p>
        </w:tc>
        <w:tc>
          <w:tcPr>
            <w:tcW w:w="102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7,087</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7,003</w:t>
            </w:r>
          </w:p>
        </w:tc>
        <w:tc>
          <w:tcPr>
            <w:tcW w:w="0" w:type="dxa"/>
            <w:vAlign w:val="bottom"/>
          </w:tcPr>
          <w:p>
            <w:pPr>
              <w:spacing w:after="0"/>
              <w:rPr>
                <w:sz w:val="1"/>
                <w:szCs w:val="1"/>
                <w:color w:val="auto"/>
              </w:rPr>
            </w:pPr>
          </w:p>
        </w:tc>
      </w:tr>
      <w:tr>
        <w:trPr>
          <w:trHeight w:val="158"/>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assets</w:t>
            </w:r>
          </w:p>
        </w:tc>
        <w:tc>
          <w:tcPr>
            <w:tcW w:w="2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512,824</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510,885</w:t>
            </w:r>
          </w:p>
        </w:tc>
        <w:tc>
          <w:tcPr>
            <w:tcW w:w="0" w:type="dxa"/>
            <w:vAlign w:val="bottom"/>
          </w:tcPr>
          <w:p>
            <w:pPr>
              <w:spacing w:after="0"/>
              <w:rPr>
                <w:sz w:val="1"/>
                <w:szCs w:val="1"/>
                <w:color w:val="auto"/>
              </w:rPr>
            </w:pPr>
          </w:p>
        </w:tc>
      </w:tr>
      <w:tr>
        <w:trPr>
          <w:trHeight w:val="135"/>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b w:val="1"/>
                <w:bCs w:val="1"/>
                <w:color w:val="auto"/>
              </w:rPr>
              <w:t>Liabilities, Preferred Stock, and Stockholders’ Equity</w:t>
            </w:r>
          </w:p>
        </w:tc>
        <w:tc>
          <w:tcPr>
            <w:tcW w:w="260" w:type="dxa"/>
            <w:vAlign w:val="bottom"/>
            <w:shd w:val="clear" w:color="auto" w:fill="BFE4FF"/>
          </w:tcPr>
          <w:p>
            <w:pPr>
              <w:spacing w:after="0"/>
              <w:rPr>
                <w:sz w:val="11"/>
                <w:szCs w:val="11"/>
                <w:color w:val="auto"/>
              </w:rPr>
            </w:pPr>
          </w:p>
        </w:tc>
        <w:tc>
          <w:tcPr>
            <w:tcW w:w="102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Current liabilities:</w:t>
            </w:r>
          </w:p>
        </w:tc>
        <w:tc>
          <w:tcPr>
            <w:tcW w:w="2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Accounts payable</w:t>
            </w:r>
          </w:p>
        </w:tc>
        <w:tc>
          <w:tcPr>
            <w:tcW w:w="260" w:type="dxa"/>
            <w:vAlign w:val="bottom"/>
            <w:shd w:val="clear" w:color="auto" w:fill="BFE4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50,786</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45,480</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Accrued salaries, wages and benefits</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16,920</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15,464</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Income tax payable</w:t>
            </w:r>
          </w:p>
        </w:tc>
        <w:tc>
          <w:tcPr>
            <w:tcW w:w="26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431</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524</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Short-term debt and current maturities of long-term debt</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7,014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3,910</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Current portion of operating lease liabilities</w:t>
            </w:r>
          </w:p>
        </w:tc>
        <w:tc>
          <w:tcPr>
            <w:tcW w:w="26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5,177</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5,735</w:t>
            </w:r>
          </w:p>
        </w:tc>
        <w:tc>
          <w:tcPr>
            <w:tcW w:w="0" w:type="dxa"/>
            <w:vAlign w:val="bottom"/>
          </w:tcPr>
          <w:p>
            <w:pPr>
              <w:spacing w:after="0"/>
              <w:rPr>
                <w:sz w:val="1"/>
                <w:szCs w:val="1"/>
                <w:color w:val="auto"/>
              </w:rPr>
            </w:pPr>
          </w:p>
        </w:tc>
      </w:tr>
      <w:tr>
        <w:trPr>
          <w:trHeight w:val="153"/>
        </w:trPr>
        <w:tc>
          <w:tcPr>
            <w:tcW w:w="8660" w:type="dxa"/>
            <w:vAlign w:val="bottom"/>
            <w:tcBorders>
              <w:bottom w:val="single" w:sz="8" w:color="BFE4FF"/>
            </w:tcBorders>
          </w:tcPr>
          <w:p>
            <w:pPr>
              <w:ind w:left="14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26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14,464</w:t>
            </w:r>
          </w:p>
        </w:tc>
        <w:tc>
          <w:tcPr>
            <w:tcW w:w="80" w:type="dxa"/>
            <w:vAlign w:val="bottom"/>
            <w:tcBorders>
              <w:bottom w:val="single" w:sz="8" w:color="BFE4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10,506</w:t>
            </w:r>
          </w:p>
        </w:tc>
        <w:tc>
          <w:tcPr>
            <w:tcW w:w="0" w:type="dxa"/>
            <w:vAlign w:val="bottom"/>
          </w:tcPr>
          <w:p>
            <w:pPr>
              <w:spacing w:after="0"/>
              <w:rPr>
                <w:sz w:val="1"/>
                <w:szCs w:val="1"/>
                <w:color w:val="auto"/>
              </w:rPr>
            </w:pPr>
          </w:p>
        </w:tc>
      </w:tr>
      <w:tr>
        <w:trPr>
          <w:trHeight w:val="142"/>
        </w:trPr>
        <w:tc>
          <w:tcPr>
            <w:tcW w:w="8660" w:type="dxa"/>
            <w:vAlign w:val="bottom"/>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current liabilities</w:t>
            </w:r>
          </w:p>
        </w:tc>
        <w:tc>
          <w:tcPr>
            <w:tcW w:w="260" w:type="dxa"/>
            <w:vAlign w:val="bottom"/>
            <w:shd w:val="clear" w:color="auto" w:fill="BFE4FF"/>
          </w:tcPr>
          <w:p>
            <w:pPr>
              <w:spacing w:after="0"/>
              <w:rPr>
                <w:sz w:val="12"/>
                <w:szCs w:val="12"/>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94,792</w:t>
            </w:r>
          </w:p>
        </w:tc>
        <w:tc>
          <w:tcPr>
            <w:tcW w:w="80" w:type="dxa"/>
            <w:vAlign w:val="bottom"/>
            <w:shd w:val="clear" w:color="auto" w:fill="BFE4FF"/>
          </w:tcPr>
          <w:p>
            <w:pPr>
              <w:spacing w:after="0"/>
              <w:rPr>
                <w:sz w:val="12"/>
                <w:szCs w:val="12"/>
                <w:color w:val="auto"/>
              </w:rPr>
            </w:pPr>
          </w:p>
        </w:tc>
        <w:tc>
          <w:tcPr>
            <w:tcW w:w="220" w:type="dxa"/>
            <w:vAlign w:val="bottom"/>
            <w:shd w:val="clear" w:color="auto" w:fill="BFE4FF"/>
          </w:tcPr>
          <w:p>
            <w:pPr>
              <w:spacing w:after="0"/>
              <w:rPr>
                <w:sz w:val="12"/>
                <w:szCs w:val="12"/>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81,619</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Deferred tax liabilities</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4,739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4,988</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Long-term debt, net of current maturities</w:t>
            </w:r>
          </w:p>
        </w:tc>
        <w:tc>
          <w:tcPr>
            <w:tcW w:w="26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151,531</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149,369</w:t>
            </w: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Operating lease liabilities, net of current portion</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45,803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47,281</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Other non-current liabilities</w:t>
            </w:r>
          </w:p>
        </w:tc>
        <w:tc>
          <w:tcPr>
            <w:tcW w:w="260" w:type="dxa"/>
            <w:vAlign w:val="bottom"/>
            <w:tcBorders>
              <w:bottom w:val="single" w:sz="8" w:color="auto"/>
            </w:tcBorders>
            <w:shd w:val="clear" w:color="auto" w:fill="BFE4FF"/>
          </w:tcPr>
          <w:p>
            <w:pPr>
              <w:spacing w:after="0"/>
              <w:rPr>
                <w:sz w:val="13"/>
                <w:szCs w:val="13"/>
                <w:color w:val="auto"/>
              </w:rPr>
            </w:pPr>
          </w:p>
        </w:tc>
        <w:tc>
          <w:tcPr>
            <w:tcW w:w="102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18,349</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24,827</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liabilities</w:t>
            </w: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315,214</w:t>
            </w:r>
          </w:p>
        </w:tc>
        <w:tc>
          <w:tcPr>
            <w:tcW w:w="80" w:type="dxa"/>
            <w:vAlign w:val="bottom"/>
            <w:tcBorders>
              <w:bottom w:val="single" w:sz="8" w:color="BFE4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308,084</w:t>
            </w:r>
          </w:p>
        </w:tc>
        <w:tc>
          <w:tcPr>
            <w:tcW w:w="0" w:type="dxa"/>
            <w:vAlign w:val="bottom"/>
          </w:tcPr>
          <w:p>
            <w:pPr>
              <w:spacing w:after="0"/>
              <w:rPr>
                <w:sz w:val="1"/>
                <w:szCs w:val="1"/>
                <w:color w:val="auto"/>
              </w:rPr>
            </w:pPr>
          </w:p>
        </w:tc>
      </w:tr>
      <w:tr>
        <w:trPr>
          <w:trHeight w:val="133"/>
        </w:trPr>
        <w:tc>
          <w:tcPr>
            <w:tcW w:w="8660" w:type="dxa"/>
            <w:vAlign w:val="bottom"/>
            <w:shd w:val="clear" w:color="auto" w:fill="BFE4FF"/>
          </w:tcPr>
          <w:p>
            <w:pPr>
              <w:spacing w:after="0" w:line="133" w:lineRule="exact"/>
              <w:rPr>
                <w:sz w:val="20"/>
                <w:szCs w:val="20"/>
                <w:color w:val="auto"/>
              </w:rPr>
            </w:pPr>
            <w:r>
              <w:rPr>
                <w:rFonts w:ascii="Times New Roman" w:cs="Times New Roman" w:eastAsia="Times New Roman" w:hAnsi="Times New Roman"/>
                <w:sz w:val="12"/>
                <w:szCs w:val="12"/>
                <w:color w:val="auto"/>
              </w:rPr>
              <w:t>Commitments and contingencies</w:t>
            </w:r>
          </w:p>
        </w:tc>
        <w:tc>
          <w:tcPr>
            <w:tcW w:w="260" w:type="dxa"/>
            <w:vAlign w:val="bottom"/>
            <w:shd w:val="clear" w:color="auto" w:fill="BFE4FF"/>
          </w:tcPr>
          <w:p>
            <w:pPr>
              <w:spacing w:after="0"/>
              <w:rPr>
                <w:sz w:val="11"/>
                <w:szCs w:val="11"/>
                <w:color w:val="auto"/>
              </w:rPr>
            </w:pPr>
          </w:p>
        </w:tc>
        <w:tc>
          <w:tcPr>
            <w:tcW w:w="1020" w:type="dxa"/>
            <w:vAlign w:val="bottom"/>
            <w:shd w:val="clear" w:color="auto" w:fill="BFE4FF"/>
          </w:tcPr>
          <w:p>
            <w:pPr>
              <w:spacing w:after="0"/>
              <w:rPr>
                <w:sz w:val="11"/>
                <w:szCs w:val="11"/>
                <w:color w:val="auto"/>
              </w:rPr>
            </w:pPr>
          </w:p>
        </w:tc>
        <w:tc>
          <w:tcPr>
            <w:tcW w:w="80" w:type="dxa"/>
            <w:vAlign w:val="bottom"/>
            <w:shd w:val="clear" w:color="auto" w:fill="BFE4FF"/>
          </w:tcPr>
          <w:p>
            <w:pPr>
              <w:spacing w:after="0"/>
              <w:rPr>
                <w:sz w:val="11"/>
                <w:szCs w:val="11"/>
                <w:color w:val="auto"/>
              </w:rPr>
            </w:pPr>
          </w:p>
        </w:tc>
        <w:tc>
          <w:tcPr>
            <w:tcW w:w="220" w:type="dxa"/>
            <w:vAlign w:val="bottom"/>
            <w:shd w:val="clear" w:color="auto" w:fill="BFE4FF"/>
          </w:tcPr>
          <w:p>
            <w:pPr>
              <w:spacing w:after="0"/>
              <w:rPr>
                <w:sz w:val="11"/>
                <w:szCs w:val="11"/>
                <w:color w:val="auto"/>
              </w:rPr>
            </w:pPr>
          </w:p>
        </w:tc>
        <w:tc>
          <w:tcPr>
            <w:tcW w:w="1060" w:type="dxa"/>
            <w:vAlign w:val="bottom"/>
            <w:shd w:val="clear" w:color="auto" w:fill="BFE4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8660" w:type="dxa"/>
            <w:vAlign w:val="bottom"/>
          </w:tcPr>
          <w:p>
            <w:pPr>
              <w:spacing w:after="0"/>
              <w:rPr>
                <w:sz w:val="20"/>
                <w:szCs w:val="20"/>
                <w:color w:val="auto"/>
              </w:rPr>
            </w:pPr>
            <w:r>
              <w:rPr>
                <w:rFonts w:ascii="Times New Roman" w:cs="Times New Roman" w:eastAsia="Times New Roman" w:hAnsi="Times New Roman"/>
                <w:sz w:val="12"/>
                <w:szCs w:val="12"/>
                <w:color w:val="auto"/>
              </w:rPr>
              <w:t>Series D perpetual preferred stock</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81,469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77,799</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Stockholders' equity:</w:t>
            </w:r>
          </w:p>
        </w:tc>
        <w:tc>
          <w:tcPr>
            <w:tcW w:w="260" w:type="dxa"/>
            <w:vAlign w:val="bottom"/>
            <w:shd w:val="clear" w:color="auto" w:fill="BFE4FF"/>
          </w:tcPr>
          <w:p>
            <w:pPr>
              <w:spacing w:after="0"/>
              <w:rPr>
                <w:sz w:val="13"/>
                <w:szCs w:val="13"/>
                <w:color w:val="auto"/>
              </w:rPr>
            </w:pPr>
          </w:p>
        </w:tc>
        <w:tc>
          <w:tcPr>
            <w:tcW w:w="102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Common stock</w:t>
            </w:r>
          </w:p>
        </w:tc>
        <w:tc>
          <w:tcPr>
            <w:tcW w:w="260" w:type="dxa"/>
            <w:vAlign w:val="bottom"/>
          </w:tcPr>
          <w:p>
            <w:pPr>
              <w:spacing w:after="0"/>
              <w:rPr>
                <w:sz w:val="13"/>
                <w:szCs w:val="13"/>
                <w:color w:val="auto"/>
              </w:rPr>
            </w:pPr>
          </w:p>
        </w:tc>
        <w:tc>
          <w:tcPr>
            <w:tcW w:w="102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495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473</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26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464,081</w:t>
            </w:r>
          </w:p>
        </w:tc>
        <w:tc>
          <w:tcPr>
            <w:tcW w:w="80" w:type="dxa"/>
            <w:vAlign w:val="bottom"/>
            <w:shd w:val="clear" w:color="auto" w:fill="BFE4FF"/>
          </w:tcPr>
          <w:p>
            <w:pPr>
              <w:spacing w:after="0"/>
              <w:rPr>
                <w:sz w:val="13"/>
                <w:szCs w:val="13"/>
                <w:color w:val="auto"/>
              </w:rPr>
            </w:pPr>
          </w:p>
        </w:tc>
        <w:tc>
          <w:tcPr>
            <w:tcW w:w="220" w:type="dxa"/>
            <w:vAlign w:val="bottom"/>
            <w:shd w:val="clear" w:color="auto" w:fill="BFE4FF"/>
          </w:tcPr>
          <w:p>
            <w:pPr>
              <w:spacing w:after="0"/>
              <w:rPr>
                <w:sz w:val="13"/>
                <w:szCs w:val="13"/>
                <w:color w:val="auto"/>
              </w:rPr>
            </w:pPr>
          </w:p>
        </w:tc>
        <w:tc>
          <w:tcPr>
            <w:tcW w:w="1060" w:type="dxa"/>
            <w:vAlign w:val="bottom"/>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457,632</w:t>
            </w:r>
          </w:p>
        </w:tc>
        <w:tc>
          <w:tcPr>
            <w:tcW w:w="0" w:type="dxa"/>
            <w:vAlign w:val="bottom"/>
          </w:tcPr>
          <w:p>
            <w:pPr>
              <w:spacing w:after="0"/>
              <w:rPr>
                <w:sz w:val="1"/>
                <w:szCs w:val="1"/>
                <w:color w:val="auto"/>
              </w:rPr>
            </w:pPr>
          </w:p>
        </w:tc>
      </w:tr>
      <w:tr>
        <w:trPr>
          <w:trHeight w:val="153"/>
        </w:trPr>
        <w:tc>
          <w:tcPr>
            <w:tcW w:w="86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Accumulated deficit</w:t>
            </w:r>
          </w:p>
        </w:tc>
        <w:tc>
          <w:tcPr>
            <w:tcW w:w="26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(307,885)</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(295,348)</w:t>
            </w:r>
          </w:p>
        </w:tc>
        <w:tc>
          <w:tcPr>
            <w:tcW w:w="0" w:type="dxa"/>
            <w:vAlign w:val="bottom"/>
          </w:tcPr>
          <w:p>
            <w:pPr>
              <w:spacing w:after="0"/>
              <w:rPr>
                <w:sz w:val="1"/>
                <w:szCs w:val="1"/>
                <w:color w:val="auto"/>
              </w:rPr>
            </w:pPr>
          </w:p>
        </w:tc>
      </w:tr>
      <w:tr>
        <w:trPr>
          <w:trHeight w:val="153"/>
        </w:trPr>
        <w:tc>
          <w:tcPr>
            <w:tcW w:w="8660" w:type="dxa"/>
            <w:vAlign w:val="bottom"/>
            <w:shd w:val="clear" w:color="auto" w:fill="BFE4FF"/>
          </w:tcPr>
          <w:p>
            <w:pPr>
              <w:ind w:left="14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260" w:type="dxa"/>
            <w:vAlign w:val="bottom"/>
            <w:tcBorders>
              <w:bottom w:val="single" w:sz="8" w:color="auto"/>
            </w:tcBorders>
            <w:shd w:val="clear" w:color="auto" w:fill="BFE4FF"/>
          </w:tcPr>
          <w:p>
            <w:pPr>
              <w:spacing w:after="0"/>
              <w:rPr>
                <w:sz w:val="13"/>
                <w:szCs w:val="13"/>
                <w:color w:val="auto"/>
              </w:rPr>
            </w:pPr>
          </w:p>
        </w:tc>
        <w:tc>
          <w:tcPr>
            <w:tcW w:w="102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(40,550)</w:t>
            </w:r>
          </w:p>
        </w:tc>
        <w:tc>
          <w:tcPr>
            <w:tcW w:w="80" w:type="dxa"/>
            <w:vAlign w:val="bottom"/>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spacing w:after="0"/>
              <w:rPr>
                <w:sz w:val="13"/>
                <w:szCs w:val="13"/>
                <w:color w:val="auto"/>
              </w:rPr>
            </w:pPr>
          </w:p>
        </w:tc>
        <w:tc>
          <w:tcPr>
            <w:tcW w:w="10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(37,755)</w:t>
            </w:r>
          </w:p>
        </w:tc>
        <w:tc>
          <w:tcPr>
            <w:tcW w:w="0" w:type="dxa"/>
            <w:vAlign w:val="bottom"/>
          </w:tcPr>
          <w:p>
            <w:pPr>
              <w:spacing w:after="0"/>
              <w:rPr>
                <w:sz w:val="1"/>
                <w:szCs w:val="1"/>
                <w:color w:val="auto"/>
              </w:rPr>
            </w:pPr>
          </w:p>
        </w:tc>
      </w:tr>
      <w:tr>
        <w:trPr>
          <w:trHeight w:val="142"/>
        </w:trPr>
        <w:tc>
          <w:tcPr>
            <w:tcW w:w="8660" w:type="dxa"/>
            <w:vAlign w:val="bottom"/>
            <w:tcBorders>
              <w:bottom w:val="single" w:sz="8" w:color="BFE4FF"/>
            </w:tcBorders>
          </w:tcPr>
          <w:p>
            <w:pPr>
              <w:spacing w:after="0" w:line="135" w:lineRule="exact"/>
              <w:rPr>
                <w:sz w:val="20"/>
                <w:szCs w:val="20"/>
                <w:color w:val="auto"/>
              </w:rPr>
            </w:pPr>
            <w:r>
              <w:rPr>
                <w:rFonts w:ascii="Times New Roman" w:cs="Times New Roman" w:eastAsia="Times New Roman" w:hAnsi="Times New Roman"/>
                <w:sz w:val="12"/>
                <w:szCs w:val="12"/>
                <w:color w:val="auto"/>
              </w:rPr>
              <w:t>Total stockholders’ equity</w:t>
            </w:r>
          </w:p>
        </w:tc>
        <w:tc>
          <w:tcPr>
            <w:tcW w:w="26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116,141</w:t>
            </w:r>
          </w:p>
        </w:tc>
        <w:tc>
          <w:tcPr>
            <w:tcW w:w="80" w:type="dxa"/>
            <w:vAlign w:val="bottom"/>
            <w:tcBorders>
              <w:bottom w:val="single" w:sz="8" w:color="BFE4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125,002</w:t>
            </w:r>
          </w:p>
        </w:tc>
        <w:tc>
          <w:tcPr>
            <w:tcW w:w="0" w:type="dxa"/>
            <w:vAlign w:val="bottom"/>
          </w:tcPr>
          <w:p>
            <w:pPr>
              <w:spacing w:after="0"/>
              <w:rPr>
                <w:sz w:val="1"/>
                <w:szCs w:val="1"/>
                <w:color w:val="auto"/>
              </w:rPr>
            </w:pPr>
          </w:p>
        </w:tc>
      </w:tr>
      <w:tr>
        <w:trPr>
          <w:trHeight w:val="158"/>
        </w:trPr>
        <w:tc>
          <w:tcPr>
            <w:tcW w:w="8660" w:type="dxa"/>
            <w:vAlign w:val="bottom"/>
            <w:tcBorders>
              <w:bottom w:val="single" w:sz="8" w:color="BFE4FF"/>
            </w:tcBorders>
            <w:shd w:val="clear" w:color="auto" w:fill="BFE4FF"/>
          </w:tcPr>
          <w:p>
            <w:pPr>
              <w:spacing w:after="0" w:line="135" w:lineRule="exact"/>
              <w:rPr>
                <w:sz w:val="20"/>
                <w:szCs w:val="20"/>
                <w:color w:val="auto"/>
              </w:rPr>
            </w:pPr>
            <w:r>
              <w:rPr>
                <w:rFonts w:ascii="Times New Roman" w:cs="Times New Roman" w:eastAsia="Times New Roman" w:hAnsi="Times New Roman"/>
                <w:sz w:val="12"/>
                <w:szCs w:val="12"/>
                <w:color w:val="auto"/>
              </w:rPr>
              <w:t>Total liabilities, preferred stock, and stockholders’ equity</w:t>
            </w:r>
          </w:p>
        </w:tc>
        <w:tc>
          <w:tcPr>
            <w:tcW w:w="260" w:type="dxa"/>
            <w:vAlign w:val="bottom"/>
            <w:tcBorders>
              <w:bottom w:val="single" w:sz="8" w:color="auto"/>
            </w:tcBorders>
            <w:shd w:val="clear" w:color="auto" w:fill="BFE4FF"/>
          </w:tcPr>
          <w:p>
            <w:pPr>
              <w:jc w:val="right"/>
              <w:ind w:right="12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512,824</w:t>
            </w:r>
          </w:p>
        </w:tc>
        <w:tc>
          <w:tcPr>
            <w:tcW w:w="80" w:type="dxa"/>
            <w:vAlign w:val="bottom"/>
            <w:tcBorders>
              <w:bottom w:val="single" w:sz="8" w:color="BFE4FF"/>
            </w:tcBorders>
            <w:shd w:val="clear" w:color="auto" w:fill="BFE4FF"/>
          </w:tcPr>
          <w:p>
            <w:pPr>
              <w:spacing w:after="0"/>
              <w:rPr>
                <w:sz w:val="13"/>
                <w:szCs w:val="13"/>
                <w:color w:val="auto"/>
              </w:rPr>
            </w:pPr>
          </w:p>
        </w:tc>
        <w:tc>
          <w:tcPr>
            <w:tcW w:w="22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1060" w:type="dxa"/>
            <w:vAlign w:val="bottom"/>
            <w:tcBorders>
              <w:bottom w:val="single" w:sz="8" w:color="auto"/>
            </w:tcBorders>
            <w:shd w:val="clear" w:color="auto" w:fill="BFE4FF"/>
          </w:tcPr>
          <w:p>
            <w:pPr>
              <w:jc w:val="right"/>
              <w:ind w:right="1"/>
              <w:spacing w:after="0"/>
              <w:rPr>
                <w:sz w:val="20"/>
                <w:szCs w:val="20"/>
                <w:color w:val="auto"/>
              </w:rPr>
            </w:pPr>
            <w:r>
              <w:rPr>
                <w:rFonts w:ascii="Times New Roman" w:cs="Times New Roman" w:eastAsia="Times New Roman" w:hAnsi="Times New Roman"/>
                <w:sz w:val="12"/>
                <w:szCs w:val="12"/>
                <w:color w:val="auto"/>
              </w:rPr>
              <w:t>510,885</w:t>
            </w:r>
          </w:p>
        </w:tc>
        <w:tc>
          <w:tcPr>
            <w:tcW w:w="0" w:type="dxa"/>
            <w:vAlign w:val="bottom"/>
          </w:tcPr>
          <w:p>
            <w:pPr>
              <w:spacing w:after="0"/>
              <w:rPr>
                <w:sz w:val="1"/>
                <w:szCs w:val="1"/>
                <w:color w:val="auto"/>
              </w:rPr>
            </w:pPr>
          </w:p>
        </w:tc>
      </w:tr>
    </w:tbl>
    <w:p>
      <w:pPr>
        <w:spacing w:after="0" w:line="350" w:lineRule="exact"/>
        <w:rPr>
          <w:sz w:val="20"/>
          <w:szCs w:val="20"/>
          <w:color w:val="auto"/>
        </w:rPr>
      </w:pPr>
    </w:p>
    <w:p>
      <w:pPr>
        <w:ind w:left="11220"/>
        <w:spacing w:after="0"/>
        <w:rPr>
          <w:sz w:val="20"/>
          <w:szCs w:val="20"/>
          <w:color w:val="auto"/>
        </w:rPr>
      </w:pPr>
      <w:r>
        <w:rPr>
          <w:rFonts w:ascii="Calibri" w:cs="Calibri" w:eastAsia="Calibri" w:hAnsi="Calibri"/>
          <w:sz w:val="13"/>
          <w:szCs w:val="13"/>
          <w:color w:val="auto"/>
        </w:rPr>
        <w:t>7</w:t>
      </w:r>
    </w:p>
    <w:p>
      <w:pPr>
        <w:sectPr>
          <w:pgSz w:w="11900" w:h="16838" w:orient="portrait"/>
          <w:cols w:equalWidth="0" w:num="1">
            <w:col w:w="11300"/>
          </w:cols>
          <w:pgMar w:left="300" w:top="674" w:right="2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NN, Inc.</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Statements of Cash Flows</w:t>
      </w:r>
    </w:p>
    <w:p>
      <w:pPr>
        <w:spacing w:after="0" w:line="1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8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40" w:type="dxa"/>
            <w:vAlign w:val="bottom"/>
            <w:gridSpan w:val="3"/>
          </w:tcPr>
          <w:p>
            <w:pPr>
              <w:jc w:val="right"/>
              <w:ind w:right="66"/>
              <w:spacing w:after="0"/>
              <w:rPr>
                <w:sz w:val="20"/>
                <w:szCs w:val="20"/>
                <w:color w:val="auto"/>
              </w:rPr>
            </w:pPr>
            <w:r>
              <w:rPr>
                <w:rFonts w:ascii="Times New Roman" w:cs="Times New Roman" w:eastAsia="Times New Roman" w:hAnsi="Times New Roman"/>
                <w:sz w:val="10"/>
                <w:szCs w:val="10"/>
                <w:b w:val="1"/>
                <w:bCs w:val="1"/>
                <w:color w:val="auto"/>
              </w:rPr>
              <w:t>Three Months Ended</w:t>
            </w:r>
          </w:p>
        </w:tc>
        <w:tc>
          <w:tcPr>
            <w:tcW w:w="880" w:type="dxa"/>
            <w:vAlign w:val="bottom"/>
          </w:tcPr>
          <w:p>
            <w:pPr>
              <w:spacing w:after="0"/>
              <w:rPr>
                <w:sz w:val="10"/>
                <w:szCs w:val="10"/>
                <w:color w:val="auto"/>
              </w:rPr>
            </w:pPr>
          </w:p>
        </w:tc>
      </w:tr>
      <w:tr>
        <w:trPr>
          <w:trHeight w:val="125"/>
        </w:trPr>
        <w:tc>
          <w:tcPr>
            <w:tcW w:w="8460" w:type="dxa"/>
            <w:vAlign w:val="bottom"/>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40" w:type="dxa"/>
            <w:vAlign w:val="bottom"/>
            <w:tcBorders>
              <w:bottom w:val="single" w:sz="8" w:color="auto"/>
            </w:tcBorders>
            <w:gridSpan w:val="3"/>
          </w:tcPr>
          <w:p>
            <w:pPr>
              <w:jc w:val="right"/>
              <w:ind w:right="286"/>
              <w:spacing w:after="0"/>
              <w:rPr>
                <w:sz w:val="20"/>
                <w:szCs w:val="20"/>
                <w:color w:val="auto"/>
              </w:rPr>
            </w:pPr>
            <w:r>
              <w:rPr>
                <w:rFonts w:ascii="Times New Roman" w:cs="Times New Roman" w:eastAsia="Times New Roman" w:hAnsi="Times New Roman"/>
                <w:sz w:val="10"/>
                <w:szCs w:val="10"/>
                <w:b w:val="1"/>
                <w:bCs w:val="1"/>
                <w:color w:val="auto"/>
              </w:rPr>
              <w:t>March 31,</w:t>
            </w:r>
          </w:p>
        </w:tc>
        <w:tc>
          <w:tcPr>
            <w:tcW w:w="880" w:type="dxa"/>
            <w:vAlign w:val="bottom"/>
            <w:tcBorders>
              <w:bottom w:val="single" w:sz="8" w:color="auto"/>
            </w:tcBorders>
          </w:tcPr>
          <w:p>
            <w:pPr>
              <w:spacing w:after="0"/>
              <w:rPr>
                <w:sz w:val="10"/>
                <w:szCs w:val="10"/>
                <w:color w:val="auto"/>
              </w:rPr>
            </w:pPr>
          </w:p>
        </w:tc>
      </w:tr>
      <w:tr>
        <w:trPr>
          <w:trHeight w:val="127"/>
        </w:trPr>
        <w:tc>
          <w:tcPr>
            <w:tcW w:w="8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0"/>
                <w:szCs w:val="10"/>
                <w:b w:val="1"/>
                <w:bCs w:val="1"/>
                <w:i w:val="1"/>
                <w:iCs w:val="1"/>
                <w:color w:val="auto"/>
              </w:rPr>
              <w:t>(in thousands)</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21"/>
              <w:spacing w:after="0"/>
              <w:rPr>
                <w:sz w:val="20"/>
                <w:szCs w:val="20"/>
                <w:color w:val="auto"/>
              </w:rPr>
            </w:pPr>
            <w:r>
              <w:rPr>
                <w:rFonts w:ascii="Times New Roman" w:cs="Times New Roman" w:eastAsia="Times New Roman" w:hAnsi="Times New Roman"/>
                <w:sz w:val="10"/>
                <w:szCs w:val="10"/>
                <w:b w:val="1"/>
                <w:bCs w:val="1"/>
                <w:color w:val="auto"/>
              </w:rPr>
              <w:t>2024</w:t>
            </w:r>
          </w:p>
        </w:tc>
        <w:tc>
          <w:tcPr>
            <w:tcW w:w="120" w:type="dxa"/>
            <w:vAlign w:val="bottom"/>
            <w:tcBorders>
              <w:bottom w:val="single" w:sz="8" w:color="CCEEFF"/>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0"/>
                <w:szCs w:val="10"/>
                <w:b w:val="1"/>
                <w:bCs w:val="1"/>
                <w:color w:val="auto"/>
              </w:rPr>
              <w:t>2023</w:t>
            </w:r>
          </w:p>
        </w:tc>
      </w:tr>
      <w:tr>
        <w:trPr>
          <w:trHeight w:val="138"/>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Cash flows from operating activities</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Net loss</w:t>
            </w: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(12,537)</w:t>
            </w:r>
          </w:p>
        </w:tc>
        <w:tc>
          <w:tcPr>
            <w:tcW w:w="120" w:type="dxa"/>
            <w:vAlign w:val="bottom"/>
          </w:tcPr>
          <w:p>
            <w:pPr>
              <w:spacing w:after="0"/>
              <w:rPr>
                <w:sz w:val="13"/>
                <w:szCs w:val="13"/>
                <w:color w:val="auto"/>
              </w:rPr>
            </w:pPr>
          </w:p>
        </w:tc>
        <w:tc>
          <w:tcPr>
            <w:tcW w:w="48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(10,175)</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Adjustments to reconcile net loss to net cash provided by operating activities: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12,547</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11,516</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Amortization of debt issuance costs and discount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544</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353</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Paid-in-kind interest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730</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Total derivative loss, net of cash settlements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3,331</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386</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Share of net income from joint venture, net of cash dividends received</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(2,271)</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(281)</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Share-based compensation expense</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846</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381</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Deferred income taxes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480</w:t>
            </w:r>
          </w:p>
        </w:tc>
      </w:tr>
      <w:tr>
        <w:trPr>
          <w:trHeight w:val="153"/>
        </w:trPr>
        <w:tc>
          <w:tcPr>
            <w:tcW w:w="8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(666)</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(287)</w:t>
            </w:r>
          </w:p>
        </w:tc>
      </w:tr>
      <w:tr>
        <w:trPr>
          <w:trHeight w:val="153"/>
        </w:trPr>
        <w:tc>
          <w:tcPr>
            <w:tcW w:w="846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Changes in operating assets and liabilities:</w:t>
            </w: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Accounts receivable</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(6,888)</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(5,506)</w:t>
            </w:r>
          </w:p>
        </w:tc>
      </w:tr>
      <w:tr>
        <w:trPr>
          <w:trHeight w:val="153"/>
        </w:trPr>
        <w:tc>
          <w:tcPr>
            <w:tcW w:w="8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Inventories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(1,554)</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(447)</w:t>
            </w: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Accounts payable</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6,130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2,813</w:t>
            </w:r>
          </w:p>
        </w:tc>
      </w:tr>
      <w:tr>
        <w:trPr>
          <w:trHeight w:val="153"/>
        </w:trPr>
        <w:tc>
          <w:tcPr>
            <w:tcW w:w="8460" w:type="dxa"/>
            <w:vAlign w:val="bottom"/>
          </w:tcPr>
          <w:p>
            <w:pPr>
              <w:ind w:left="300"/>
              <w:spacing w:after="0"/>
              <w:rPr>
                <w:sz w:val="20"/>
                <w:szCs w:val="20"/>
                <w:color w:val="auto"/>
              </w:rPr>
            </w:pPr>
            <w:r>
              <w:rPr>
                <w:rFonts w:ascii="Times New Roman" w:cs="Times New Roman" w:eastAsia="Times New Roman" w:hAnsi="Times New Roman"/>
                <w:sz w:val="12"/>
                <w:szCs w:val="12"/>
                <w:color w:val="auto"/>
              </w:rPr>
              <w:t>Income taxes receivable and payable, net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(163)</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(283)</w:t>
            </w:r>
          </w:p>
        </w:tc>
      </w:tr>
      <w:tr>
        <w:trPr>
          <w:trHeight w:val="153"/>
        </w:trPr>
        <w:tc>
          <w:tcPr>
            <w:tcW w:w="8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923</w:t>
            </w:r>
          </w:p>
        </w:tc>
        <w:tc>
          <w:tcPr>
            <w:tcW w:w="1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1,276</w:t>
            </w:r>
          </w:p>
        </w:tc>
      </w:tr>
      <w:tr>
        <w:trPr>
          <w:trHeight w:val="142"/>
        </w:trPr>
        <w:tc>
          <w:tcPr>
            <w:tcW w:w="84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712</w:t>
            </w: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226</w:t>
            </w:r>
          </w:p>
        </w:tc>
      </w:tr>
      <w:tr>
        <w:trPr>
          <w:trHeight w:val="133"/>
        </w:trPr>
        <w:tc>
          <w:tcPr>
            <w:tcW w:w="84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investing activities</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Acquisition of property, plant and equipment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(5,460)</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(4,997)</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sale of property, plant, and equipment</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1,035</w:t>
            </w:r>
          </w:p>
        </w:tc>
      </w:tr>
      <w:tr>
        <w:trPr>
          <w:trHeight w:val="142"/>
        </w:trPr>
        <w:tc>
          <w:tcPr>
            <w:tcW w:w="84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(5,362)</w:t>
            </w: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(3,962)</w:t>
            </w:r>
          </w:p>
        </w:tc>
      </w:tr>
      <w:tr>
        <w:trPr>
          <w:trHeight w:val="133"/>
        </w:trPr>
        <w:tc>
          <w:tcPr>
            <w:tcW w:w="8460" w:type="dxa"/>
            <w:vAlign w:val="bottom"/>
            <w:shd w:val="clear" w:color="auto" w:fill="CCEEFF"/>
          </w:tcPr>
          <w:p>
            <w:pPr>
              <w:spacing w:after="0" w:line="133" w:lineRule="exact"/>
              <w:rPr>
                <w:sz w:val="20"/>
                <w:szCs w:val="20"/>
                <w:color w:val="auto"/>
              </w:rPr>
            </w:pPr>
            <w:r>
              <w:rPr>
                <w:rFonts w:ascii="Times New Roman" w:cs="Times New Roman" w:eastAsia="Times New Roman" w:hAnsi="Times New Roman"/>
                <w:sz w:val="12"/>
                <w:szCs w:val="12"/>
                <w:b w:val="1"/>
                <w:bCs w:val="1"/>
                <w:color w:val="auto"/>
              </w:rPr>
              <w:t>Cash flows from financing activities</w:t>
            </w:r>
          </w:p>
        </w:tc>
        <w:tc>
          <w:tcPr>
            <w:tcW w:w="3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long-term debt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13,001</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17,000</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Repayments of long-term debt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(29,808)</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(17,832)</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Cash paid for debt issuance costs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(646)</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(55)</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Proceeds from sale-leaseback of equipment</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4,910</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sale-leaseback of land and buildings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16,863</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Repayments of financing obligations</w:t>
            </w:r>
          </w:p>
        </w:tc>
        <w:tc>
          <w:tcPr>
            <w:tcW w:w="32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(99)</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Proceeds from short-term debt</w:t>
            </w:r>
          </w:p>
        </w:tc>
        <w:tc>
          <w:tcPr>
            <w:tcW w:w="320" w:type="dxa"/>
            <w:vAlign w:val="bottom"/>
          </w:tcPr>
          <w:p>
            <w:pPr>
              <w:spacing w:after="0"/>
              <w:rPr>
                <w:sz w:val="13"/>
                <w:szCs w:val="13"/>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2,923</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Other</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(651)</w:t>
            </w:r>
          </w:p>
        </w:tc>
        <w:tc>
          <w:tcPr>
            <w:tcW w:w="1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(785)</w:t>
            </w:r>
          </w:p>
        </w:tc>
      </w:tr>
      <w:tr>
        <w:trPr>
          <w:trHeight w:val="142"/>
        </w:trPr>
        <w:tc>
          <w:tcPr>
            <w:tcW w:w="8460" w:type="dxa"/>
            <w:vAlign w:val="bottom"/>
            <w:tcBorders>
              <w:bottom w:val="single" w:sz="8" w:color="CCEEFF"/>
            </w:tcBorders>
          </w:tcPr>
          <w:p>
            <w:pPr>
              <w:spacing w:after="0" w:line="135" w:lineRule="exact"/>
              <w:rPr>
                <w:sz w:val="20"/>
                <w:szCs w:val="20"/>
                <w:color w:val="auto"/>
              </w:rPr>
            </w:pPr>
            <w:r>
              <w:rPr>
                <w:rFonts w:ascii="Times New Roman" w:cs="Times New Roman" w:eastAsia="Times New Roman" w:hAnsi="Times New Roman"/>
                <w:sz w:val="12"/>
                <w:szCs w:val="12"/>
                <w:color w:val="auto"/>
              </w:rPr>
              <w:t>Net cash provided by financing activities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3,570</w:t>
            </w:r>
          </w:p>
        </w:tc>
        <w:tc>
          <w:tcPr>
            <w:tcW w:w="120" w:type="dxa"/>
            <w:vAlign w:val="bottom"/>
            <w:tcBorders>
              <w:bottom w:val="single" w:sz="8" w:color="CCEEFF"/>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1,251</w:t>
            </w:r>
          </w:p>
        </w:tc>
      </w:tr>
      <w:tr>
        <w:trPr>
          <w:trHeight w:val="142"/>
        </w:trPr>
        <w:tc>
          <w:tcPr>
            <w:tcW w:w="84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Effect of exchange rate changes on cash flows</w:t>
            </w:r>
          </w:p>
        </w:tc>
        <w:tc>
          <w:tcPr>
            <w:tcW w:w="320" w:type="dxa"/>
            <w:vAlign w:val="bottom"/>
            <w:shd w:val="clear" w:color="auto" w:fill="CCEEFF"/>
          </w:tcPr>
          <w:p>
            <w:pPr>
              <w:spacing w:after="0"/>
              <w:rPr>
                <w:sz w:val="12"/>
                <w:szCs w:val="1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(213)</w:t>
            </w:r>
          </w:p>
        </w:tc>
        <w:tc>
          <w:tcPr>
            <w:tcW w:w="1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222</w:t>
            </w:r>
          </w:p>
        </w:tc>
      </w:tr>
      <w:tr>
        <w:trPr>
          <w:trHeight w:val="153"/>
        </w:trPr>
        <w:tc>
          <w:tcPr>
            <w:tcW w:w="8460" w:type="dxa"/>
            <w:vAlign w:val="bottom"/>
          </w:tcPr>
          <w:p>
            <w:pPr>
              <w:spacing w:after="0"/>
              <w:rPr>
                <w:sz w:val="20"/>
                <w:szCs w:val="20"/>
                <w:color w:val="auto"/>
              </w:rPr>
            </w:pPr>
            <w:r>
              <w:rPr>
                <w:rFonts w:ascii="Times New Roman" w:cs="Times New Roman" w:eastAsia="Times New Roman" w:hAnsi="Times New Roman"/>
                <w:sz w:val="12"/>
                <w:szCs w:val="12"/>
                <w:color w:val="auto"/>
              </w:rPr>
              <w:t>Net change in cash and cash equivalents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(1,293)</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(2,263)</w:t>
            </w:r>
          </w:p>
        </w:tc>
      </w:tr>
      <w:tr>
        <w:trPr>
          <w:trHeight w:val="153"/>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and cash equivalents at beginning of year</w:t>
            </w:r>
          </w:p>
        </w:tc>
        <w:tc>
          <w:tcPr>
            <w:tcW w:w="320" w:type="dxa"/>
            <w:vAlign w:val="bottom"/>
            <w:tcBorders>
              <w:bottom w:val="single" w:sz="8" w:color="auto"/>
            </w:tcBorders>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21,903</w:t>
            </w:r>
          </w:p>
        </w:tc>
        <w:tc>
          <w:tcPr>
            <w:tcW w:w="120" w:type="dxa"/>
            <w:vAlign w:val="bottom"/>
            <w:shd w:val="clear" w:color="auto" w:fill="CCEEFF"/>
          </w:tcPr>
          <w:p>
            <w:pPr>
              <w:spacing w:after="0"/>
              <w:rPr>
                <w:sz w:val="13"/>
                <w:szCs w:val="13"/>
                <w:color w:val="auto"/>
              </w:rPr>
            </w:pPr>
          </w:p>
        </w:tc>
        <w:tc>
          <w:tcPr>
            <w:tcW w:w="4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12,808</w:t>
            </w:r>
          </w:p>
        </w:tc>
      </w:tr>
      <w:tr>
        <w:trPr>
          <w:trHeight w:val="142"/>
        </w:trPr>
        <w:tc>
          <w:tcPr>
            <w:tcW w:w="8460" w:type="dxa"/>
            <w:vAlign w:val="bottom"/>
          </w:tcPr>
          <w:p>
            <w:pPr>
              <w:spacing w:after="0" w:line="135" w:lineRule="exact"/>
              <w:rPr>
                <w:sz w:val="20"/>
                <w:szCs w:val="20"/>
                <w:color w:val="auto"/>
              </w:rPr>
            </w:pPr>
            <w:r>
              <w:rPr>
                <w:rFonts w:ascii="Times New Roman" w:cs="Times New Roman" w:eastAsia="Times New Roman" w:hAnsi="Times New Roman"/>
                <w:sz w:val="12"/>
                <w:szCs w:val="12"/>
                <w:color w:val="auto"/>
              </w:rPr>
              <w:t>Cash and cash equivalents at end of quarter</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20,610</w:t>
            </w:r>
          </w:p>
        </w:tc>
        <w:tc>
          <w:tcPr>
            <w:tcW w:w="120" w:type="dxa"/>
            <w:vAlign w:val="bottom"/>
          </w:tcPr>
          <w:p>
            <w:pPr>
              <w:spacing w:after="0"/>
              <w:rPr>
                <w:sz w:val="12"/>
                <w:szCs w:val="12"/>
                <w:color w:val="auto"/>
              </w:rPr>
            </w:pPr>
          </w:p>
        </w:tc>
        <w:tc>
          <w:tcPr>
            <w:tcW w:w="48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10,545</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ind w:left="11220"/>
        <w:spacing w:after="0"/>
        <w:rPr>
          <w:sz w:val="20"/>
          <w:szCs w:val="20"/>
          <w:color w:val="auto"/>
        </w:rPr>
      </w:pPr>
      <w:r>
        <w:rPr>
          <w:rFonts w:ascii="Calibri" w:cs="Calibri" w:eastAsia="Calibri" w:hAnsi="Calibri"/>
          <w:sz w:val="13"/>
          <w:szCs w:val="13"/>
          <w:color w:val="auto"/>
        </w:rPr>
        <w:t>8</w:t>
      </w:r>
    </w:p>
    <w:p>
      <w:pPr>
        <w:sectPr>
          <w:pgSz w:w="11900" w:h="16838" w:orient="portrait"/>
          <w:cols w:equalWidth="0" w:num="1">
            <w:col w:w="11300"/>
          </w:cols>
          <w:pgMar w:left="300" w:top="674" w:right="29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GAAP Income (Loss) from Operations to Non-GAAP Adjusted Income (Loss) from Operations</w:t>
      </w:r>
    </w:p>
    <w:p>
      <w:pPr>
        <w:sectPr>
          <w:pgSz w:w="11900" w:h="16838" w:orient="portrait"/>
          <w:cols w:equalWidth="0" w:num="1">
            <w:col w:w="11300"/>
          </w:cols>
          <w:pgMar w:left="300" w:top="674" w:right="299" w:bottom="1440" w:gutter="0" w:footer="0" w:header="0"/>
        </w:sect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NN, Inc. Consolidated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24765</wp:posOffset>
            </wp:positionV>
            <wp:extent cx="3348990" cy="1143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loss from operations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Professional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Personnel costs (1)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Facility costs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Amortization of intangibles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Non-GAAP adjusted loss from operations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3348990" cy="914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48990" cy="914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7"/>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(4,783)</w:t>
            </w:r>
          </w:p>
        </w:tc>
        <w:tc>
          <w:tcPr>
            <w:tcW w:w="100" w:type="dxa"/>
            <w:vAlign w:val="bottom"/>
          </w:tcPr>
          <w:p>
            <w:pPr>
              <w:spacing w:after="0"/>
              <w:rPr>
                <w:sz w:val="14"/>
                <w:szCs w:val="14"/>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(7,075)</w:t>
            </w:r>
          </w:p>
        </w:tc>
      </w:tr>
      <w:tr>
        <w:trPr>
          <w:trHeight w:val="155"/>
        </w:trPr>
        <w:tc>
          <w:tcPr>
            <w:tcW w:w="24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70</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264</w:t>
            </w:r>
          </w:p>
        </w:tc>
      </w:tr>
      <w:tr>
        <w:trPr>
          <w:trHeight w:val="178"/>
        </w:trPr>
        <w:tc>
          <w:tcPr>
            <w:tcW w:w="240" w:type="dxa"/>
            <w:vAlign w:val="bottom"/>
          </w:tcPr>
          <w:p>
            <w:pPr>
              <w:spacing w:after="0"/>
              <w:rPr>
                <w:sz w:val="15"/>
                <w:szCs w:val="15"/>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157</w:t>
            </w:r>
          </w:p>
        </w:tc>
      </w:tr>
      <w:tr>
        <w:trPr>
          <w:trHeight w:val="155"/>
        </w:trPr>
        <w:tc>
          <w:tcPr>
            <w:tcW w:w="24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258</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2,739</w:t>
            </w:r>
          </w:p>
        </w:tc>
      </w:tr>
      <w:tr>
        <w:trPr>
          <w:trHeight w:val="180"/>
        </w:trPr>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3,456</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3,563</w:t>
            </w:r>
          </w:p>
        </w:tc>
      </w:tr>
      <w:tr>
        <w:trPr>
          <w:trHeight w:val="142"/>
        </w:trPr>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(699)</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2"/>
                <w:szCs w:val="12"/>
                <w:color w:val="auto"/>
              </w:rPr>
              <w:t>(352)</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6"/>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71"/>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b w:val="1"/>
                <w:bCs w:val="1"/>
                <w:color w:val="auto"/>
              </w:rPr>
              <w:t>Mobile Solutions</w:t>
            </w: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9"/>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loss from operations</w:t>
            </w:r>
          </w:p>
        </w:tc>
        <w:tc>
          <w:tcPr>
            <w:tcW w:w="18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(2,143)</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(3,319)</w:t>
            </w: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Personnel costs (1)</w:t>
            </w:r>
          </w:p>
        </w:tc>
        <w:tc>
          <w:tcPr>
            <w:tcW w:w="180" w:type="dxa"/>
            <w:vAlign w:val="bottom"/>
          </w:tcPr>
          <w:p>
            <w:pPr>
              <w:spacing w:after="0"/>
              <w:rPr>
                <w:sz w:val="15"/>
                <w:szCs w:val="15"/>
                <w:color w:val="auto"/>
              </w:rPr>
            </w:pP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Facility costs (2)</w:t>
            </w: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54</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1,706</w:t>
            </w:r>
          </w:p>
        </w:tc>
      </w:tr>
      <w:tr>
        <w:trPr>
          <w:trHeight w:val="180"/>
        </w:trPr>
        <w:tc>
          <w:tcPr>
            <w:tcW w:w="3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2"/>
                <w:szCs w:val="12"/>
                <w:color w:val="auto"/>
              </w:rPr>
              <w:t>Amortization of intangibles</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838</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839</w:t>
            </w:r>
          </w:p>
        </w:tc>
      </w:tr>
      <w:tr>
        <w:trPr>
          <w:trHeight w:val="158"/>
        </w:trPr>
        <w:tc>
          <w:tcPr>
            <w:tcW w:w="3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Non-GAAP adjusted loss from operations (a)</w:t>
            </w:r>
          </w:p>
        </w:tc>
        <w:tc>
          <w:tcPr>
            <w:tcW w:w="18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w w:val="99"/>
              </w:rPr>
              <w:t>$</w:t>
            </w:r>
          </w:p>
        </w:tc>
        <w:tc>
          <w:tcPr>
            <w:tcW w:w="86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2"/>
                <w:szCs w:val="12"/>
                <w:color w:val="auto"/>
              </w:rPr>
              <w:t>(1,165)</w:t>
            </w:r>
          </w:p>
        </w:tc>
        <w:tc>
          <w:tcPr>
            <w:tcW w:w="10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800" w:type="dxa"/>
            <w:vAlign w:val="bottom"/>
            <w:tcBorders>
              <w:bottom w:val="single" w:sz="8" w:color="auto"/>
            </w:tcBorders>
            <w:shd w:val="clear" w:color="auto" w:fill="CCEEFF"/>
          </w:tcPr>
          <w:p>
            <w:pPr>
              <w:jc w:val="right"/>
              <w:ind w:right="60"/>
              <w:spacing w:after="0"/>
              <w:rPr>
                <w:sz w:val="20"/>
                <w:szCs w:val="20"/>
                <w:color w:val="auto"/>
              </w:rPr>
            </w:pPr>
            <w:r>
              <w:rPr>
                <w:rFonts w:ascii="Times New Roman" w:cs="Times New Roman" w:eastAsia="Times New Roman" w:hAnsi="Times New Roman"/>
                <w:sz w:val="12"/>
                <w:szCs w:val="12"/>
                <w:color w:val="auto"/>
              </w:rPr>
              <w:t>(774)</w:t>
            </w:r>
          </w:p>
        </w:tc>
      </w:tr>
      <w:tr>
        <w:trPr>
          <w:trHeight w:val="126"/>
        </w:trPr>
        <w:tc>
          <w:tcPr>
            <w:tcW w:w="3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5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Share of net income from joint venture</w:t>
            </w:r>
          </w:p>
        </w:tc>
        <w:tc>
          <w:tcPr>
            <w:tcW w:w="1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2,271</w:t>
            </w:r>
          </w:p>
        </w:tc>
        <w:tc>
          <w:tcPr>
            <w:tcW w:w="10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80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281</w:t>
            </w:r>
          </w:p>
        </w:tc>
      </w:tr>
    </w:tbl>
    <w:p>
      <w:pPr>
        <w:spacing w:after="0" w:line="1" w:lineRule="exact"/>
        <w:rPr>
          <w:sz w:val="20"/>
          <w:szCs w:val="20"/>
          <w:color w:val="auto"/>
        </w:rPr>
      </w:pPr>
    </w:p>
    <w:p>
      <w:pPr>
        <w:sectPr>
          <w:pgSz w:w="11900" w:h="16838" w:orient="portrait"/>
          <w:cols w:equalWidth="0" w:num="3">
            <w:col w:w="2380" w:space="720"/>
            <w:col w:w="2160" w:space="640"/>
            <w:col w:w="5400"/>
          </w:cols>
          <w:pgMar w:left="300" w:top="674" w:right="29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560" w:type="dxa"/>
            <w:vAlign w:val="bottom"/>
          </w:tcPr>
          <w:p>
            <w:pPr>
              <w:spacing w:after="0"/>
              <w:rPr>
                <w:sz w:val="20"/>
                <w:szCs w:val="20"/>
                <w:color w:val="auto"/>
              </w:rPr>
            </w:pPr>
            <w:r>
              <w:rPr>
                <w:rFonts w:ascii="Times New Roman" w:cs="Times New Roman" w:eastAsia="Times New Roman" w:hAnsi="Times New Roman"/>
                <w:sz w:val="12"/>
                <w:szCs w:val="12"/>
                <w:color w:val="auto"/>
              </w:rPr>
              <w:t>Non-GAAP adjusted operating margin (3)</w:t>
            </w:r>
          </w:p>
        </w:tc>
        <w:tc>
          <w:tcPr>
            <w:tcW w:w="8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34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w:t>
            </w:r>
          </w:p>
        </w:tc>
      </w:tr>
      <w:tr>
        <w:trPr>
          <w:trHeight w:val="188"/>
        </w:trPr>
        <w:tc>
          <w:tcPr>
            <w:tcW w:w="25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GAAP net sales</w:t>
            </w:r>
          </w:p>
        </w:tc>
        <w:tc>
          <w:tcPr>
            <w:tcW w:w="820" w:type="dxa"/>
            <w:vAlign w:val="bottom"/>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800" w:type="dxa"/>
            <w:vAlign w:val="bottom"/>
            <w:shd w:val="clear" w:color="auto" w:fill="BFE4FF"/>
          </w:tcPr>
          <w:p>
            <w:pPr>
              <w:jc w:val="right"/>
              <w:ind w:right="140"/>
              <w:spacing w:after="0"/>
              <w:rPr>
                <w:sz w:val="20"/>
                <w:szCs w:val="20"/>
                <w:color w:val="auto"/>
              </w:rPr>
            </w:pPr>
            <w:r>
              <w:rPr>
                <w:rFonts w:ascii="Times New Roman" w:cs="Times New Roman" w:eastAsia="Times New Roman" w:hAnsi="Times New Roman"/>
                <w:sz w:val="12"/>
                <w:szCs w:val="12"/>
                <w:color w:val="auto"/>
              </w:rPr>
              <w:t>121,198</w:t>
            </w:r>
          </w:p>
        </w:tc>
        <w:tc>
          <w:tcPr>
            <w:tcW w:w="340" w:type="dxa"/>
            <w:vAlign w:val="bottom"/>
            <w:shd w:val="clear" w:color="auto" w:fill="BFE4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74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127,088</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auto"/>
              </w:rPr>
              <w:t>Non-GAAP adjusted income (loss) from operations with JV (a) $</w:t>
            </w:r>
          </w:p>
        </w:tc>
        <w:tc>
          <w:tcPr>
            <w:tcW w:w="7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1,106</w:t>
            </w:r>
          </w:p>
        </w:tc>
        <w:tc>
          <w:tcPr>
            <w:tcW w:w="100" w:type="dxa"/>
            <w:vAlign w:val="bottom"/>
          </w:tcPr>
          <w:p>
            <w:pPr>
              <w:spacing w:after="0"/>
              <w:rPr>
                <w:sz w:val="16"/>
                <w:szCs w:val="16"/>
                <w:color w:val="auto"/>
              </w:rPr>
            </w:pPr>
          </w:p>
        </w:tc>
        <w:tc>
          <w:tcPr>
            <w:tcW w:w="320" w:type="dxa"/>
            <w:vAlign w:val="bottom"/>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(493)</w:t>
            </w:r>
          </w:p>
        </w:tc>
      </w:tr>
      <w:tr>
        <w:trPr>
          <w:trHeight w:val="126"/>
        </w:trPr>
        <w:tc>
          <w:tcPr>
            <w:tcW w:w="31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320" w:type="dxa"/>
            <w:vAlign w:val="bottom"/>
            <w:tcBorders>
              <w:top w:val="single" w:sz="8" w:color="auto"/>
            </w:tcBorders>
            <w:shd w:val="clear" w:color="auto" w:fill="CCEEFF"/>
          </w:tcPr>
          <w:p>
            <w:pPr>
              <w:spacing w:after="0"/>
              <w:rPr>
                <w:sz w:val="10"/>
                <w:szCs w:val="10"/>
                <w:color w:val="auto"/>
              </w:rPr>
            </w:pPr>
          </w:p>
        </w:tc>
        <w:tc>
          <w:tcPr>
            <w:tcW w:w="720" w:type="dxa"/>
            <w:vAlign w:val="bottom"/>
            <w:tcBorders>
              <w:top w:val="single" w:sz="8" w:color="auto"/>
            </w:tcBorders>
            <w:shd w:val="clear" w:color="auto" w:fill="CCEEFF"/>
          </w:tcPr>
          <w:p>
            <w:pPr>
              <w:spacing w:after="0"/>
              <w:rPr>
                <w:sz w:val="10"/>
                <w:szCs w:val="10"/>
                <w:color w:val="auto"/>
              </w:rPr>
            </w:pPr>
          </w:p>
        </w:tc>
      </w:tr>
      <w:tr>
        <w:trPr>
          <w:trHeight w:val="180"/>
        </w:trPr>
        <w:tc>
          <w:tcPr>
            <w:tcW w:w="31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Non-GAAP adjusted operating margin (3)</w:t>
            </w: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w:t>
            </w:r>
          </w:p>
        </w:tc>
      </w:tr>
      <w:tr>
        <w:trPr>
          <w:trHeight w:val="153"/>
        </w:trPr>
        <w:tc>
          <w:tcPr>
            <w:tcW w:w="3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73,060</w:t>
            </w:r>
          </w:p>
        </w:tc>
        <w:tc>
          <w:tcPr>
            <w:tcW w:w="1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7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78,018</w:t>
            </w:r>
          </w:p>
        </w:tc>
      </w:tr>
    </w:tbl>
    <w:p>
      <w:pPr>
        <w:spacing w:after="0" w:line="200" w:lineRule="exact"/>
        <w:rPr>
          <w:sz w:val="20"/>
          <w:szCs w:val="20"/>
          <w:color w:val="auto"/>
        </w:rPr>
      </w:pPr>
    </w:p>
    <w:p>
      <w:pPr>
        <w:sectPr>
          <w:pgSz w:w="11900" w:h="16838" w:orient="portrait"/>
          <w:cols w:equalWidth="0" w:num="2">
            <w:col w:w="5260" w:space="640"/>
            <w:col w:w="5400"/>
          </w:cols>
          <w:pgMar w:left="300" w:top="674" w:right="299"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Power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348990" cy="1143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income from operations</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Personnel costs (1)</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Facility costs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-85725</wp:posOffset>
            </wp:positionV>
            <wp:extent cx="3348990" cy="971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48990" cy="9715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Amortization of intangibles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22225</wp:posOffset>
            </wp:positionV>
            <wp:extent cx="3348990" cy="1143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Non-GAAP adjusted income from operations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3348990" cy="1143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48990" cy="11430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Non-GAAP adjusted operating margin (3)</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GAAP net sales</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34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9"/>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3,979</w:t>
            </w:r>
          </w:p>
        </w:tc>
        <w:tc>
          <w:tcPr>
            <w:tcW w:w="100" w:type="dxa"/>
            <w:vAlign w:val="bottom"/>
          </w:tcPr>
          <w:p>
            <w:pPr>
              <w:spacing w:after="0"/>
              <w:rPr>
                <w:sz w:val="14"/>
                <w:szCs w:val="14"/>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1,747</w:t>
            </w:r>
          </w:p>
        </w:tc>
      </w:tr>
      <w:tr>
        <w:trPr>
          <w:trHeight w:val="178"/>
        </w:trPr>
        <w:tc>
          <w:tcPr>
            <w:tcW w:w="240" w:type="dxa"/>
            <w:vAlign w:val="bottom"/>
          </w:tcPr>
          <w:p>
            <w:pPr>
              <w:spacing w:after="0"/>
              <w:rPr>
                <w:sz w:val="15"/>
                <w:szCs w:val="15"/>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35</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r>
      <w:tr>
        <w:trPr>
          <w:trHeight w:val="155"/>
        </w:trPr>
        <w:tc>
          <w:tcPr>
            <w:tcW w:w="240" w:type="dxa"/>
            <w:vAlign w:val="bottom"/>
          </w:tcPr>
          <w:p>
            <w:pPr>
              <w:spacing w:after="0"/>
              <w:rPr>
                <w:sz w:val="13"/>
                <w:szCs w:val="13"/>
                <w:color w:val="auto"/>
              </w:rPr>
            </w:pP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211</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1,033</w:t>
            </w:r>
          </w:p>
        </w:tc>
      </w:tr>
      <w:tr>
        <w:trPr>
          <w:trHeight w:val="180"/>
        </w:trPr>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2,618</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2,725</w:t>
            </w:r>
          </w:p>
        </w:tc>
      </w:tr>
      <w:tr>
        <w:trPr>
          <w:trHeight w:val="142"/>
        </w:trPr>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6,843</w:t>
            </w:r>
          </w:p>
        </w:tc>
        <w:tc>
          <w:tcPr>
            <w:tcW w:w="100" w:type="dxa"/>
            <w:vAlign w:val="bottom"/>
          </w:tcPr>
          <w:p>
            <w:pPr>
              <w:spacing w:after="0"/>
              <w:rPr>
                <w:sz w:val="12"/>
                <w:szCs w:val="12"/>
                <w:color w:val="auto"/>
              </w:rPr>
            </w:pPr>
          </w:p>
        </w:tc>
        <w:tc>
          <w:tcPr>
            <w:tcW w:w="220" w:type="dxa"/>
            <w:vAlign w:val="bottom"/>
            <w:tcBorders>
              <w:bottom w:val="single" w:sz="8" w:color="auto"/>
            </w:tcBorders>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5,505</w:t>
            </w: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00"/>
        </w:trPr>
        <w:tc>
          <w:tcPr>
            <w:tcW w:w="2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14.2 %</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11.2 %</w:t>
            </w:r>
          </w:p>
        </w:tc>
      </w:tr>
      <w:tr>
        <w:trPr>
          <w:trHeight w:val="198"/>
        </w:trPr>
        <w:tc>
          <w:tcPr>
            <w:tcW w:w="240" w:type="dxa"/>
            <w:vAlign w:val="bottom"/>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48,238</w:t>
            </w:r>
          </w:p>
        </w:tc>
        <w:tc>
          <w:tcPr>
            <w:tcW w:w="100" w:type="dxa"/>
            <w:vAlign w:val="bottom"/>
          </w:tcPr>
          <w:p>
            <w:pPr>
              <w:spacing w:after="0"/>
              <w:rPr>
                <w:sz w:val="17"/>
                <w:szCs w:val="17"/>
                <w:color w:val="auto"/>
              </w:rPr>
            </w:pPr>
          </w:p>
        </w:tc>
        <w:tc>
          <w:tcPr>
            <w:tcW w:w="220" w:type="dxa"/>
            <w:vAlign w:val="bottom"/>
          </w:tcPr>
          <w:p>
            <w:pPr>
              <w:jc w:val="right"/>
              <w:ind w:right="10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49,072</w:t>
            </w:r>
          </w:p>
        </w:tc>
      </w:tr>
    </w:tbl>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8"/>
        </w:trPr>
        <w:tc>
          <w:tcPr>
            <w:tcW w:w="3260" w:type="dxa"/>
            <w:vAlign w:val="bottom"/>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12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78"/>
        </w:trPr>
        <w:tc>
          <w:tcPr>
            <w:tcW w:w="326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Elimination</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2023</w:t>
            </w:r>
          </w:p>
        </w:tc>
        <w:tc>
          <w:tcPr>
            <w:tcW w:w="100" w:type="dxa"/>
            <w:vAlign w:val="bottom"/>
            <w:tcBorders>
              <w:bottom w:val="single" w:sz="8" w:color="BFE4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300"/>
              <w:spacing w:after="0"/>
              <w:rPr>
                <w:sz w:val="20"/>
                <w:szCs w:val="20"/>
                <w:color w:val="auto"/>
              </w:rPr>
            </w:pPr>
            <w:r>
              <w:rPr>
                <w:rFonts w:ascii="Times New Roman" w:cs="Times New Roman" w:eastAsia="Times New Roman" w:hAnsi="Times New Roman"/>
                <w:sz w:val="12"/>
                <w:szCs w:val="12"/>
                <w:b w:val="1"/>
                <w:bCs w:val="1"/>
                <w:color w:val="auto"/>
              </w:rPr>
              <w:t>2022</w:t>
            </w:r>
          </w:p>
        </w:tc>
      </w:tr>
      <w:tr>
        <w:trPr>
          <w:trHeight w:val="160"/>
        </w:trPr>
        <w:tc>
          <w:tcPr>
            <w:tcW w:w="326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120" w:type="dxa"/>
            <w:vAlign w:val="bottom"/>
            <w:shd w:val="clear" w:color="auto" w:fill="BFE4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(100)</w:t>
            </w:r>
          </w:p>
        </w:tc>
        <w:tc>
          <w:tcPr>
            <w:tcW w:w="100" w:type="dxa"/>
            <w:vAlign w:val="bottom"/>
            <w:shd w:val="clear" w:color="auto" w:fill="BFE4FF"/>
          </w:tcPr>
          <w:p>
            <w:pPr>
              <w:spacing w:after="0"/>
              <w:rPr>
                <w:sz w:val="13"/>
                <w:szCs w:val="13"/>
                <w:color w:val="auto"/>
              </w:rPr>
            </w:pPr>
          </w:p>
        </w:tc>
        <w:tc>
          <w:tcPr>
            <w:tcW w:w="2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w:t>
            </w:r>
          </w:p>
        </w:tc>
      </w:tr>
    </w:tbl>
    <w:p>
      <w:pPr>
        <w:spacing w:after="0" w:line="1180" w:lineRule="exact"/>
        <w:rPr>
          <w:sz w:val="20"/>
          <w:szCs w:val="20"/>
          <w:color w:val="auto"/>
        </w:rPr>
      </w:pPr>
    </w:p>
    <w:p>
      <w:pPr>
        <w:sectPr>
          <w:pgSz w:w="11900" w:h="16838" w:orient="portrait"/>
          <w:cols w:equalWidth="0" w:num="3">
            <w:col w:w="2380" w:space="720"/>
            <w:col w:w="2160" w:space="640"/>
            <w:col w:w="5400"/>
          </w:cols>
          <w:pgMar w:left="300" w:top="674"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080" w:hanging="224"/>
        <w:spacing w:after="0"/>
        <w:tabs>
          <w:tab w:leader="none" w:pos="10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44" w:lineRule="exact"/>
        <w:rPr>
          <w:rFonts w:ascii="Times New Roman" w:cs="Times New Roman" w:eastAsia="Times New Roman" w:hAnsi="Times New Roman"/>
          <w:sz w:val="11"/>
          <w:szCs w:val="11"/>
          <w:color w:val="auto"/>
        </w:rPr>
      </w:pPr>
    </w:p>
    <w:p>
      <w:pPr>
        <w:ind w:left="1080" w:hanging="224"/>
        <w:spacing w:after="0"/>
        <w:tabs>
          <w:tab w:leader="none" w:pos="10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35" w:lineRule="exact"/>
        <w:rPr>
          <w:rFonts w:ascii="Times New Roman" w:cs="Times New Roman" w:eastAsia="Times New Roman" w:hAnsi="Times New Roman"/>
          <w:sz w:val="11"/>
          <w:szCs w:val="11"/>
          <w:color w:val="auto"/>
        </w:rPr>
      </w:pPr>
    </w:p>
    <w:p>
      <w:pPr>
        <w:ind w:left="1080" w:hanging="224"/>
        <w:spacing w:after="0"/>
        <w:tabs>
          <w:tab w:leader="none" w:pos="1080" w:val="left"/>
        </w:tabs>
        <w:numPr>
          <w:ilvl w:val="0"/>
          <w:numId w:val="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operating margin = Non-GAAP adjusted income (loss) from operations / GAAP net sales</w:t>
      </w:r>
    </w:p>
    <w:p>
      <w:pPr>
        <w:spacing w:after="0" w:line="179"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9</w:t>
      </w:r>
    </w:p>
    <w:p>
      <w:pPr>
        <w:sectPr>
          <w:pgSz w:w="11900" w:h="16838" w:orient="portrait"/>
          <w:cols w:equalWidth="0" w:num="1">
            <w:col w:w="11300"/>
          </w:cols>
          <w:pgMar w:left="300" w:top="674" w:right="299" w:bottom="1440" w:gutter="0" w:footer="0" w:header="0"/>
          <w:type w:val="continuous"/>
        </w:sectPr>
      </w:pPr>
    </w:p>
    <w:bookmarkStart w:id="12" w:name="page13"/>
    <w:bookmarkEnd w:id="12"/>
    <w:tbl>
      <w:tblPr>
        <w:tblLayout w:type="fixed"/>
        <w:tblInd w:w="420" w:type="dxa"/>
        <w:tblCellMar>
          <w:top w:w="0" w:type="dxa"/>
          <w:left w:w="0" w:type="dxa"/>
          <w:bottom w:w="0" w:type="dxa"/>
          <w:right w:w="0" w:type="dxa"/>
        </w:tblCellMar>
      </w:tblPr>
      <w:tr>
        <w:trPr>
          <w:trHeight w:val="159"/>
        </w:trPr>
        <w:tc>
          <w:tcPr>
            <w:tcW w:w="6820" w:type="dxa"/>
            <w:vAlign w:val="bottom"/>
            <w:gridSpan w:val="4"/>
          </w:tcPr>
          <w:p>
            <w:pPr>
              <w:ind w:left="2120"/>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Non-GAAP Adjusted EBITDA</w:t>
            </w:r>
          </w:p>
        </w:tc>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243"/>
        </w:trPr>
        <w:tc>
          <w:tcPr>
            <w:tcW w:w="54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44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2"/>
        </w:trPr>
        <w:tc>
          <w:tcPr>
            <w:tcW w:w="54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2024</w:t>
            </w:r>
          </w:p>
        </w:tc>
        <w:tc>
          <w:tcPr>
            <w:tcW w:w="8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loss</w:t>
            </w: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60"/>
              <w:spacing w:after="0"/>
              <w:rPr>
                <w:sz w:val="20"/>
                <w:szCs w:val="20"/>
                <w:color w:val="auto"/>
              </w:rPr>
            </w:pPr>
            <w:r>
              <w:rPr>
                <w:rFonts w:ascii="Times New Roman" w:cs="Times New Roman" w:eastAsia="Times New Roman" w:hAnsi="Times New Roman"/>
                <w:sz w:val="12"/>
                <w:szCs w:val="12"/>
                <w:color w:val="auto"/>
              </w:rPr>
              <w:t>(12,537)</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40"/>
              <w:spacing w:after="0"/>
              <w:rPr>
                <w:sz w:val="20"/>
                <w:szCs w:val="20"/>
                <w:color w:val="auto"/>
              </w:rPr>
            </w:pPr>
            <w:r>
              <w:rPr>
                <w:rFonts w:ascii="Times New Roman" w:cs="Times New Roman" w:eastAsia="Times New Roman" w:hAnsi="Times New Roman"/>
                <w:sz w:val="12"/>
                <w:szCs w:val="12"/>
                <w:color w:val="auto"/>
              </w:rPr>
              <w:t>(10,175)</w:t>
            </w:r>
          </w:p>
        </w:tc>
      </w:tr>
      <w:tr>
        <w:trPr>
          <w:trHeight w:val="171"/>
        </w:trPr>
        <w:tc>
          <w:tcPr>
            <w:tcW w:w="5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Provision for income taxes</w:t>
            </w: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506</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1,301</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Interest expense</w:t>
            </w: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5,366</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4,288</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Change in fair value of preferred stock derivatives and warrants</w:t>
            </w: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3,781</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20" w:type="dxa"/>
            <w:vAlign w:val="bottom"/>
            <w:shd w:val="clear" w:color="auto" w:fill="BFE4FF"/>
          </w:tcPr>
          <w:p>
            <w:pPr>
              <w:jc w:val="right"/>
              <w:ind w:right="40"/>
              <w:spacing w:after="0"/>
              <w:rPr>
                <w:sz w:val="20"/>
                <w:szCs w:val="20"/>
                <w:color w:val="auto"/>
              </w:rPr>
            </w:pPr>
            <w:r>
              <w:rPr>
                <w:rFonts w:ascii="Times New Roman" w:cs="Times New Roman" w:eastAsia="Times New Roman" w:hAnsi="Times New Roman"/>
                <w:sz w:val="12"/>
                <w:szCs w:val="12"/>
                <w:color w:val="auto"/>
              </w:rPr>
              <w:t>(2,008)</w:t>
            </w: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Depreciation and amortization</w:t>
            </w: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12,547</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11,516</w:t>
            </w: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Professional fees</w:t>
            </w: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70</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264</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Personnel costs (1)</w:t>
            </w:r>
          </w:p>
        </w:tc>
        <w:tc>
          <w:tcPr>
            <w:tcW w:w="320" w:type="dxa"/>
            <w:vAlign w:val="bottom"/>
          </w:tcPr>
          <w:p>
            <w:pPr>
              <w:spacing w:after="0"/>
              <w:rPr>
                <w:sz w:val="15"/>
                <w:szCs w:val="15"/>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300</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157</w:t>
            </w:r>
          </w:p>
        </w:tc>
      </w:tr>
      <w:tr>
        <w:trPr>
          <w:trHeight w:val="153"/>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Facility costs (2)</w:t>
            </w: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258</w:t>
            </w: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2,739</w:t>
            </w:r>
          </w:p>
        </w:tc>
      </w:tr>
      <w:tr>
        <w:trPr>
          <w:trHeight w:val="180"/>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Non-cash stock compensation</w:t>
            </w:r>
          </w:p>
        </w:tc>
        <w:tc>
          <w:tcPr>
            <w:tcW w:w="320" w:type="dxa"/>
            <w:vAlign w:val="bottom"/>
          </w:tcPr>
          <w:p>
            <w:pPr>
              <w:spacing w:after="0"/>
              <w:rPr>
                <w:sz w:val="15"/>
                <w:szCs w:val="15"/>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845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381</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Non-cash foreign exchange (gain) loss on inter-company loans</w:t>
            </w:r>
          </w:p>
        </w:tc>
        <w:tc>
          <w:tcPr>
            <w:tcW w:w="320" w:type="dxa"/>
            <w:vAlign w:val="bottom"/>
            <w:tcBorders>
              <w:bottom w:val="single" w:sz="8" w:color="auto"/>
            </w:tcBorders>
            <w:shd w:val="clear" w:color="auto" w:fill="BFE4FF"/>
          </w:tcPr>
          <w:p>
            <w:pPr>
              <w:spacing w:after="0"/>
              <w:rPr>
                <w:sz w:val="15"/>
                <w:szCs w:val="15"/>
                <w:color w:val="auto"/>
              </w:rPr>
            </w:pPr>
          </w:p>
        </w:tc>
        <w:tc>
          <w:tcPr>
            <w:tcW w:w="1020" w:type="dxa"/>
            <w:vAlign w:val="bottom"/>
            <w:tcBorders>
              <w:bottom w:val="single" w:sz="8" w:color="auto"/>
            </w:tcBorders>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161</w:t>
            </w:r>
          </w:p>
        </w:tc>
        <w:tc>
          <w:tcPr>
            <w:tcW w:w="80" w:type="dxa"/>
            <w:vAlign w:val="bottom"/>
            <w:shd w:val="clear" w:color="auto" w:fill="BFE4FF"/>
          </w:tcPr>
          <w:p>
            <w:pPr>
              <w:spacing w:after="0"/>
              <w:rPr>
                <w:sz w:val="15"/>
                <w:szCs w:val="15"/>
                <w:color w:val="auto"/>
              </w:rPr>
            </w:pPr>
          </w:p>
        </w:tc>
        <w:tc>
          <w:tcPr>
            <w:tcW w:w="320" w:type="dxa"/>
            <w:vAlign w:val="bottom"/>
            <w:tcBorders>
              <w:bottom w:val="single" w:sz="8" w:color="auto"/>
            </w:tcBorders>
            <w:shd w:val="clear" w:color="auto" w:fill="BFE4FF"/>
          </w:tcPr>
          <w:p>
            <w:pPr>
              <w:spacing w:after="0"/>
              <w:rPr>
                <w:sz w:val="15"/>
                <w:szCs w:val="15"/>
                <w:color w:val="auto"/>
              </w:rPr>
            </w:pPr>
          </w:p>
        </w:tc>
        <w:tc>
          <w:tcPr>
            <w:tcW w:w="1020" w:type="dxa"/>
            <w:vAlign w:val="bottom"/>
            <w:tcBorders>
              <w:bottom w:val="single" w:sz="8" w:color="auto"/>
            </w:tcBorders>
            <w:shd w:val="clear" w:color="auto" w:fill="BFE4FF"/>
          </w:tcPr>
          <w:p>
            <w:pPr>
              <w:jc w:val="right"/>
              <w:ind w:right="40"/>
              <w:spacing w:after="0"/>
              <w:rPr>
                <w:sz w:val="20"/>
                <w:szCs w:val="20"/>
                <w:color w:val="auto"/>
              </w:rPr>
            </w:pPr>
            <w:r>
              <w:rPr>
                <w:rFonts w:ascii="Times New Roman" w:cs="Times New Roman" w:eastAsia="Times New Roman" w:hAnsi="Times New Roman"/>
                <w:sz w:val="12"/>
                <w:szCs w:val="12"/>
                <w:color w:val="auto"/>
              </w:rPr>
              <w:t>(329)</w:t>
            </w:r>
          </w:p>
        </w:tc>
      </w:tr>
      <w:tr>
        <w:trPr>
          <w:trHeight w:val="158"/>
        </w:trPr>
        <w:tc>
          <w:tcPr>
            <w:tcW w:w="540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Non-GAAP adjusted EBITDA (b)</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11,297</w:t>
            </w:r>
          </w:p>
        </w:tc>
        <w:tc>
          <w:tcPr>
            <w:tcW w:w="80" w:type="dxa"/>
            <w:vAlign w:val="bottom"/>
            <w:tcBorders>
              <w:bottom w:val="single" w:sz="8" w:color="BFE4FF"/>
            </w:tcBorders>
          </w:tcPr>
          <w:p>
            <w:pPr>
              <w:spacing w:after="0"/>
              <w:rPr>
                <w:sz w:val="13"/>
                <w:szCs w:val="13"/>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8,134</w:t>
            </w:r>
          </w:p>
        </w:tc>
      </w:tr>
      <w:tr>
        <w:trPr>
          <w:trHeight w:val="153"/>
        </w:trPr>
        <w:tc>
          <w:tcPr>
            <w:tcW w:w="540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spacing w:after="0"/>
              <w:rPr>
                <w:sz w:val="13"/>
                <w:szCs w:val="13"/>
                <w:color w:val="auto"/>
              </w:rPr>
            </w:pPr>
          </w:p>
        </w:tc>
        <w:tc>
          <w:tcPr>
            <w:tcW w:w="8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20" w:type="dxa"/>
            <w:vAlign w:val="bottom"/>
            <w:shd w:val="clear" w:color="auto" w:fill="BFE4FF"/>
          </w:tcPr>
          <w:p>
            <w:pPr>
              <w:spacing w:after="0"/>
              <w:rPr>
                <w:sz w:val="13"/>
                <w:szCs w:val="13"/>
                <w:color w:val="auto"/>
              </w:rPr>
            </w:pPr>
          </w:p>
        </w:tc>
      </w:tr>
      <w:tr>
        <w:trPr>
          <w:trHeight w:val="153"/>
        </w:trPr>
        <w:tc>
          <w:tcPr>
            <w:tcW w:w="540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Non-GAAP adjusted EBITDA margin (3)</w:t>
            </w: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9.3 %</w:t>
            </w: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6.4 %</w:t>
            </w:r>
          </w:p>
        </w:tc>
      </w:tr>
      <w:tr>
        <w:trPr>
          <w:trHeight w:val="180"/>
        </w:trPr>
        <w:tc>
          <w:tcPr>
            <w:tcW w:w="540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sales</w:t>
            </w: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121,198</w:t>
            </w:r>
          </w:p>
        </w:tc>
        <w:tc>
          <w:tcPr>
            <w:tcW w:w="80" w:type="dxa"/>
            <w:vAlign w:val="bottom"/>
            <w:shd w:val="clear" w:color="auto" w:fill="BFE4FF"/>
          </w:tcPr>
          <w:p>
            <w:pPr>
              <w:spacing w:after="0"/>
              <w:rPr>
                <w:sz w:val="15"/>
                <w:szCs w:val="15"/>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20" w:type="dxa"/>
            <w:vAlign w:val="bottom"/>
            <w:shd w:val="clear" w:color="auto" w:fill="BFE4FF"/>
          </w:tcPr>
          <w:p>
            <w:pPr>
              <w:jc w:val="right"/>
              <w:ind w:right="80"/>
              <w:spacing w:after="0"/>
              <w:rPr>
                <w:sz w:val="20"/>
                <w:szCs w:val="20"/>
                <w:color w:val="auto"/>
              </w:rPr>
            </w:pPr>
            <w:r>
              <w:rPr>
                <w:rFonts w:ascii="Times New Roman" w:cs="Times New Roman" w:eastAsia="Times New Roman" w:hAnsi="Times New Roman"/>
                <w:sz w:val="12"/>
                <w:szCs w:val="12"/>
                <w:color w:val="auto"/>
              </w:rPr>
              <w:t>127,088</w:t>
            </w:r>
          </w:p>
        </w:tc>
      </w:tr>
    </w:tbl>
    <w:p>
      <w:pPr>
        <w:spacing w:after="0" w:line="252" w:lineRule="exact"/>
        <w:rPr>
          <w:sz w:val="20"/>
          <w:szCs w:val="20"/>
          <w:color w:val="auto"/>
        </w:rPr>
      </w:pPr>
    </w:p>
    <w:p>
      <w:pPr>
        <w:ind w:left="860" w:hanging="151"/>
        <w:spacing w:after="0"/>
        <w:tabs>
          <w:tab w:leader="none" w:pos="8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Personnel costs include recruitment, retention, relocation, and severance costs</w:t>
      </w:r>
    </w:p>
    <w:p>
      <w:pPr>
        <w:spacing w:after="0" w:line="35"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Facility costs include costs of opening / closing facilities and relocation / exit of manufacturing operations</w:t>
      </w:r>
    </w:p>
    <w:p>
      <w:pPr>
        <w:spacing w:after="0" w:line="116" w:lineRule="exact"/>
        <w:rPr>
          <w:rFonts w:ascii="Times New Roman" w:cs="Times New Roman" w:eastAsia="Times New Roman" w:hAnsi="Times New Roman"/>
          <w:sz w:val="11"/>
          <w:szCs w:val="11"/>
          <w:color w:val="auto"/>
        </w:rPr>
      </w:pPr>
    </w:p>
    <w:p>
      <w:pPr>
        <w:ind w:left="860" w:hanging="151"/>
        <w:spacing w:after="0"/>
        <w:tabs>
          <w:tab w:leader="none" w:pos="860" w:val="left"/>
        </w:tabs>
        <w:numPr>
          <w:ilvl w:val="0"/>
          <w:numId w:val="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Non-GAAP adjusted EBITDA margin = Non-GAAP adjusted EBITDA / GAAP net sales</w:t>
      </w:r>
    </w:p>
    <w:p>
      <w:pPr>
        <w:spacing w:after="0" w:line="200" w:lineRule="exact"/>
        <w:rPr>
          <w:sz w:val="20"/>
          <w:szCs w:val="20"/>
          <w:color w:val="auto"/>
        </w:rPr>
      </w:pPr>
    </w:p>
    <w:p>
      <w:pPr>
        <w:spacing w:after="0" w:line="258"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10</w:t>
      </w:r>
    </w:p>
    <w:p>
      <w:pPr>
        <w:sectPr>
          <w:pgSz w:w="11900" w:h="16838" w:orient="portrait"/>
          <w:cols w:equalWidth="0" w:num="1">
            <w:col w:w="10160"/>
          </w:cols>
          <w:pgMar w:left="1440" w:top="674"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2"/>
          <w:szCs w:val="12"/>
          <w:b w:val="1"/>
          <w:bCs w:val="1"/>
          <w:color w:val="auto"/>
        </w:rPr>
        <w:t>Reconciliation of GAAP Net Income (Loss) to Non-GAAP Adjusted Net Income and GAAP Net Income (Loss) per Diluted Common Share to Non-GAAP Adjusted Net Income (Loss) per Diluted Common Share</w:t>
      </w:r>
    </w:p>
    <w:p>
      <w:pPr>
        <w:spacing w:after="0" w:line="339" w:lineRule="exact"/>
        <w:rPr>
          <w:sz w:val="20"/>
          <w:szCs w:val="20"/>
          <w:color w:val="auto"/>
        </w:rPr>
      </w:pPr>
    </w:p>
    <w:tbl>
      <w:tblPr>
        <w:tblLayout w:type="fixed"/>
        <w:tblInd w:w="680" w:type="dxa"/>
        <w:tblCellMar>
          <w:top w:w="0" w:type="dxa"/>
          <w:left w:w="0" w:type="dxa"/>
          <w:bottom w:w="0" w:type="dxa"/>
          <w:right w:w="0" w:type="dxa"/>
        </w:tblCellMar>
      </w:tblPr>
      <w:tr>
        <w:trPr>
          <w:trHeight w:val="159"/>
        </w:trPr>
        <w:tc>
          <w:tcPr>
            <w:tcW w:w="65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2"/>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0"/>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loss</w:t>
            </w: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(12,537)</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(10,175)</w:t>
            </w:r>
          </w:p>
        </w:tc>
      </w:tr>
      <w:tr>
        <w:trPr>
          <w:trHeight w:val="180"/>
        </w:trPr>
        <w:tc>
          <w:tcPr>
            <w:tcW w:w="6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professional fees</w:t>
            </w: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70</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264</w:t>
            </w: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personnel costs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300</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157</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facility costs</w:t>
            </w: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258</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2,739</w:t>
            </w: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Non-cash foreign exchange (gain) loss on inter-company loans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161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(329)</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change in fair value of preferred stock derivatives and warrants</w:t>
            </w: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3,781</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(2,008)</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amortization of intangibles and deferred financing costs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4,000</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3,917</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Tax effect of adjustments reflected above (c)</w:t>
            </w:r>
          </w:p>
        </w:tc>
        <w:tc>
          <w:tcPr>
            <w:tcW w:w="320" w:type="dxa"/>
            <w:vAlign w:val="bottom"/>
            <w:tcBorders>
              <w:bottom w:val="single" w:sz="8" w:color="auto"/>
            </w:tcBorders>
            <w:shd w:val="clear" w:color="auto" w:fill="BFE4FF"/>
          </w:tcPr>
          <w:p>
            <w:pPr>
              <w:spacing w:after="0"/>
              <w:rPr>
                <w:sz w:val="13"/>
                <w:szCs w:val="13"/>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(29)</w:t>
            </w:r>
          </w:p>
        </w:tc>
        <w:tc>
          <w:tcPr>
            <w:tcW w:w="140" w:type="dxa"/>
            <w:vAlign w:val="bottom"/>
            <w:shd w:val="clear" w:color="auto" w:fill="BFE4FF"/>
          </w:tcPr>
          <w:p>
            <w:pPr>
              <w:spacing w:after="0"/>
              <w:rPr>
                <w:sz w:val="13"/>
                <w:szCs w:val="13"/>
                <w:color w:val="auto"/>
              </w:rPr>
            </w:pPr>
          </w:p>
        </w:tc>
        <w:tc>
          <w:tcPr>
            <w:tcW w:w="320" w:type="dxa"/>
            <w:vAlign w:val="bottom"/>
            <w:tcBorders>
              <w:bottom w:val="single" w:sz="8" w:color="auto"/>
            </w:tcBorders>
            <w:shd w:val="clear" w:color="auto" w:fill="BFE4FF"/>
          </w:tcPr>
          <w:p>
            <w:pPr>
              <w:spacing w:after="0"/>
              <w:rPr>
                <w:sz w:val="13"/>
                <w:szCs w:val="13"/>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(259)</w:t>
            </w:r>
          </w:p>
        </w:tc>
      </w:tr>
      <w:tr>
        <w:trPr>
          <w:trHeight w:val="142"/>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Non-GAAP adjusted net income (loss) (d)</w:t>
            </w: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(3,996)</w:t>
            </w:r>
          </w:p>
        </w:tc>
        <w:tc>
          <w:tcPr>
            <w:tcW w:w="140" w:type="dxa"/>
            <w:vAlign w:val="bottom"/>
          </w:tcPr>
          <w:p>
            <w:pPr>
              <w:spacing w:after="0"/>
              <w:rPr>
                <w:sz w:val="12"/>
                <w:szCs w:val="12"/>
                <w:color w:val="auto"/>
              </w:rPr>
            </w:pPr>
          </w:p>
        </w:tc>
        <w:tc>
          <w:tcPr>
            <w:tcW w:w="32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(5,694)</w:t>
            </w:r>
          </w:p>
        </w:tc>
      </w:tr>
      <w:tr>
        <w:trPr>
          <w:trHeight w:val="20"/>
        </w:trPr>
        <w:tc>
          <w:tcPr>
            <w:tcW w:w="65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291"/>
        </w:trPr>
        <w:tc>
          <w:tcPr>
            <w:tcW w:w="65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560"/>
              <w:spacing w:after="0"/>
              <w:rPr>
                <w:sz w:val="20"/>
                <w:szCs w:val="20"/>
                <w:color w:val="auto"/>
              </w:rPr>
            </w:pPr>
            <w:r>
              <w:rPr>
                <w:rFonts w:ascii="Times New Roman" w:cs="Times New Roman" w:eastAsia="Times New Roman" w:hAnsi="Times New Roman"/>
                <w:sz w:val="12"/>
                <w:szCs w:val="12"/>
                <w:b w:val="1"/>
                <w:bCs w:val="1"/>
                <w:color w:val="auto"/>
              </w:rPr>
              <w:t>Three Months Ended March 31,</w:t>
            </w:r>
          </w:p>
        </w:tc>
      </w:tr>
      <w:tr>
        <w:trPr>
          <w:trHeight w:val="142"/>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b w:val="1"/>
                <w:bCs w:val="1"/>
                <w:i w:val="1"/>
                <w:iCs w:val="1"/>
                <w:color w:val="auto"/>
              </w:rPr>
              <w:t>(per diluted common share)</w:t>
            </w: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40" w:type="dxa"/>
            <w:vAlign w:val="bottom"/>
            <w:tcBorders>
              <w:bottom w:val="single" w:sz="8" w:color="BFE4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2"/>
                <w:szCs w:val="12"/>
                <w:b w:val="1"/>
                <w:bCs w:val="1"/>
                <w:color w:val="auto"/>
              </w:rPr>
              <w:t>2023</w:t>
            </w:r>
          </w:p>
        </w:tc>
      </w:tr>
      <w:tr>
        <w:trPr>
          <w:trHeight w:val="160"/>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GAAP net loss per diluted common share</w:t>
            </w: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(0.34)</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jc w:val="right"/>
              <w:ind w:right="180"/>
              <w:spacing w:after="0"/>
              <w:rPr>
                <w:sz w:val="20"/>
                <w:szCs w:val="20"/>
                <w:color w:val="auto"/>
              </w:rPr>
            </w:pPr>
            <w:r>
              <w:rPr>
                <w:rFonts w:ascii="Times New Roman" w:cs="Times New Roman" w:eastAsia="Times New Roman" w:hAnsi="Times New Roman"/>
                <w:sz w:val="12"/>
                <w:szCs w:val="12"/>
                <w:color w:val="auto"/>
                <w:w w:val="99"/>
              </w:rPr>
              <w:t>$</w:t>
            </w: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(0.29)</w:t>
            </w:r>
          </w:p>
        </w:tc>
      </w:tr>
      <w:tr>
        <w:trPr>
          <w:trHeight w:val="180"/>
        </w:trPr>
        <w:tc>
          <w:tcPr>
            <w:tcW w:w="6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professional fees</w:t>
            </w:r>
          </w:p>
        </w:tc>
        <w:tc>
          <w:tcPr>
            <w:tcW w:w="320" w:type="dxa"/>
            <w:vAlign w:val="bottom"/>
            <w:shd w:val="clear" w:color="auto" w:fill="BFE4FF"/>
          </w:tcPr>
          <w:p>
            <w:pPr>
              <w:spacing w:after="0"/>
              <w:rPr>
                <w:sz w:val="13"/>
                <w:szCs w:val="13"/>
                <w:color w:val="auto"/>
              </w:rPr>
            </w:pPr>
          </w:p>
        </w:tc>
        <w:tc>
          <w:tcPr>
            <w:tcW w:w="118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80"/>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personnel costs</w:t>
            </w: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80"/>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facility costs</w:t>
            </w:r>
          </w:p>
        </w:tc>
        <w:tc>
          <w:tcPr>
            <w:tcW w:w="320" w:type="dxa"/>
            <w:vAlign w:val="bottom"/>
            <w:shd w:val="clear" w:color="auto" w:fill="BFE4FF"/>
          </w:tcPr>
          <w:p>
            <w:pPr>
              <w:spacing w:after="0"/>
              <w:rPr>
                <w:sz w:val="15"/>
                <w:szCs w:val="15"/>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140" w:type="dxa"/>
            <w:vAlign w:val="bottom"/>
            <w:shd w:val="clear" w:color="auto" w:fill="BFE4FF"/>
          </w:tcPr>
          <w:p>
            <w:pPr>
              <w:spacing w:after="0"/>
              <w:rPr>
                <w:sz w:val="15"/>
                <w:szCs w:val="15"/>
                <w:color w:val="auto"/>
              </w:rPr>
            </w:pPr>
          </w:p>
        </w:tc>
        <w:tc>
          <w:tcPr>
            <w:tcW w:w="320" w:type="dxa"/>
            <w:vAlign w:val="bottom"/>
            <w:shd w:val="clear" w:color="auto" w:fill="BFE4FF"/>
          </w:tcPr>
          <w:p>
            <w:pPr>
              <w:spacing w:after="0"/>
              <w:rPr>
                <w:sz w:val="15"/>
                <w:szCs w:val="15"/>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0.06</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foreign exchange (gain) loss on inter-company loans</w:t>
            </w:r>
          </w:p>
        </w:tc>
        <w:tc>
          <w:tcPr>
            <w:tcW w:w="320" w:type="dxa"/>
            <w:vAlign w:val="bottom"/>
          </w:tcPr>
          <w:p>
            <w:pPr>
              <w:spacing w:after="0"/>
              <w:rPr>
                <w:sz w:val="13"/>
                <w:szCs w:val="13"/>
                <w:color w:val="auto"/>
              </w:rPr>
            </w:pPr>
          </w:p>
        </w:tc>
        <w:tc>
          <w:tcPr>
            <w:tcW w:w="1180" w:type="dxa"/>
            <w:vAlign w:val="bottom"/>
            <w:gridSpan w:val="2"/>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Pre-tax change in fair value of preferred stock derivatives and warrants</w:t>
            </w: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140" w:type="dxa"/>
            <w:vAlign w:val="bottom"/>
            <w:shd w:val="clear" w:color="auto" w:fill="BFE4FF"/>
          </w:tcPr>
          <w:p>
            <w:pPr>
              <w:spacing w:after="0"/>
              <w:rPr>
                <w:sz w:val="13"/>
                <w:szCs w:val="13"/>
                <w:color w:val="auto"/>
              </w:rPr>
            </w:pP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(0.04)</w:t>
            </w:r>
          </w:p>
        </w:tc>
      </w:tr>
      <w:tr>
        <w:trPr>
          <w:trHeight w:val="153"/>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Pre-tax amortization of intangibles and deferred financing costs</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0.09</w:t>
            </w:r>
          </w:p>
        </w:tc>
      </w:tr>
      <w:tr>
        <w:trPr>
          <w:trHeight w:val="153"/>
        </w:trPr>
        <w:tc>
          <w:tcPr>
            <w:tcW w:w="6520" w:type="dxa"/>
            <w:vAlign w:val="bottom"/>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Tax effect of adjustments reflected above (c)</w:t>
            </w:r>
          </w:p>
        </w:tc>
        <w:tc>
          <w:tcPr>
            <w:tcW w:w="320" w:type="dxa"/>
            <w:vAlign w:val="bottom"/>
            <w:shd w:val="clear" w:color="auto" w:fill="BFE4FF"/>
          </w:tcPr>
          <w:p>
            <w:pPr>
              <w:spacing w:after="0"/>
              <w:rPr>
                <w:sz w:val="13"/>
                <w:szCs w:val="13"/>
                <w:color w:val="auto"/>
              </w:rPr>
            </w:pPr>
          </w:p>
        </w:tc>
        <w:tc>
          <w:tcPr>
            <w:tcW w:w="1180" w:type="dxa"/>
            <w:vAlign w:val="bottom"/>
            <w:gridSpan w:val="2"/>
            <w:shd w:val="clear" w:color="auto" w:fill="BFE4FF"/>
          </w:tcPr>
          <w:p>
            <w:pPr>
              <w:jc w:val="right"/>
              <w:ind w:right="200"/>
              <w:spacing w:after="0"/>
              <w:rPr>
                <w:sz w:val="20"/>
                <w:szCs w:val="20"/>
                <w:color w:val="auto"/>
              </w:rPr>
            </w:pPr>
            <w:r>
              <w:rPr>
                <w:rFonts w:ascii="Times New Roman" w:cs="Times New Roman" w:eastAsia="Times New Roman" w:hAnsi="Times New Roman"/>
                <w:sz w:val="12"/>
                <w:szCs w:val="12"/>
                <w:color w:val="auto"/>
              </w:rPr>
              <w:t>—</w:t>
            </w:r>
          </w:p>
        </w:tc>
        <w:tc>
          <w:tcPr>
            <w:tcW w:w="320" w:type="dxa"/>
            <w:vAlign w:val="bottom"/>
            <w:shd w:val="clear" w:color="auto" w:fill="BFE4FF"/>
          </w:tcPr>
          <w:p>
            <w:pPr>
              <w:spacing w:after="0"/>
              <w:rPr>
                <w:sz w:val="13"/>
                <w:szCs w:val="13"/>
                <w:color w:val="auto"/>
              </w:rPr>
            </w:pPr>
          </w:p>
        </w:tc>
        <w:tc>
          <w:tcPr>
            <w:tcW w:w="104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6520" w:type="dxa"/>
            <w:vAlign w:val="bottom"/>
            <w:tcBorders>
              <w:bottom w:val="single" w:sz="8" w:color="BFE4FF"/>
            </w:tcBorders>
          </w:tcPr>
          <w:p>
            <w:pPr>
              <w:ind w:left="20"/>
              <w:spacing w:after="0"/>
              <w:rPr>
                <w:sz w:val="20"/>
                <w:szCs w:val="20"/>
                <w:color w:val="auto"/>
              </w:rPr>
            </w:pPr>
            <w:r>
              <w:rPr>
                <w:rFonts w:ascii="Times New Roman" w:cs="Times New Roman" w:eastAsia="Times New Roman" w:hAnsi="Times New Roman"/>
                <w:sz w:val="12"/>
                <w:szCs w:val="12"/>
                <w:color w:val="auto"/>
              </w:rPr>
              <w:t>Preferred stock cumulative dividends and deemed dividends</w:t>
            </w: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140" w:type="dxa"/>
            <w:vAlign w:val="bottom"/>
            <w:tcBorders>
              <w:bottom w:val="single" w:sz="8" w:color="BFE4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0.07</w:t>
            </w:r>
          </w:p>
        </w:tc>
      </w:tr>
      <w:tr>
        <w:trPr>
          <w:trHeight w:val="162"/>
        </w:trPr>
        <w:tc>
          <w:tcPr>
            <w:tcW w:w="6520" w:type="dxa"/>
            <w:vAlign w:val="bottom"/>
            <w:tcBorders>
              <w:bottom w:val="single" w:sz="8" w:color="BFE4FF"/>
            </w:tcBorders>
            <w:shd w:val="clear" w:color="auto" w:fill="BFE4FF"/>
          </w:tcPr>
          <w:p>
            <w:pPr>
              <w:ind w:left="20"/>
              <w:spacing w:after="0"/>
              <w:rPr>
                <w:sz w:val="20"/>
                <w:szCs w:val="20"/>
                <w:color w:val="auto"/>
              </w:rPr>
            </w:pPr>
            <w:r>
              <w:rPr>
                <w:rFonts w:ascii="Times New Roman" w:cs="Times New Roman" w:eastAsia="Times New Roman" w:hAnsi="Times New Roman"/>
                <w:sz w:val="12"/>
                <w:szCs w:val="12"/>
                <w:color w:val="auto"/>
              </w:rPr>
              <w:t>Non-GAAP adjusted net income (loss) per diluted common share (d)</w:t>
            </w:r>
          </w:p>
        </w:tc>
        <w:tc>
          <w:tcPr>
            <w:tcW w:w="320" w:type="dxa"/>
            <w:vAlign w:val="bottom"/>
            <w:tcBorders>
              <w:bottom w:val="single" w:sz="8" w:color="auto"/>
            </w:tcBorders>
            <w:shd w:val="clear" w:color="auto" w:fill="BFE4FF"/>
          </w:tcPr>
          <w:p>
            <w:pPr>
              <w:spacing w:after="0"/>
              <w:rPr>
                <w:sz w:val="14"/>
                <w:szCs w:val="14"/>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140" w:type="dxa"/>
            <w:vAlign w:val="bottom"/>
            <w:tcBorders>
              <w:bottom w:val="single" w:sz="8" w:color="BFE4FF"/>
            </w:tcBorders>
            <w:shd w:val="clear" w:color="auto" w:fill="BFE4FF"/>
          </w:tcPr>
          <w:p>
            <w:pPr>
              <w:spacing w:after="0"/>
              <w:rPr>
                <w:sz w:val="14"/>
                <w:szCs w:val="14"/>
                <w:color w:val="auto"/>
              </w:rPr>
            </w:pPr>
          </w:p>
        </w:tc>
        <w:tc>
          <w:tcPr>
            <w:tcW w:w="320" w:type="dxa"/>
            <w:vAlign w:val="bottom"/>
            <w:tcBorders>
              <w:bottom w:val="single" w:sz="8" w:color="auto"/>
            </w:tcBorders>
            <w:shd w:val="clear" w:color="auto" w:fill="BFE4FF"/>
          </w:tcPr>
          <w:p>
            <w:pPr>
              <w:spacing w:after="0"/>
              <w:rPr>
                <w:sz w:val="14"/>
                <w:szCs w:val="14"/>
                <w:color w:val="auto"/>
              </w:rPr>
            </w:pPr>
          </w:p>
        </w:tc>
        <w:tc>
          <w:tcPr>
            <w:tcW w:w="104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$(0.12)</w:t>
            </w:r>
          </w:p>
        </w:tc>
      </w:tr>
      <w:tr>
        <w:trPr>
          <w:trHeight w:val="151"/>
        </w:trPr>
        <w:tc>
          <w:tcPr>
            <w:tcW w:w="652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Shares used to calculate net earnings (loss) per share</w:t>
            </w: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47,724</w:t>
            </w: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45,309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11</w:t>
      </w:r>
    </w:p>
    <w:p>
      <w:pPr>
        <w:sectPr>
          <w:pgSz w:w="11900" w:h="16838" w:orient="portrait"/>
          <w:cols w:equalWidth="0" w:num="1">
            <w:col w:w="11020"/>
          </w:cols>
          <w:pgMar w:left="580" w:top="674" w:right="299" w:bottom="1440" w:gutter="0" w:footer="0" w:header="0"/>
        </w:sectPr>
      </w:pPr>
    </w:p>
    <w:bookmarkStart w:id="14" w:name="page15"/>
    <w:bookmarkEnd w:id="14"/>
    <w:tbl>
      <w:tblPr>
        <w:tblLayout w:type="fixed"/>
        <w:tblInd w:w="700" w:type="dxa"/>
        <w:tblCellMar>
          <w:top w:w="0" w:type="dxa"/>
          <w:left w:w="0" w:type="dxa"/>
          <w:bottom w:w="0" w:type="dxa"/>
          <w:right w:w="0" w:type="dxa"/>
        </w:tblCellMar>
      </w:tblPr>
      <w:tr>
        <w:trPr>
          <w:trHeight w:val="159"/>
        </w:trPr>
        <w:tc>
          <w:tcPr>
            <w:tcW w:w="2260" w:type="dxa"/>
            <w:vAlign w:val="bottom"/>
          </w:tcPr>
          <w:p>
            <w:pPr>
              <w:spacing w:after="0"/>
              <w:rPr>
                <w:sz w:val="13"/>
                <w:szCs w:val="13"/>
                <w:color w:val="auto"/>
              </w:rPr>
            </w:pPr>
          </w:p>
        </w:tc>
        <w:tc>
          <w:tcPr>
            <w:tcW w:w="3140" w:type="dxa"/>
            <w:vAlign w:val="bottom"/>
            <w:gridSpan w:val="2"/>
          </w:tcPr>
          <w:p>
            <w:pPr>
              <w:jc w:val="right"/>
              <w:ind w:right="66"/>
              <w:spacing w:after="0"/>
              <w:rPr>
                <w:sz w:val="20"/>
                <w:szCs w:val="20"/>
                <w:color w:val="auto"/>
              </w:rPr>
            </w:pPr>
            <w:r>
              <w:rPr>
                <w:rFonts w:ascii="Times New Roman" w:cs="Times New Roman" w:eastAsia="Times New Roman" w:hAnsi="Times New Roman"/>
                <w:sz w:val="12"/>
                <w:szCs w:val="12"/>
                <w:b w:val="1"/>
                <w:bCs w:val="1"/>
                <w:color w:val="auto"/>
              </w:rPr>
              <w:t>Reconciliation of Operating Cash Flow to Free Cash Flow</w:t>
            </w: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174"/>
        </w:trPr>
        <w:tc>
          <w:tcPr>
            <w:tcW w:w="2260" w:type="dxa"/>
            <w:vAlign w:val="bottom"/>
          </w:tcPr>
          <w:p>
            <w:pPr>
              <w:spacing w:after="0"/>
              <w:rPr>
                <w:sz w:val="15"/>
                <w:szCs w:val="15"/>
                <w:color w:val="auto"/>
              </w:rPr>
            </w:pPr>
          </w:p>
        </w:tc>
        <w:tc>
          <w:tcPr>
            <w:tcW w:w="2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2"/>
                <w:szCs w:val="12"/>
                <w:b w:val="1"/>
                <w:bCs w:val="1"/>
                <w:color w:val="auto"/>
              </w:rPr>
              <w:t>Three Months Ended</w:t>
            </w:r>
          </w:p>
        </w:tc>
        <w:tc>
          <w:tcPr>
            <w:tcW w:w="780" w:type="dxa"/>
            <w:vAlign w:val="bottom"/>
          </w:tcPr>
          <w:p>
            <w:pPr>
              <w:spacing w:after="0"/>
              <w:rPr>
                <w:sz w:val="15"/>
                <w:szCs w:val="15"/>
                <w:color w:val="auto"/>
              </w:rPr>
            </w:pPr>
          </w:p>
        </w:tc>
      </w:tr>
      <w:tr>
        <w:trPr>
          <w:trHeight w:val="159"/>
        </w:trPr>
        <w:tc>
          <w:tcPr>
            <w:tcW w:w="226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gridSpan w:val="3"/>
          </w:tcPr>
          <w:p>
            <w:pPr>
              <w:jc w:val="right"/>
              <w:ind w:right="226"/>
              <w:spacing w:after="0"/>
              <w:rPr>
                <w:sz w:val="20"/>
                <w:szCs w:val="20"/>
                <w:color w:val="auto"/>
              </w:rPr>
            </w:pPr>
            <w:r>
              <w:rPr>
                <w:rFonts w:ascii="Times New Roman" w:cs="Times New Roman" w:eastAsia="Times New Roman" w:hAnsi="Times New Roman"/>
                <w:sz w:val="12"/>
                <w:szCs w:val="12"/>
                <w:b w:val="1"/>
                <w:bCs w:val="1"/>
                <w:color w:val="auto"/>
              </w:rPr>
              <w:t>March 31,</w:t>
            </w:r>
          </w:p>
        </w:tc>
        <w:tc>
          <w:tcPr>
            <w:tcW w:w="780" w:type="dxa"/>
            <w:vAlign w:val="bottom"/>
            <w:tcBorders>
              <w:bottom w:val="single" w:sz="8" w:color="auto"/>
            </w:tcBorders>
          </w:tcPr>
          <w:p>
            <w:pPr>
              <w:spacing w:after="0"/>
              <w:rPr>
                <w:sz w:val="13"/>
                <w:szCs w:val="13"/>
                <w:color w:val="auto"/>
              </w:rPr>
            </w:pPr>
          </w:p>
        </w:tc>
      </w:tr>
      <w:tr>
        <w:trPr>
          <w:trHeight w:val="142"/>
        </w:trPr>
        <w:tc>
          <w:tcPr>
            <w:tcW w:w="226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b w:val="1"/>
                <w:bCs w:val="1"/>
                <w:i w:val="1"/>
                <w:iCs w:val="1"/>
                <w:color w:val="auto"/>
              </w:rPr>
              <w:t>(in thousands)</w:t>
            </w:r>
          </w:p>
        </w:tc>
        <w:tc>
          <w:tcPr>
            <w:tcW w:w="2740" w:type="dxa"/>
            <w:vAlign w:val="bottom"/>
            <w:tcBorders>
              <w:bottom w:val="single" w:sz="8" w:color="BFE4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rPr>
              <w:t>2024</w:t>
            </w: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2"/>
                <w:szCs w:val="12"/>
                <w:b w:val="1"/>
                <w:bCs w:val="1"/>
                <w:color w:val="auto"/>
                <w:w w:val="99"/>
              </w:rPr>
              <w:t>2023</w:t>
            </w:r>
          </w:p>
        </w:tc>
      </w:tr>
      <w:tr>
        <w:trPr>
          <w:trHeight w:val="142"/>
        </w:trPr>
        <w:tc>
          <w:tcPr>
            <w:tcW w:w="2260" w:type="dxa"/>
            <w:vAlign w:val="bottom"/>
            <w:shd w:val="clear" w:color="auto" w:fill="BFE4FF"/>
          </w:tcPr>
          <w:p>
            <w:pPr>
              <w:spacing w:after="0"/>
              <w:rPr>
                <w:sz w:val="20"/>
                <w:szCs w:val="20"/>
                <w:color w:val="auto"/>
              </w:rPr>
            </w:pPr>
            <w:r>
              <w:rPr>
                <w:rFonts w:ascii="Times New Roman" w:cs="Times New Roman" w:eastAsia="Times New Roman" w:hAnsi="Times New Roman"/>
                <w:sz w:val="12"/>
                <w:szCs w:val="12"/>
                <w:color w:val="auto"/>
              </w:rPr>
              <w:t>Net cash provided by operating activities</w:t>
            </w:r>
          </w:p>
        </w:tc>
        <w:tc>
          <w:tcPr>
            <w:tcW w:w="2740" w:type="dxa"/>
            <w:vAlign w:val="bottom"/>
            <w:shd w:val="clear" w:color="auto" w:fill="BFE4FF"/>
          </w:tcPr>
          <w:p>
            <w:pPr>
              <w:spacing w:after="0"/>
              <w:rPr>
                <w:sz w:val="12"/>
                <w:szCs w:val="12"/>
                <w:color w:val="auto"/>
              </w:rPr>
            </w:pPr>
          </w:p>
        </w:tc>
        <w:tc>
          <w:tcPr>
            <w:tcW w:w="400" w:type="dxa"/>
            <w:vAlign w:val="bottom"/>
            <w:shd w:val="clear" w:color="auto" w:fill="BFE4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712</w:t>
            </w:r>
          </w:p>
        </w:tc>
        <w:tc>
          <w:tcPr>
            <w:tcW w:w="100" w:type="dxa"/>
            <w:vAlign w:val="bottom"/>
            <w:shd w:val="clear" w:color="auto" w:fill="BFE4FF"/>
          </w:tcPr>
          <w:p>
            <w:pPr>
              <w:spacing w:after="0"/>
              <w:rPr>
                <w:sz w:val="12"/>
                <w:szCs w:val="12"/>
                <w:color w:val="auto"/>
              </w:rPr>
            </w:pPr>
          </w:p>
        </w:tc>
        <w:tc>
          <w:tcPr>
            <w:tcW w:w="480" w:type="dxa"/>
            <w:vAlign w:val="bottom"/>
            <w:shd w:val="clear" w:color="auto" w:fill="BFE4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226</w:t>
            </w:r>
          </w:p>
        </w:tc>
      </w:tr>
      <w:tr>
        <w:trPr>
          <w:trHeight w:val="153"/>
        </w:trPr>
        <w:tc>
          <w:tcPr>
            <w:tcW w:w="2260" w:type="dxa"/>
            <w:vAlign w:val="bottom"/>
          </w:tcPr>
          <w:p>
            <w:pPr>
              <w:spacing w:after="0"/>
              <w:rPr>
                <w:sz w:val="20"/>
                <w:szCs w:val="20"/>
                <w:color w:val="auto"/>
              </w:rPr>
            </w:pPr>
            <w:r>
              <w:rPr>
                <w:rFonts w:ascii="Times New Roman" w:cs="Times New Roman" w:eastAsia="Times New Roman" w:hAnsi="Times New Roman"/>
                <w:sz w:val="12"/>
                <w:szCs w:val="12"/>
                <w:color w:val="auto"/>
              </w:rPr>
              <w:t>Acquisition of property, plant, and equipment</w:t>
            </w:r>
          </w:p>
        </w:tc>
        <w:tc>
          <w:tcPr>
            <w:tcW w:w="27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(5,460)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(4,997)</w:t>
            </w:r>
          </w:p>
        </w:tc>
      </w:tr>
      <w:tr>
        <w:trPr>
          <w:trHeight w:val="153"/>
        </w:trPr>
        <w:tc>
          <w:tcPr>
            <w:tcW w:w="5400" w:type="dxa"/>
            <w:vAlign w:val="bottom"/>
            <w:gridSpan w:val="3"/>
            <w:shd w:val="clear" w:color="auto" w:fill="BFE4FF"/>
          </w:tcPr>
          <w:p>
            <w:pPr>
              <w:spacing w:after="0"/>
              <w:rPr>
                <w:sz w:val="20"/>
                <w:szCs w:val="20"/>
                <w:color w:val="auto"/>
              </w:rPr>
            </w:pPr>
            <w:r>
              <w:rPr>
                <w:rFonts w:ascii="Times New Roman" w:cs="Times New Roman" w:eastAsia="Times New Roman" w:hAnsi="Times New Roman"/>
                <w:sz w:val="12"/>
                <w:szCs w:val="12"/>
                <w:color w:val="auto"/>
              </w:rPr>
              <w:t>Proceeds from sale of property, plant, and equipment</w:t>
            </w:r>
          </w:p>
        </w:tc>
        <w:tc>
          <w:tcPr>
            <w:tcW w:w="86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98</w:t>
            </w:r>
          </w:p>
        </w:tc>
        <w:tc>
          <w:tcPr>
            <w:tcW w:w="100" w:type="dxa"/>
            <w:vAlign w:val="bottom"/>
            <w:shd w:val="clear" w:color="auto" w:fill="BFE4FF"/>
          </w:tcPr>
          <w:p>
            <w:pPr>
              <w:spacing w:after="0"/>
              <w:rPr>
                <w:sz w:val="13"/>
                <w:szCs w:val="13"/>
                <w:color w:val="auto"/>
              </w:rPr>
            </w:pPr>
          </w:p>
        </w:tc>
        <w:tc>
          <w:tcPr>
            <w:tcW w:w="480" w:type="dxa"/>
            <w:vAlign w:val="bottom"/>
            <w:shd w:val="clear" w:color="auto" w:fill="BFE4FF"/>
          </w:tcPr>
          <w:p>
            <w:pPr>
              <w:spacing w:after="0"/>
              <w:rPr>
                <w:sz w:val="13"/>
                <w:szCs w:val="13"/>
                <w:color w:val="auto"/>
              </w:rPr>
            </w:pPr>
          </w:p>
        </w:tc>
        <w:tc>
          <w:tcPr>
            <w:tcW w:w="780" w:type="dxa"/>
            <w:vAlign w:val="bottom"/>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1,035</w:t>
            </w:r>
          </w:p>
        </w:tc>
      </w:tr>
      <w:tr>
        <w:trPr>
          <w:trHeight w:val="153"/>
        </w:trPr>
        <w:tc>
          <w:tcPr>
            <w:tcW w:w="2260" w:type="dxa"/>
            <w:vAlign w:val="bottom"/>
            <w:tcBorders>
              <w:bottom w:val="single" w:sz="8" w:color="BFE4FF"/>
            </w:tcBorders>
          </w:tcPr>
          <w:p>
            <w:pPr>
              <w:spacing w:after="0"/>
              <w:rPr>
                <w:sz w:val="20"/>
                <w:szCs w:val="20"/>
                <w:color w:val="auto"/>
              </w:rPr>
            </w:pPr>
            <w:r>
              <w:rPr>
                <w:rFonts w:ascii="Times New Roman" w:cs="Times New Roman" w:eastAsia="Times New Roman" w:hAnsi="Times New Roman"/>
                <w:sz w:val="12"/>
                <w:szCs w:val="12"/>
                <w:color w:val="auto"/>
              </w:rPr>
              <w:t>Proceeds from sale-leaseback of equipment</w:t>
            </w:r>
          </w:p>
        </w:tc>
        <w:tc>
          <w:tcPr>
            <w:tcW w:w="2740" w:type="dxa"/>
            <w:vAlign w:val="bottom"/>
            <w:tcBorders>
              <w:bottom w:val="single" w:sz="8" w:color="BFE4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4,910</w:t>
            </w:r>
          </w:p>
        </w:tc>
        <w:tc>
          <w:tcPr>
            <w:tcW w:w="100" w:type="dxa"/>
            <w:vAlign w:val="bottom"/>
            <w:tcBorders>
              <w:bottom w:val="single" w:sz="8" w:color="BFE4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8"/>
        </w:trPr>
        <w:tc>
          <w:tcPr>
            <w:tcW w:w="2260" w:type="dxa"/>
            <w:vAlign w:val="bottom"/>
            <w:tcBorders>
              <w:bottom w:val="single" w:sz="8" w:color="BFE4FF"/>
            </w:tcBorders>
            <w:shd w:val="clear" w:color="auto" w:fill="BFE4FF"/>
          </w:tcPr>
          <w:p>
            <w:pPr>
              <w:spacing w:after="0"/>
              <w:rPr>
                <w:sz w:val="20"/>
                <w:szCs w:val="20"/>
                <w:color w:val="auto"/>
              </w:rPr>
            </w:pPr>
            <w:r>
              <w:rPr>
                <w:rFonts w:ascii="Times New Roman" w:cs="Times New Roman" w:eastAsia="Times New Roman" w:hAnsi="Times New Roman"/>
                <w:sz w:val="12"/>
                <w:szCs w:val="12"/>
                <w:color w:val="auto"/>
              </w:rPr>
              <w:t>Free cash flow</w:t>
            </w:r>
          </w:p>
        </w:tc>
        <w:tc>
          <w:tcPr>
            <w:tcW w:w="2740" w:type="dxa"/>
            <w:vAlign w:val="bottom"/>
            <w:tcBorders>
              <w:bottom w:val="single" w:sz="8" w:color="BFE4FF"/>
            </w:tcBorders>
            <w:shd w:val="clear" w:color="auto" w:fill="BFE4FF"/>
          </w:tcPr>
          <w:p>
            <w:pPr>
              <w:spacing w:after="0"/>
              <w:rPr>
                <w:sz w:val="13"/>
                <w:szCs w:val="13"/>
                <w:color w:val="auto"/>
              </w:rPr>
            </w:pPr>
          </w:p>
        </w:tc>
        <w:tc>
          <w:tcPr>
            <w:tcW w:w="400" w:type="dxa"/>
            <w:vAlign w:val="bottom"/>
            <w:tcBorders>
              <w:bottom w:val="single" w:sz="8" w:color="auto"/>
            </w:tcBorders>
            <w:shd w:val="clear" w:color="auto" w:fill="BFE4FF"/>
          </w:tcPr>
          <w:p>
            <w:pPr>
              <w:jc w:val="right"/>
              <w:ind w:right="286"/>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260</w:t>
            </w:r>
          </w:p>
        </w:tc>
        <w:tc>
          <w:tcPr>
            <w:tcW w:w="100" w:type="dxa"/>
            <w:vAlign w:val="bottom"/>
            <w:tcBorders>
              <w:bottom w:val="single" w:sz="8" w:color="BFE4FF"/>
            </w:tcBorders>
            <w:shd w:val="clear" w:color="auto" w:fill="BFE4FF"/>
          </w:tcPr>
          <w:p>
            <w:pPr>
              <w:spacing w:after="0"/>
              <w:rPr>
                <w:sz w:val="13"/>
                <w:szCs w:val="13"/>
                <w:color w:val="auto"/>
              </w:rPr>
            </w:pPr>
          </w:p>
        </w:tc>
        <w:tc>
          <w:tcPr>
            <w:tcW w:w="480" w:type="dxa"/>
            <w:vAlign w:val="bottom"/>
            <w:tcBorders>
              <w:bottom w:val="single" w:sz="8" w:color="auto"/>
            </w:tcBorders>
            <w:shd w:val="clear" w:color="auto" w:fill="BFE4FF"/>
          </w:tcPr>
          <w:p>
            <w:pPr>
              <w:jc w:val="right"/>
              <w:ind w:right="366"/>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BFE4FF"/>
          </w:tcPr>
          <w:p>
            <w:pPr>
              <w:jc w:val="right"/>
              <w:spacing w:after="0"/>
              <w:rPr>
                <w:sz w:val="20"/>
                <w:szCs w:val="20"/>
                <w:color w:val="auto"/>
              </w:rPr>
            </w:pPr>
            <w:r>
              <w:rPr>
                <w:rFonts w:ascii="Times New Roman" w:cs="Times New Roman" w:eastAsia="Times New Roman" w:hAnsi="Times New Roman"/>
                <w:sz w:val="12"/>
                <w:szCs w:val="12"/>
                <w:color w:val="auto"/>
              </w:rPr>
              <w:t>(3,736)</w:t>
            </w:r>
          </w:p>
        </w:tc>
      </w:tr>
    </w:tbl>
    <w:p>
      <w:pPr>
        <w:spacing w:after="0" w:line="314"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12</w:t>
      </w:r>
    </w:p>
    <w:p>
      <w:pPr>
        <w:sectPr>
          <w:pgSz w:w="11900" w:h="16838" w:orient="portrait"/>
          <w:cols w:equalWidth="0" w:num="1">
            <w:col w:w="10160"/>
          </w:cols>
          <w:pgMar w:left="1440" w:top="674" w:right="299" w:bottom="1440" w:gutter="0" w:footer="0" w:header="0"/>
        </w:sectPr>
      </w:pPr>
    </w:p>
    <w:bookmarkStart w:id="15" w:name="page16"/>
    <w:bookmarkEnd w:id="15"/>
    <w:p>
      <w:pPr>
        <w:ind w:left="8" w:right="100"/>
        <w:spacing w:after="0" w:line="238" w:lineRule="auto"/>
        <w:rPr>
          <w:sz w:val="20"/>
          <w:szCs w:val="20"/>
          <w:color w:val="auto"/>
        </w:rPr>
      </w:pPr>
      <w:r>
        <w:rPr>
          <w:rFonts w:ascii="Calibri" w:cs="Calibri" w:eastAsia="Calibri" w:hAnsi="Calibri"/>
          <w:sz w:val="11"/>
          <w:szCs w:val="11"/>
          <w:i w:val="1"/>
          <w:iCs w:val="1"/>
          <w:color w:val="auto"/>
        </w:rPr>
        <w:t>The Company discloses in this presentaton the non-GAAP fnancial measures of adjusted income (loss) from operatons, adjusted EBITDA, adjusted net income (loss), adjusted net income (loss) per diluted common share, and free cash fow. Each of these non-GAAP fnancial measures provides supplementary informaton about the impacts of acquisiton, divestture and integraton related expenses, foreign-exchange impacts on inter-company loans, reorganizatonal and impairment charges. The costs we incur in completng acquisitons, including the amortzaton of intangibles and deferred fnancing costs, and divesttures are excluded from these measures because their size and inconsistent frequency are unrelated to our commercial performance during the period, and we believe are not indicatve of our ongoing operatng costs. We exclude the impact of currency translaton from these measures because foreign exchange rates are not under management’s control and are subject to volatlity. Other non-operatng charges are excluded as the charges are not indicatve of our ongoing operatng cost. We believe the presentaton of adjusted income (loss) from operatons, adjusted EBITDA, adjusted net income (loss), adjusted net income (loss) per diluted common share, and free cash fow provides useful informaton in assessing our underlying business trends and facilitates comparison of our long-term performance over given periods.</w:t>
      </w:r>
    </w:p>
    <w:p>
      <w:pPr>
        <w:spacing w:after="0" w:line="137" w:lineRule="exact"/>
        <w:rPr>
          <w:sz w:val="20"/>
          <w:szCs w:val="20"/>
          <w:color w:val="auto"/>
        </w:rPr>
      </w:pPr>
    </w:p>
    <w:p>
      <w:pPr>
        <w:ind w:left="8" w:right="20"/>
        <w:spacing w:after="0" w:line="236" w:lineRule="auto"/>
        <w:rPr>
          <w:sz w:val="20"/>
          <w:szCs w:val="20"/>
          <w:color w:val="auto"/>
        </w:rPr>
      </w:pPr>
      <w:r>
        <w:rPr>
          <w:rFonts w:ascii="Calibri" w:cs="Calibri" w:eastAsia="Calibri" w:hAnsi="Calibri"/>
          <w:sz w:val="11"/>
          <w:szCs w:val="11"/>
          <w:i w:val="1"/>
          <w:iCs w:val="1"/>
          <w:color w:val="auto"/>
        </w:rPr>
        <w:t>The non-GAAP fnancial measures provided herein may not provide informaton that is directly comparable to that provided by other companies in the Company's industry, as other companies may calculate such fnancial results diferently. The Company's non-GAAP fnancial measures are not measurements of fnancial performance under GAAP and should not be considered as alternatves to actual income growth derived from income amounts presented in accordance with GAAP. The Company does not consider these non-GAAP fnancial measures to be a substtute for, or superior to, the informaton provided by GAAP fnancial results.</w:t>
      </w:r>
    </w:p>
    <w:p>
      <w:pPr>
        <w:spacing w:after="0" w:line="126" w:lineRule="exact"/>
        <w:rPr>
          <w:sz w:val="20"/>
          <w:szCs w:val="20"/>
          <w:color w:val="auto"/>
        </w:rPr>
      </w:pPr>
    </w:p>
    <w:p>
      <w:pPr>
        <w:ind w:left="8" w:right="80" w:hanging="8"/>
        <w:spacing w:after="0" w:line="237" w:lineRule="auto"/>
        <w:tabs>
          <w:tab w:leader="none" w:pos="153" w:val="left"/>
        </w:tabs>
        <w:numPr>
          <w:ilvl w:val="0"/>
          <w:numId w:val="9"/>
        </w:numPr>
        <w:rPr>
          <w:rFonts w:ascii="Calibri" w:cs="Calibri" w:eastAsia="Calibri" w:hAnsi="Calibri"/>
          <w:sz w:val="11"/>
          <w:szCs w:val="11"/>
          <w:i w:val="1"/>
          <w:iCs w:val="1"/>
          <w:color w:val="auto"/>
        </w:rPr>
      </w:pPr>
      <w:r>
        <w:rPr>
          <w:rFonts w:ascii="Calibri" w:cs="Calibri" w:eastAsia="Calibri" w:hAnsi="Calibri"/>
          <w:sz w:val="11"/>
          <w:szCs w:val="11"/>
          <w:i w:val="1"/>
          <w:iCs w:val="1"/>
          <w:color w:val="auto"/>
        </w:rPr>
        <w:t>Non-GAAP adjusted income (loss) from operatons represents GAAP income (loss) from operatons, adjusted to exclude the efects of restructuring and integraton expense; non-operatonal charges related to acquisiton and transiton expense, intangible amortzaton costs for fair value step-up in values related to acquisitons, non-cash impairment charges, and when applicable, our share of income from joint venture operatons. We believe this presentaton is commonly used by investors and professional research analysts in the valuaton, comparison, ratng, and investment recommendatons of companies in the industrial industry. We use this informaton for comparatve purposes within the industry. Non-GAAP adjusted income (loss) from operatons is not a measure of fnancial performance under GAAP and should not be considered as a measure of liquidity or as an alternatve to GAAP income (loss) from operatons.</w:t>
      </w:r>
    </w:p>
    <w:p>
      <w:pPr>
        <w:spacing w:after="0" w:line="126" w:lineRule="exact"/>
        <w:rPr>
          <w:rFonts w:ascii="Calibri" w:cs="Calibri" w:eastAsia="Calibri" w:hAnsi="Calibri"/>
          <w:sz w:val="11"/>
          <w:szCs w:val="11"/>
          <w:i w:val="1"/>
          <w:iCs w:val="1"/>
          <w:color w:val="auto"/>
        </w:rPr>
      </w:pPr>
    </w:p>
    <w:p>
      <w:pPr>
        <w:ind w:left="8" w:right="40" w:hanging="8"/>
        <w:spacing w:after="0" w:line="238" w:lineRule="auto"/>
        <w:tabs>
          <w:tab w:leader="none" w:pos="153" w:val="left"/>
        </w:tabs>
        <w:numPr>
          <w:ilvl w:val="0"/>
          <w:numId w:val="9"/>
        </w:numPr>
        <w:rPr>
          <w:rFonts w:ascii="Calibri" w:cs="Calibri" w:eastAsia="Calibri" w:hAnsi="Calibri"/>
          <w:sz w:val="11"/>
          <w:szCs w:val="11"/>
          <w:i w:val="1"/>
          <w:iCs w:val="1"/>
          <w:color w:val="auto"/>
        </w:rPr>
      </w:pPr>
      <w:r>
        <w:rPr>
          <w:rFonts w:ascii="Calibri" w:cs="Calibri" w:eastAsia="Calibri" w:hAnsi="Calibri"/>
          <w:sz w:val="11"/>
          <w:szCs w:val="11"/>
          <w:i w:val="1"/>
          <w:iCs w:val="1"/>
          <w:color w:val="auto"/>
        </w:rPr>
        <w:t>Non-GAAP adjusted EBITDA represents GAAP net income (loss), adjusted to include income taxes, interest expense, write-of of unamortzed debt issuance costs, interest rate swap payments and change in fair value that was recognized in earnings, change in fair value of preferred stock derivatves and warrants, depreciaton and amortzaton, charges related to acquisiton and transiton costs, non-cash stock compensaton expense, foreign exchange gain (loss) on inter-company loans, restructuring and integraton expense, costs related to divested businesses and litgaton setlements, income from discontnued operatons, and non-cash impairment charges, to the extent applicable. We believe this presentaton is commonly used by investors and professional research analysts in the valuaton, comparison, ratng, and investment recommendatons of companies in the industrial industry. We use this informaton for comparatve purposes within the industry. Non-GAAP adjusted EBITDA is not a measure of fnancial performance under GAAP and should not be considered as a measure of liquidity or as an alternatve to GAAP income (loss) from contnuing operatons.</w:t>
      </w:r>
    </w:p>
    <w:p>
      <w:pPr>
        <w:spacing w:after="0" w:line="135" w:lineRule="exact"/>
        <w:rPr>
          <w:rFonts w:ascii="Calibri" w:cs="Calibri" w:eastAsia="Calibri" w:hAnsi="Calibri"/>
          <w:sz w:val="11"/>
          <w:szCs w:val="11"/>
          <w:i w:val="1"/>
          <w:iCs w:val="1"/>
          <w:color w:val="auto"/>
        </w:rPr>
      </w:pPr>
    </w:p>
    <w:p>
      <w:pPr>
        <w:ind w:left="8" w:right="120" w:hanging="8"/>
        <w:spacing w:after="0" w:line="234" w:lineRule="auto"/>
        <w:tabs>
          <w:tab w:leader="none" w:pos="143" w:val="left"/>
        </w:tabs>
        <w:numPr>
          <w:ilvl w:val="0"/>
          <w:numId w:val="9"/>
        </w:numPr>
        <w:rPr>
          <w:rFonts w:ascii="Calibri" w:cs="Calibri" w:eastAsia="Calibri" w:hAnsi="Calibri"/>
          <w:sz w:val="11"/>
          <w:szCs w:val="11"/>
          <w:i w:val="1"/>
          <w:iCs w:val="1"/>
          <w:color w:val="auto"/>
        </w:rPr>
      </w:pPr>
      <w:r>
        <w:rPr>
          <w:rFonts w:ascii="Calibri" w:cs="Calibri" w:eastAsia="Calibri" w:hAnsi="Calibri"/>
          <w:sz w:val="11"/>
          <w:szCs w:val="11"/>
          <w:i w:val="1"/>
          <w:iCs w:val="1"/>
          <w:color w:val="auto"/>
        </w:rPr>
        <w:t>This line item refects the aggregate tax efect of all non-tax adjustments refected in the respectve table. NN, Inc. estmates the tax efect of the adjustment items identfed in the reconciliaton schedule above by applying the applicable statutory rates by tax jurisdicton unless the nature of the item and/or the tax jurisdicton in which the item has been recorded requires applicaton of a specifc tax rate or tax treatment.</w:t>
      </w:r>
    </w:p>
    <w:p>
      <w:pPr>
        <w:spacing w:after="0" w:line="125" w:lineRule="exact"/>
        <w:rPr>
          <w:rFonts w:ascii="Calibri" w:cs="Calibri" w:eastAsia="Calibri" w:hAnsi="Calibri"/>
          <w:sz w:val="11"/>
          <w:szCs w:val="11"/>
          <w:i w:val="1"/>
          <w:iCs w:val="1"/>
          <w:color w:val="auto"/>
        </w:rPr>
      </w:pPr>
    </w:p>
    <w:p>
      <w:pPr>
        <w:ind w:left="8" w:right="20" w:hanging="8"/>
        <w:spacing w:after="0" w:line="238" w:lineRule="auto"/>
        <w:tabs>
          <w:tab w:leader="none" w:pos="153" w:val="left"/>
        </w:tabs>
        <w:numPr>
          <w:ilvl w:val="0"/>
          <w:numId w:val="9"/>
        </w:numPr>
        <w:rPr>
          <w:rFonts w:ascii="Calibri" w:cs="Calibri" w:eastAsia="Calibri" w:hAnsi="Calibri"/>
          <w:sz w:val="11"/>
          <w:szCs w:val="11"/>
          <w:i w:val="1"/>
          <w:iCs w:val="1"/>
          <w:color w:val="auto"/>
        </w:rPr>
      </w:pPr>
      <w:r>
        <w:rPr>
          <w:rFonts w:ascii="Calibri" w:cs="Calibri" w:eastAsia="Calibri" w:hAnsi="Calibri"/>
          <w:sz w:val="11"/>
          <w:szCs w:val="11"/>
          <w:i w:val="1"/>
          <w:iCs w:val="1"/>
          <w:color w:val="auto"/>
        </w:rPr>
        <w:t>Non-GAAP adjusted net income (loss) represents GAAP net income (loss) adjusted to exclude the tax-afected efects of charges related to acquisiton and transiton costs, foreign exchange gain (loss) on inter-company loans, restructuring and integraton charges, amortzaton of intangibles costs for fair value step-up in values related to acquisitons and amortzaton of deferred fnancing costs, non-cash impairment charges, write-of of unamortzed debt issuance costs, interest rate swap payments and change in fair value, change in fair value of preferred stock derivatves and warrants, costs related to divested businesses and litgaton setlements, income (loss) from discontnued operatons, and preferred stock cumulatve dividends and deemed dividends. We believe this presentaton is commonly used by investors and professional research analysts in the valuaton, comparison, ratng, and investment recommendatons of companies in the industrial industry. We use this informaton for comparatve purposes within the industry.</w:t>
      </w:r>
    </w:p>
    <w:p>
      <w:pPr>
        <w:spacing w:after="0" w:line="272" w:lineRule="exact"/>
        <w:rPr>
          <w:sz w:val="20"/>
          <w:szCs w:val="20"/>
          <w:color w:val="auto"/>
        </w:rPr>
      </w:pPr>
    </w:p>
    <w:p>
      <w:pPr>
        <w:jc w:val="right"/>
        <w:spacing w:after="0"/>
        <w:rPr>
          <w:sz w:val="20"/>
          <w:szCs w:val="20"/>
          <w:color w:val="auto"/>
        </w:rPr>
      </w:pPr>
      <w:r>
        <w:rPr>
          <w:rFonts w:ascii="Calibri" w:cs="Calibri" w:eastAsia="Calibri" w:hAnsi="Calibri"/>
          <w:sz w:val="13"/>
          <w:szCs w:val="13"/>
          <w:color w:val="auto"/>
        </w:rPr>
        <w:t>13</w:t>
      </w:r>
    </w:p>
    <w:p>
      <w:pPr>
        <w:sectPr>
          <w:pgSz w:w="11900" w:h="16838" w:orient="portrait"/>
          <w:cols w:equalWidth="0" w:num="1">
            <w:col w:w="11308"/>
          </w:cols>
          <w:pgMar w:left="292" w:top="678" w:right="299" w:bottom="1440" w:gutter="0" w:footer="0" w:header="0"/>
        </w:sectPr>
      </w:pPr>
    </w:p>
    <w:bookmarkStart w:id="16" w:name="page17"/>
    <w:bookmarkEnd w:id="1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jc w:val="right"/>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lowerLetter"/>
      <w:start w:val="4"/>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upperLetter"/>
      <w:start w:val="40"/>
    </w:lvl>
  </w:abstractNum>
  <w:abstractNum w:abstractNumId="5">
    <w:nsid w:val="79E2A9E3"/>
    <w:multiLevelType w:val="hybridMultilevel"/>
    <w:lvl w:ilvl="0">
      <w:lvlJc w:val="left"/>
      <w:lvlText w:val="%1"/>
      <w:numFmt w:val="upperLetter"/>
      <w:start w:val="40"/>
    </w:lvl>
  </w:abstractNum>
  <w:abstractNum w:abstractNumId="6">
    <w:nsid w:val="7545E146"/>
    <w:multiLevelType w:val="hybridMultilevel"/>
    <w:lvl w:ilvl="0">
      <w:lvlJc w:val="left"/>
      <w:lvlText w:val="(%1)"/>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2024-05-06T16:11:00Z</dcterms:created>
  <dcterms:modified xsi:type="dcterms:W3CDTF">2024-05-06T16:11:00Z</dcterms:modified>
</cp:coreProperties>
</file>