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285115</wp:posOffset>
            </wp:positionH>
            <wp:positionV relativeFrom="page">
              <wp:posOffset>671830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697230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56515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74295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6" w:lineRule="exact"/>
        <w:rPr>
          <w:sz w:val="24"/>
          <w:szCs w:val="24"/>
          <w:color w:val="auto"/>
        </w:rPr>
      </w:pPr>
    </w:p>
    <w:p>
      <w:pPr>
        <w:ind w:left="1340" w:hanging="356"/>
        <w:spacing w:after="0"/>
        <w:tabs>
          <w:tab w:leader="none" w:pos="1340" w:val="left"/>
        </w:tabs>
        <w:numPr>
          <w:ilvl w:val="0"/>
          <w:numId w:val="1"/>
        </w:numPr>
        <w:rPr>
          <w:rFonts w:ascii="MS PGothic" w:cs="MS PGothic" w:eastAsia="MS PGothic" w:hAnsi="MS PGothic"/>
          <w:sz w:val="21"/>
          <w:szCs w:val="21"/>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340" w:hanging="356"/>
        <w:spacing w:after="0"/>
        <w:tabs>
          <w:tab w:leader="none" w:pos="1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44"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3675380</wp:posOffset>
            </wp:positionH>
            <wp:positionV relativeFrom="paragraph">
              <wp:posOffset>-7620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9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68580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197485</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NN, Inc.</w:t>
      </w:r>
    </w:p>
    <w:p>
      <w:pPr>
        <w:spacing w:after="0" w:line="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125095</wp:posOffset>
            </wp:positionV>
            <wp:extent cx="2597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1100"/>
          </w:cols>
          <w:pgMar w:left="320" w:top="1282" w:right="479" w:bottom="1440" w:gutter="0" w:footer="0" w:header="0"/>
        </w:sectPr>
      </w:pPr>
    </w:p>
    <w:p>
      <w:pPr>
        <w:spacing w:after="0" w:line="313" w:lineRule="exact"/>
        <w:rPr>
          <w:sz w:val="24"/>
          <w:szCs w:val="24"/>
          <w:color w:val="auto"/>
        </w:rPr>
      </w:pPr>
    </w:p>
    <w:p>
      <w:pPr>
        <w:ind w:left="29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73" w:lineRule="exact"/>
        <w:rPr>
          <w:sz w:val="24"/>
          <w:szCs w:val="24"/>
          <w:color w:val="auto"/>
        </w:rPr>
      </w:pPr>
    </w:p>
    <w:p>
      <w:pPr>
        <w:sectPr>
          <w:pgSz w:w="11900" w:h="16838" w:orient="portrait"/>
          <w:cols w:equalWidth="0" w:num="2">
            <w:col w:w="6880" w:space="720"/>
            <w:col w:w="3500"/>
          </w:cols>
          <w:pgMar w:left="320" w:top="1282" w:right="479" w:bottom="1440" w:gutter="0" w:footer="0" w:header="0"/>
          <w:type w:val="continuous"/>
        </w:sectPr>
      </w:pPr>
    </w:p>
    <w:p>
      <w:pPr>
        <w:ind w:left="2220"/>
        <w:spacing w:after="0"/>
        <w:rPr>
          <w:sz w:val="20"/>
          <w:szCs w:val="20"/>
          <w:color w:val="auto"/>
        </w:rPr>
      </w:pPr>
      <w:r>
        <w:rPr>
          <w:rFonts w:ascii="Arial" w:cs="Arial" w:eastAsia="Arial" w:hAnsi="Arial"/>
          <w:sz w:val="17"/>
          <w:szCs w:val="17"/>
          <w:i w:val="1"/>
          <w:iCs w:val="1"/>
          <w:color w:val="auto"/>
        </w:rPr>
        <w:t>(State or other jurisdiction of</w:t>
      </w:r>
    </w:p>
    <w:p>
      <w:pPr>
        <w:ind w:left="218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7"/>
          <w:szCs w:val="17"/>
          <w:i w:val="1"/>
          <w:iCs w:val="1"/>
          <w:color w:val="auto"/>
        </w:rPr>
        <w:t>(I.R.S. Employer</w:t>
      </w:r>
    </w:p>
    <w:p>
      <w:pPr>
        <w:jc w:val="center"/>
        <w:ind w:right="2400"/>
        <w:spacing w:after="0"/>
        <w:rPr>
          <w:sz w:val="20"/>
          <w:szCs w:val="20"/>
          <w:color w:val="auto"/>
        </w:rPr>
      </w:pPr>
      <w:r>
        <w:rPr>
          <w:rFonts w:ascii="Arial" w:cs="Arial" w:eastAsia="Arial" w:hAnsi="Arial"/>
          <w:sz w:val="16"/>
          <w:szCs w:val="16"/>
          <w:i w:val="1"/>
          <w:iCs w:val="1"/>
          <w:color w:val="auto"/>
        </w:rPr>
        <w:t>Identification No.)</w:t>
      </w:r>
    </w:p>
    <w:p>
      <w:pPr>
        <w:spacing w:after="0" w:line="106" w:lineRule="exact"/>
        <w:rPr>
          <w:sz w:val="24"/>
          <w:szCs w:val="24"/>
          <w:color w:val="auto"/>
        </w:rPr>
      </w:pPr>
    </w:p>
    <w:p>
      <w:pPr>
        <w:sectPr>
          <w:pgSz w:w="11900" w:h="16838" w:orient="portrait"/>
          <w:cols w:equalWidth="0" w:num="2">
            <w:col w:w="6660" w:space="720"/>
            <w:col w:w="3720"/>
          </w:cols>
          <w:pgMar w:left="320" w:top="1282" w:right="479" w:bottom="1440" w:gutter="0" w:footer="0" w:header="0"/>
          <w:type w:val="continuous"/>
        </w:sectPr>
      </w:pPr>
    </w:p>
    <w:p>
      <w:pPr>
        <w:ind w:left="4340"/>
        <w:spacing w:after="0"/>
        <w:rPr>
          <w:sz w:val="20"/>
          <w:szCs w:val="20"/>
          <w:color w:val="auto"/>
        </w:rPr>
      </w:pPr>
      <w:r>
        <w:rPr>
          <w:rFonts w:ascii="Arial" w:cs="Arial" w:eastAsia="Arial" w:hAnsi="Arial"/>
          <w:sz w:val="16"/>
          <w:szCs w:val="16"/>
          <w:b w:val="1"/>
          <w:bCs w:val="1"/>
          <w:color w:val="auto"/>
        </w:rPr>
        <w:t>6210 Ardrey Kell Road, Suite 600</w:t>
      </w:r>
    </w:p>
    <w:p>
      <w:pPr>
        <w:spacing w:after="0" w:line="50"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Charlotte, North Carolina 28277</w:t>
      </w:r>
    </w:p>
    <w:p>
      <w:pPr>
        <w:sectPr>
          <w:pgSz w:w="11900" w:h="16838" w:orient="portrait"/>
          <w:cols w:equalWidth="0" w:num="1">
            <w:col w:w="11100"/>
          </w:cols>
          <w:pgMar w:left="320" w:top="1282" w:right="479" w:bottom="1440" w:gutter="0" w:footer="0" w:header="0"/>
          <w:type w:val="continuous"/>
        </w:sectPr>
      </w:pPr>
    </w:p>
    <w:p>
      <w:pPr>
        <w:spacing w:after="0" w:line="126" w:lineRule="exact"/>
        <w:rPr>
          <w:sz w:val="24"/>
          <w:szCs w:val="24"/>
          <w:color w:val="auto"/>
        </w:rPr>
      </w:pPr>
    </w:p>
    <w:p>
      <w:pPr>
        <w:jc w:val="center"/>
        <w:ind w:right="-139"/>
        <w:spacing w:after="0"/>
        <w:rPr>
          <w:sz w:val="20"/>
          <w:szCs w:val="20"/>
          <w:color w:val="auto"/>
        </w:rPr>
      </w:pPr>
      <w:r>
        <w:rPr>
          <w:rFonts w:ascii="Arial" w:cs="Arial" w:eastAsia="Arial" w:hAnsi="Arial"/>
          <w:sz w:val="17"/>
          <w:szCs w:val="17"/>
          <w:i w:val="1"/>
          <w:iCs w:val="1"/>
          <w:color w:val="auto"/>
        </w:rPr>
        <w:t>(Address of principal executive offices, including zip code)</w:t>
      </w:r>
    </w:p>
    <w:p>
      <w:pPr>
        <w:spacing w:after="0" w:line="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(980) 264-4300</w:t>
      </w:r>
    </w:p>
    <w:p>
      <w:pPr>
        <w:spacing w:after="0" w:line="121" w:lineRule="exact"/>
        <w:rPr>
          <w:sz w:val="24"/>
          <w:szCs w:val="24"/>
          <w:color w:val="auto"/>
        </w:rPr>
      </w:pPr>
    </w:p>
    <w:p>
      <w:pPr>
        <w:ind w:left="3700"/>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138" w:lineRule="exact"/>
        <w:rPr>
          <w:sz w:val="24"/>
          <w:szCs w:val="24"/>
          <w:color w:val="auto"/>
        </w:rPr>
      </w:pPr>
    </w:p>
    <w:p>
      <w:pPr>
        <w:ind w:left="34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100"/>
          </w:cols>
          <w:pgMar w:left="320" w:top="1282" w:right="479" w:bottom="1440" w:gutter="0" w:footer="0" w:header="0"/>
          <w:type w:val="continuous"/>
        </w:sectPr>
      </w:pPr>
    </w:p>
    <w:p>
      <w:pPr>
        <w:spacing w:after="0" w:line="59" w:lineRule="exact"/>
        <w:rPr>
          <w:sz w:val="24"/>
          <w:szCs w:val="24"/>
          <w:color w:val="auto"/>
        </w:rPr>
      </w:pPr>
    </w:p>
    <w:p>
      <w:pPr>
        <w:jc w:val="center"/>
        <w:ind w:left="64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78" w:lineRule="exact"/>
        <w:rPr>
          <w:sz w:val="24"/>
          <w:szCs w:val="24"/>
          <w:color w:val="auto"/>
        </w:rPr>
      </w:pPr>
    </w:p>
    <w:p>
      <w:pPr>
        <w:sectPr>
          <w:pgSz w:w="11900" w:h="16838" w:orient="portrait"/>
          <w:cols w:equalWidth="0" w:num="3">
            <w:col w:w="4480" w:space="720"/>
            <w:col w:w="1540" w:space="720"/>
            <w:col w:w="3640"/>
          </w:cols>
          <w:pgMar w:left="320" w:top="1282" w:right="479" w:bottom="1440" w:gutter="0" w:footer="0" w:header="0"/>
          <w:type w:val="continuous"/>
        </w:sectPr>
      </w:pPr>
    </w:p>
    <w:p>
      <w:pPr>
        <w:ind w:left="1340"/>
        <w:spacing w:after="0"/>
        <w:rPr>
          <w:sz w:val="20"/>
          <w:szCs w:val="20"/>
          <w:color w:val="auto"/>
        </w:rPr>
      </w:pPr>
      <w:r>
        <w:rPr>
          <w:rFonts w:ascii="Arial" w:cs="Arial" w:eastAsia="Arial" w:hAnsi="Arial"/>
          <w:sz w:val="16"/>
          <w:szCs w:val="16"/>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8"/>
          <w:szCs w:val="1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222" w:lineRule="exact"/>
        <w:rPr>
          <w:sz w:val="24"/>
          <w:szCs w:val="24"/>
          <w:color w:val="auto"/>
        </w:rPr>
      </w:pPr>
    </w:p>
    <w:p>
      <w:pPr>
        <w:sectPr>
          <w:pgSz w:w="11900" w:h="16838" w:orient="portrait"/>
          <w:cols w:equalWidth="0" w:num="3">
            <w:col w:w="4680" w:space="720"/>
            <w:col w:w="1380" w:space="720"/>
            <w:col w:w="3600"/>
          </w:cols>
          <w:pgMar w:left="320" w:top="1282" w:right="479" w:bottom="1440" w:gutter="0" w:footer="0" w:header="0"/>
          <w:type w:val="continuous"/>
        </w:sectPr>
      </w:pPr>
    </w:p>
    <w:p>
      <w:pPr>
        <w:spacing w:after="0" w:line="16" w:lineRule="exact"/>
        <w:rPr>
          <w:sz w:val="24"/>
          <w:szCs w:val="24"/>
          <w:color w:val="auto"/>
        </w:rPr>
      </w:pPr>
    </w:p>
    <w:p>
      <w:pPr>
        <w:ind w:right="16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2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98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212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212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80" w:type="dxa"/>
            <w:vAlign w:val="bottom"/>
          </w:tcPr>
          <w:p>
            <w:pPr>
              <w:ind w:left="212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580"/>
        <w:spacing w:after="0" w:line="25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24, 2023, there were 47,018,608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282"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33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NN, Inc.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80"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0000FF"/>
        </w:rPr>
        <w:t>PART I. FINANCIAL INFORMATION</w:t>
      </w:r>
    </w:p>
    <w:p>
      <w:pPr>
        <w:spacing w:after="0" w:line="117" w:lineRule="exact"/>
        <w:rPr>
          <w:sz w:val="20"/>
          <w:szCs w:val="20"/>
          <w:color w:val="auto"/>
        </w:rPr>
      </w:pPr>
    </w:p>
    <w:p>
      <w:pPr>
        <w:ind w:left="1380"/>
        <w:spacing w:after="0"/>
        <w:tabs>
          <w:tab w:leader="none" w:pos="23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0000FF"/>
        </w:rPr>
        <w:t>Financial Statements</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6"/>
          <w:szCs w:val="16"/>
          <w:u w:val="single" w:color="auto"/>
          <w:color w:val="0000FF"/>
        </w:rPr>
        <w:t>Condensed Consolidated Statements of Operations and Comprehensive Income (Loss)</w:t>
      </w:r>
    </w:p>
    <w:p>
      <w:pPr>
        <w:spacing w:after="0" w:line="8"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0000FF"/>
        </w:rPr>
        <w:t>(Unaudited)</w:t>
      </w:r>
    </w:p>
    <w:p>
      <w:pPr>
        <w:spacing w:after="0" w:line="34"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0000FF"/>
        </w:rPr>
        <w:t>Condensed Consolidated Balance Sheets (Unaudited)</w:t>
      </w:r>
    </w:p>
    <w:p>
      <w:pPr>
        <w:spacing w:after="0" w:line="63" w:lineRule="exact"/>
        <w:rPr>
          <w:sz w:val="20"/>
          <w:szCs w:val="20"/>
          <w:color w:val="auto"/>
        </w:rPr>
      </w:pPr>
    </w:p>
    <w:p>
      <w:pPr>
        <w:ind w:left="2600"/>
        <w:spacing w:after="0"/>
        <w:rPr>
          <w:sz w:val="20"/>
          <w:szCs w:val="20"/>
          <w:color w:val="auto"/>
        </w:rPr>
      </w:pPr>
      <w:r>
        <w:rPr>
          <w:rFonts w:ascii="Arial" w:cs="Arial" w:eastAsia="Arial" w:hAnsi="Arial"/>
          <w:sz w:val="16"/>
          <w:szCs w:val="16"/>
          <w:u w:val="single" w:color="auto"/>
          <w:color w:val="0000FF"/>
        </w:rPr>
        <w:t>Condensed Consolidated Statements of Changes in Stockholders’ Equity (Unaudited)</w:t>
      </w:r>
    </w:p>
    <w:p>
      <w:pPr>
        <w:spacing w:after="0" w:line="86"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0000FF"/>
        </w:rPr>
        <w:t>Condensed Consolidated Statements of Cash Flows (Unaudited)</w:t>
      </w:r>
    </w:p>
    <w:p>
      <w:pPr>
        <w:spacing w:after="0" w:line="63"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0000FF"/>
        </w:rPr>
        <w:t>Notes to Condensed Consolidated Financial Statements (Unaudited)</w:t>
      </w:r>
    </w:p>
    <w:p>
      <w:pPr>
        <w:spacing w:after="0" w:line="50"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1. Interim Financial Statements</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2. Segment Information</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3. Inventories</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4. Intangible Assets, Net</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5. Investment in Joint Venture</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6. Income Taxes</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7. Debt</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8. Leases</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9. Commitments and Contingencies</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10. Preferred Stock and Stockholders' Equity</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11. Revenue from Contracts with Customers</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12. Share-Based Compensation</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13. Accumulated Other Comprehensive Income</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14. Net Loss Per Common Share</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0000FF"/>
        </w:rPr>
        <w:t>Note 15. Fair Value Measurements</w:t>
      </w:r>
    </w:p>
    <w:p>
      <w:pPr>
        <w:spacing w:after="0" w:line="131" w:lineRule="exact"/>
        <w:rPr>
          <w:sz w:val="20"/>
          <w:szCs w:val="20"/>
          <w:color w:val="auto"/>
        </w:rPr>
      </w:pPr>
    </w:p>
    <w:p>
      <w:pPr>
        <w:jc w:val="right"/>
        <w:ind w:right="120"/>
        <w:spacing w:after="0"/>
        <w:tabs>
          <w:tab w:leader="none" w:pos="65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0000FF"/>
        </w:rPr>
        <w:t>Management’s Discussion and Analysis of Financial Condition and Results of Operations</w:t>
      </w:r>
    </w:p>
    <w:p>
      <w:pPr>
        <w:spacing w:after="0" w:line="117" w:lineRule="exact"/>
        <w:rPr>
          <w:sz w:val="20"/>
          <w:szCs w:val="20"/>
          <w:color w:val="auto"/>
        </w:rPr>
      </w:pPr>
    </w:p>
    <w:p>
      <w:pPr>
        <w:ind w:left="1220"/>
        <w:spacing w:after="0"/>
        <w:tabs>
          <w:tab w:leader="none" w:pos="23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117" w:lineRule="exact"/>
        <w:rPr>
          <w:sz w:val="20"/>
          <w:szCs w:val="20"/>
          <w:color w:val="auto"/>
        </w:rPr>
      </w:pPr>
    </w:p>
    <w:p>
      <w:pPr>
        <w:ind w:left="1220"/>
        <w:spacing w:after="0"/>
        <w:tabs>
          <w:tab w:leader="none" w:pos="23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u w:val="single" w:color="auto"/>
          <w:color w:val="0000FF"/>
        </w:rPr>
        <w:t>Controls and Procedures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0000FF"/>
        </w:rPr>
        <w:t>PART II. OTHER INFORMATION</w:t>
      </w:r>
    </w:p>
    <w:p>
      <w:pPr>
        <w:spacing w:after="0" w:line="100"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380" w:type="dxa"/>
            <w:vAlign w:val="bottom"/>
            <w:gridSpan w:val="2"/>
          </w:tcPr>
          <w:p>
            <w:pPr>
              <w:ind w:left="20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3000" w:type="dxa"/>
            <w:vAlign w:val="bottom"/>
            <w:gridSpan w:val="3"/>
          </w:tcPr>
          <w:p>
            <w:pPr>
              <w:spacing w:after="0"/>
              <w:rPr>
                <w:sz w:val="18"/>
                <w:szCs w:val="18"/>
                <w:color w:val="auto"/>
              </w:rPr>
            </w:pPr>
          </w:p>
        </w:tc>
      </w:tr>
      <w:tr>
        <w:trPr>
          <w:trHeight w:val="250"/>
        </w:trPr>
        <w:tc>
          <w:tcPr>
            <w:tcW w:w="1380" w:type="dxa"/>
            <w:vAlign w:val="bottom"/>
            <w:gridSpan w:val="2"/>
          </w:tcPr>
          <w:p>
            <w:pPr>
              <w:ind w:left="200"/>
              <w:spacing w:after="0"/>
              <w:rPr>
                <w:sz w:val="20"/>
                <w:szCs w:val="20"/>
                <w:color w:val="auto"/>
              </w:rPr>
            </w:pPr>
            <w:r>
              <w:rPr>
                <w:rFonts w:ascii="Arial" w:cs="Arial" w:eastAsia="Arial" w:hAnsi="Arial"/>
                <w:sz w:val="18"/>
                <w:szCs w:val="18"/>
                <w:color w:val="auto"/>
              </w:rPr>
              <w:t>Item 1A.</w:t>
            </w:r>
          </w:p>
        </w:tc>
        <w:tc>
          <w:tcPr>
            <w:tcW w:w="4340" w:type="dxa"/>
            <w:vAlign w:val="bottom"/>
            <w:gridSpan w:val="7"/>
          </w:tcPr>
          <w:p>
            <w:pPr>
              <w:spacing w:after="0"/>
              <w:rPr>
                <w:sz w:val="20"/>
                <w:szCs w:val="20"/>
                <w:color w:val="auto"/>
              </w:rPr>
            </w:pPr>
            <w:r>
              <w:rPr>
                <w:rFonts w:ascii="Arial" w:cs="Arial" w:eastAsia="Arial" w:hAnsi="Arial"/>
                <w:sz w:val="18"/>
                <w:szCs w:val="18"/>
                <w:color w:val="0000FF"/>
              </w:rPr>
              <w:t>Risk Factors</w:t>
            </w: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1380" w:type="dxa"/>
            <w:vAlign w:val="bottom"/>
            <w:gridSpan w:val="2"/>
          </w:tcPr>
          <w:p>
            <w:pPr>
              <w:ind w:left="20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r>
      <w:tr>
        <w:trPr>
          <w:trHeight w:val="250"/>
        </w:trPr>
        <w:tc>
          <w:tcPr>
            <w:tcW w:w="1380" w:type="dxa"/>
            <w:vAlign w:val="bottom"/>
            <w:gridSpan w:val="2"/>
          </w:tcPr>
          <w:p>
            <w:pPr>
              <w:ind w:left="200"/>
              <w:spacing w:after="0"/>
              <w:rPr>
                <w:sz w:val="20"/>
                <w:szCs w:val="20"/>
                <w:color w:val="auto"/>
              </w:rPr>
            </w:pPr>
            <w:r>
              <w:rPr>
                <w:rFonts w:ascii="Arial" w:cs="Arial" w:eastAsia="Arial" w:hAnsi="Arial"/>
                <w:sz w:val="18"/>
                <w:szCs w:val="18"/>
                <w:color w:val="auto"/>
              </w:rPr>
              <w:t>Item 3.</w:t>
            </w:r>
          </w:p>
        </w:tc>
        <w:tc>
          <w:tcPr>
            <w:tcW w:w="4340" w:type="dxa"/>
            <w:vAlign w:val="bottom"/>
            <w:gridSpan w:val="7"/>
          </w:tcPr>
          <w:p>
            <w:pPr>
              <w:spacing w:after="0"/>
              <w:rPr>
                <w:sz w:val="20"/>
                <w:szCs w:val="20"/>
                <w:color w:val="auto"/>
              </w:rPr>
            </w:pPr>
            <w:r>
              <w:rPr>
                <w:rFonts w:ascii="Arial" w:cs="Arial" w:eastAsia="Arial" w:hAnsi="Arial"/>
                <w:sz w:val="18"/>
                <w:szCs w:val="18"/>
                <w:color w:val="0000FF"/>
              </w:rPr>
              <w:t>Defaults Upon Senior Securities</w:t>
            </w:r>
          </w:p>
        </w:tc>
      </w:tr>
      <w:tr>
        <w:trPr>
          <w:trHeight w:val="250"/>
        </w:trPr>
        <w:tc>
          <w:tcPr>
            <w:tcW w:w="1380" w:type="dxa"/>
            <w:vAlign w:val="bottom"/>
            <w:gridSpan w:val="2"/>
          </w:tcPr>
          <w:p>
            <w:pPr>
              <w:ind w:left="20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Mine Safety Disclosures</w:t>
            </w:r>
          </w:p>
        </w:tc>
        <w:tc>
          <w:tcPr>
            <w:tcW w:w="2020" w:type="dxa"/>
            <w:vAlign w:val="bottom"/>
          </w:tcPr>
          <w:p>
            <w:pPr>
              <w:spacing w:after="0"/>
              <w:rPr>
                <w:sz w:val="21"/>
                <w:szCs w:val="21"/>
                <w:color w:val="auto"/>
              </w:rPr>
            </w:pPr>
          </w:p>
        </w:tc>
      </w:tr>
      <w:tr>
        <w:trPr>
          <w:trHeight w:val="250"/>
        </w:trPr>
        <w:tc>
          <w:tcPr>
            <w:tcW w:w="1380" w:type="dxa"/>
            <w:vAlign w:val="bottom"/>
            <w:gridSpan w:val="2"/>
          </w:tcPr>
          <w:p>
            <w:pPr>
              <w:ind w:left="20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2"/>
          </w:tcPr>
          <w:p>
            <w:pPr>
              <w:spacing w:after="0"/>
              <w:rPr>
                <w:sz w:val="21"/>
                <w:szCs w:val="21"/>
                <w:color w:val="auto"/>
              </w:rPr>
            </w:pPr>
          </w:p>
        </w:tc>
        <w:tc>
          <w:tcPr>
            <w:tcW w:w="2580" w:type="dxa"/>
            <w:vAlign w:val="bottom"/>
            <w:gridSpan w:val="2"/>
          </w:tcPr>
          <w:p>
            <w:pPr>
              <w:spacing w:after="0"/>
              <w:rPr>
                <w:sz w:val="21"/>
                <w:szCs w:val="21"/>
                <w:color w:val="auto"/>
              </w:rPr>
            </w:pPr>
          </w:p>
        </w:tc>
      </w:tr>
      <w:tr>
        <w:trPr>
          <w:trHeight w:val="250"/>
        </w:trPr>
        <w:tc>
          <w:tcPr>
            <w:tcW w:w="1380" w:type="dxa"/>
            <w:vAlign w:val="bottom"/>
            <w:gridSpan w:val="2"/>
          </w:tcPr>
          <w:p>
            <w:pPr>
              <w:ind w:left="200"/>
              <w:spacing w:after="0"/>
              <w:rPr>
                <w:sz w:val="20"/>
                <w:szCs w:val="20"/>
                <w:color w:val="auto"/>
              </w:rPr>
            </w:pPr>
            <w:r>
              <w:rPr>
                <w:rFonts w:ascii="Arial" w:cs="Arial" w:eastAsia="Arial" w:hAnsi="Arial"/>
                <w:sz w:val="18"/>
                <w:szCs w:val="18"/>
                <w:color w:val="auto"/>
              </w:rPr>
              <w:t>Item 6.</w:t>
            </w:r>
          </w:p>
        </w:tc>
        <w:tc>
          <w:tcPr>
            <w:tcW w:w="4340" w:type="dxa"/>
            <w:vAlign w:val="bottom"/>
            <w:gridSpan w:val="7"/>
          </w:tcPr>
          <w:p>
            <w:pPr>
              <w:spacing w:after="0"/>
              <w:rPr>
                <w:sz w:val="20"/>
                <w:szCs w:val="20"/>
                <w:color w:val="auto"/>
              </w:rPr>
            </w:pPr>
            <w:r>
              <w:rPr>
                <w:rFonts w:ascii="Arial" w:cs="Arial" w:eastAsia="Arial" w:hAnsi="Arial"/>
                <w:sz w:val="18"/>
                <w:szCs w:val="18"/>
                <w:color w:val="0000FF"/>
              </w:rPr>
              <w:t>Exhibits</w:t>
            </w: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17</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27</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29</w:t>
      </w:r>
    </w:p>
    <w:p>
      <w:pPr>
        <w:sectPr>
          <w:pgSz w:w="11900" w:h="16838" w:orient="portrait"/>
          <w:cols w:equalWidth="0" w:num="2">
            <w:col w:w="8960" w:space="720"/>
            <w:col w:w="540"/>
          </w:cols>
          <w:pgMar w:left="320" w:top="481" w:right="135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252,294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253,429</w:t>
            </w:r>
          </w:p>
        </w:tc>
        <w:tc>
          <w:tcPr>
            <w:tcW w:w="0" w:type="dxa"/>
            <w:vAlign w:val="bottom"/>
          </w:tcPr>
          <w:p>
            <w:pPr>
              <w:spacing w:after="0"/>
              <w:rPr>
                <w:sz w:val="1"/>
                <w:szCs w:val="1"/>
                <w:color w:val="auto"/>
              </w:rPr>
            </w:pPr>
          </w:p>
        </w:tc>
      </w:tr>
      <w:tr>
        <w:trPr>
          <w:trHeight w:val="188"/>
        </w:trPr>
        <w:tc>
          <w:tcPr>
            <w:tcW w:w="5660" w:type="dxa"/>
            <w:vAlign w:val="bottom"/>
          </w:tcPr>
          <w:p>
            <w:pPr>
              <w:ind w:left="20"/>
              <w:spacing w:after="0" w:line="189" w:lineRule="exact"/>
              <w:rPr>
                <w:sz w:val="20"/>
                <w:szCs w:val="20"/>
                <w:color w:val="auto"/>
              </w:rPr>
            </w:pPr>
            <w:r>
              <w:rPr>
                <w:rFonts w:ascii="Arial" w:cs="Arial" w:eastAsia="Arial" w:hAnsi="Arial"/>
                <w:sz w:val="18"/>
                <w:szCs w:val="18"/>
                <w:color w:val="auto"/>
                <w:w w:val="94"/>
              </w:rPr>
              <w:t>Cost of sales (exclusive of depreciation and amortization shown separately</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below)</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107,684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103,889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216,105</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208,467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w:t>
            </w: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23,066</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22,769</w:t>
            </w:r>
          </w:p>
        </w:tc>
        <w:tc>
          <w:tcPr>
            <w:tcW w:w="0" w:type="dxa"/>
            <w:vAlign w:val="bottom"/>
          </w:tcPr>
          <w:p>
            <w:pPr>
              <w:spacing w:after="0"/>
              <w:rPr>
                <w:sz w:val="1"/>
                <w:szCs w:val="1"/>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 (income), net</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(11,122)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168"/>
        </w:trPr>
        <w:tc>
          <w:tcPr>
            <w:tcW w:w="56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6"/>
              </w:rPr>
              <w:t>Loss before provision for income taxes and share of net income from joint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venture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of net income from joint venture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(14,377)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(24,552)</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(11,869)</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60"/>
              <w:spacing w:after="0"/>
              <w:rPr>
                <w:sz w:val="20"/>
                <w:szCs w:val="20"/>
                <w:color w:val="auto"/>
              </w:rPr>
            </w:pPr>
            <w:r>
              <w:rPr>
                <w:rFonts w:ascii="Arial" w:cs="Arial" w:eastAsia="Arial" w:hAnsi="Arial"/>
                <w:sz w:val="18"/>
                <w:szCs w:val="18"/>
                <w:color w:val="auto"/>
              </w:rPr>
              <w:t>Foreign currency translation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(8,490)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(534)</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36"/>
        </w:trPr>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rate swap:</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520"/>
              <w:spacing w:after="0"/>
              <w:rPr>
                <w:sz w:val="20"/>
                <w:szCs w:val="20"/>
                <w:color w:val="auto"/>
              </w:rPr>
            </w:pPr>
            <w:r>
              <w:rPr>
                <w:rFonts w:ascii="Arial" w:cs="Arial" w:eastAsia="Arial" w:hAnsi="Arial"/>
                <w:sz w:val="18"/>
                <w:szCs w:val="18"/>
                <w:color w:val="auto"/>
              </w:rPr>
              <w:t>Change in fair value, net of tax</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188"/>
        </w:trPr>
        <w:tc>
          <w:tcPr>
            <w:tcW w:w="5660" w:type="dxa"/>
            <w:vAlign w:val="bottom"/>
            <w:shd w:val="clear" w:color="auto" w:fill="CCEEFF"/>
          </w:tcPr>
          <w:p>
            <w:pPr>
              <w:ind w:left="520"/>
              <w:spacing w:after="0" w:line="189" w:lineRule="exact"/>
              <w:rPr>
                <w:sz w:val="20"/>
                <w:szCs w:val="20"/>
                <w:color w:val="auto"/>
              </w:rPr>
            </w:pPr>
            <w:r>
              <w:rPr>
                <w:rFonts w:ascii="Arial" w:cs="Arial" w:eastAsia="Arial" w:hAnsi="Arial"/>
                <w:sz w:val="18"/>
                <w:szCs w:val="18"/>
                <w:color w:val="auto"/>
                <w:w w:val="92"/>
              </w:rPr>
              <w:t>Reclassification adjustment for losses (gains) included in net loss, net</w:t>
            </w:r>
          </w:p>
        </w:tc>
        <w:tc>
          <w:tcPr>
            <w:tcW w:w="3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of tax</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(26,233)</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Shares used to calculate basic and diluted net loss per share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45,836</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44,649</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4"/>
                <w:szCs w:val="14"/>
                <w:color w:val="auto"/>
              </w:rPr>
            </w:pPr>
          </w:p>
        </w:tc>
        <w:tc>
          <w:tcPr>
            <w:tcW w:w="1140" w:type="dxa"/>
            <w:vAlign w:val="bottom"/>
          </w:tcPr>
          <w:p>
            <w:pPr>
              <w:jc w:val="right"/>
              <w:ind w:right="37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w w:val="95"/>
              </w:rPr>
              <w:t>Accounts receivable, net of allowances of $1,495 and $1,469 at June 30, 2023 and December 31, 2022</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74,129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80,682</w:t>
            </w:r>
          </w:p>
        </w:tc>
        <w:tc>
          <w:tcPr>
            <w:tcW w:w="0" w:type="dxa"/>
            <w:vAlign w:val="bottom"/>
          </w:tcPr>
          <w:p>
            <w:pPr>
              <w:spacing w:after="0"/>
              <w:rPr>
                <w:sz w:val="1"/>
                <w:szCs w:val="1"/>
                <w:color w:val="auto"/>
              </w:rPr>
            </w:pPr>
          </w:p>
        </w:tc>
      </w:tr>
      <w:tr>
        <w:trPr>
          <w:trHeight w:val="237"/>
        </w:trPr>
        <w:tc>
          <w:tcPr>
            <w:tcW w:w="826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assets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191,700</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1"/>
              </w:rPr>
              <w:t>Property, plant and equipment, net of accumulated depreciation of $239,032 and $225,046 at June 30, 2023 and</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192,241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197,637</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December 31, 2022</w:t>
            </w: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72,891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joint venture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31,802</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538,414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546,127</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Preferred Stock, and Stockholders’ Equity</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45,871</w:t>
            </w:r>
          </w:p>
        </w:tc>
        <w:tc>
          <w:tcPr>
            <w:tcW w:w="0" w:type="dxa"/>
            <w:vAlign w:val="bottom"/>
          </w:tcPr>
          <w:p>
            <w:pPr>
              <w:spacing w:after="0"/>
              <w:rPr>
                <w:sz w:val="1"/>
                <w:szCs w:val="1"/>
                <w:color w:val="auto"/>
              </w:rPr>
            </w:pPr>
          </w:p>
        </w:tc>
      </w:tr>
      <w:tr>
        <w:trPr>
          <w:trHeight w:val="237"/>
        </w:trPr>
        <w:tc>
          <w:tcPr>
            <w:tcW w:w="8260" w:type="dxa"/>
            <w:vAlign w:val="bottom"/>
          </w:tcPr>
          <w:p>
            <w:pPr>
              <w:ind w:left="360"/>
              <w:spacing w:after="0"/>
              <w:rPr>
                <w:sz w:val="20"/>
                <w:szCs w:val="20"/>
                <w:color w:val="auto"/>
              </w:rPr>
            </w:pPr>
            <w:r>
              <w:rPr>
                <w:rFonts w:ascii="Arial" w:cs="Arial" w:eastAsia="Arial" w:hAnsi="Arial"/>
                <w:sz w:val="18"/>
                <w:szCs w:val="18"/>
                <w:color w:val="auto"/>
              </w:rPr>
              <w:t>Accrued salaries, wages and benefits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Short-term debt and current maturities of long-term debt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78,806</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51,411</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295,162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2"/>
              </w:rPr>
              <w:t>Series D perpetual preferred stock - $0.01 par value per share, 65 shares authorized, issued and outstanding at</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70,948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64,701</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June 30, 2023 and December 31, 2022</w:t>
            </w: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Arial" w:cs="Arial" w:eastAsia="Arial" w:hAnsi="Arial"/>
                <w:sz w:val="18"/>
                <w:szCs w:val="18"/>
                <w:color w:val="auto"/>
                <w:w w:val="91"/>
              </w:rPr>
              <w:t>Common stock - $0.01 par value per share, 90,000 shares authorized, 47,019 and 43,856 shares issued and</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8260" w:type="dxa"/>
            <w:vAlign w:val="bottom"/>
          </w:tcPr>
          <w:p>
            <w:pPr>
              <w:ind w:left="680"/>
              <w:spacing w:after="0"/>
              <w:rPr>
                <w:sz w:val="20"/>
                <w:szCs w:val="20"/>
                <w:color w:val="auto"/>
              </w:rPr>
            </w:pPr>
            <w:r>
              <w:rPr>
                <w:rFonts w:ascii="Arial" w:cs="Arial" w:eastAsia="Arial" w:hAnsi="Arial"/>
                <w:sz w:val="18"/>
                <w:szCs w:val="18"/>
                <w:color w:val="auto"/>
              </w:rPr>
              <w:t>outstanding at June 30, 2023 and December 31, 2022</w:t>
            </w: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468,143</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(245,198)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186,264</w:t>
            </w: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preferred stock,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546,127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2023 and 2022</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5"/>
          </w:tcPr>
          <w:p>
            <w:pPr>
              <w:ind w:left="180"/>
              <w:spacing w:after="0"/>
              <w:rPr>
                <w:sz w:val="20"/>
                <w:szCs w:val="20"/>
                <w:color w:val="auto"/>
              </w:rPr>
            </w:pPr>
            <w:r>
              <w:rPr>
                <w:rFonts w:ascii="Arial" w:cs="Arial" w:eastAsia="Arial" w:hAnsi="Arial"/>
                <w:sz w:val="14"/>
                <w:szCs w:val="14"/>
                <w:b w:val="1"/>
                <w:bCs w:val="1"/>
                <w:color w:val="auto"/>
                <w:w w:val="89"/>
              </w:rPr>
              <w:t>Common Stock</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3"/>
              </w:rPr>
              <w:t>Accumulated other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980" w:type="dxa"/>
            <w:vAlign w:val="bottom"/>
            <w:gridSpan w:val="3"/>
          </w:tcPr>
          <w:p>
            <w:pPr>
              <w:jc w:val="right"/>
              <w:ind w:right="200"/>
              <w:spacing w:after="0" w:line="147"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right"/>
              <w:ind w:right="340"/>
              <w:spacing w:after="0" w:line="147" w:lineRule="exact"/>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income (loss)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465,377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174,464</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left="472"/>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(14,377)</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accrued for preferred stock</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w w:val="91"/>
              </w:rPr>
              <w:t>Shares issued under stock incentive plans, net of forfeitures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7"/>
        </w:trPr>
        <w:tc>
          <w:tcPr>
            <w:tcW w:w="4540" w:type="dxa"/>
            <w:vAlign w:val="bottom"/>
          </w:tcPr>
          <w:p>
            <w:pPr>
              <w:ind w:left="180"/>
              <w:spacing w:after="0"/>
              <w:rPr>
                <w:sz w:val="20"/>
                <w:szCs w:val="20"/>
                <w:color w:val="auto"/>
              </w:rPr>
            </w:pPr>
            <w:r>
              <w:rPr>
                <w:rFonts w:ascii="Arial" w:cs="Arial" w:eastAsia="Arial" w:hAnsi="Arial"/>
                <w:sz w:val="18"/>
                <w:szCs w:val="18"/>
                <w:color w:val="auto"/>
              </w:rPr>
              <w:t>Restricted shares forgiven for taxes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left="472"/>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2"/>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37"/>
        </w:trPr>
        <w:tc>
          <w:tcPr>
            <w:tcW w:w="45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as of June 30, 2023</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47,019</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470</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462,525</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(269,750)</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(38,801)</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154,444</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2"/>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6"/>
              </w:rPr>
              <w:t>Accumulated other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4"/>
              </w:rPr>
              <w:t>value</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7"/>
              </w:rPr>
              <w:t>income (loss)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43,890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473,072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(222,402)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center"/>
              <w:ind w:left="412"/>
              <w:spacing w:after="0"/>
              <w:rPr>
                <w:sz w:val="20"/>
                <w:szCs w:val="20"/>
                <w:color w:val="auto"/>
              </w:rPr>
            </w:pPr>
            <w:r>
              <w:rPr>
                <w:rFonts w:ascii="Arial" w:cs="Arial" w:eastAsia="Arial" w:hAnsi="Arial"/>
                <w:sz w:val="18"/>
                <w:szCs w:val="18"/>
                <w:color w:val="auto"/>
                <w:w w:val="92"/>
              </w:rPr>
              <w:t>(28,081)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223,028</w:t>
            </w:r>
          </w:p>
        </w:tc>
        <w:tc>
          <w:tcPr>
            <w:tcW w:w="0" w:type="dxa"/>
            <w:vAlign w:val="bottom"/>
          </w:tcPr>
          <w:p>
            <w:pPr>
              <w:spacing w:after="0"/>
              <w:rPr>
                <w:sz w:val="1"/>
                <w:szCs w:val="1"/>
                <w:color w:val="auto"/>
              </w:rPr>
            </w:pPr>
          </w:p>
        </w:tc>
      </w:tr>
      <w:tr>
        <w:trPr>
          <w:trHeight w:val="237"/>
        </w:trPr>
        <w:tc>
          <w:tcPr>
            <w:tcW w:w="45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(8,567)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(8,567)</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accrued for preferred stock</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w w:val="91"/>
              </w:rPr>
              <w:t>Shares issued under stock incentive plans, net of forfeitures</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Restricted shares forgiven for taxes</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Balance as of June 30, 2022</w:t>
            </w:r>
          </w:p>
        </w:tc>
        <w:tc>
          <w:tcPr>
            <w:tcW w:w="18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43,884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439</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473,019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(230,969)</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3"/>
          </w:tcPr>
          <w:p>
            <w:pPr>
              <w:jc w:val="center"/>
              <w:ind w:left="412"/>
              <w:spacing w:after="0"/>
              <w:rPr>
                <w:sz w:val="20"/>
                <w:szCs w:val="20"/>
                <w:color w:val="auto"/>
              </w:rPr>
            </w:pPr>
            <w:r>
              <w:rPr>
                <w:rFonts w:ascii="Arial" w:cs="Arial" w:eastAsia="Arial" w:hAnsi="Arial"/>
                <w:sz w:val="18"/>
                <w:szCs w:val="18"/>
                <w:color w:val="auto"/>
                <w:w w:val="92"/>
              </w:rPr>
              <w:t>(36,167)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206,322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2023 and 2022</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64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Accumulated other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186,264</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(24,552)</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accrued for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w w:val="94"/>
              </w:rPr>
              <w:t>Shares issued under stock incentive plans, net of forfeitures</w:t>
            </w:r>
          </w:p>
        </w:tc>
        <w:tc>
          <w:tcPr>
            <w:tcW w:w="860" w:type="dxa"/>
            <w:vAlign w:val="bottom"/>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7"/>
        </w:trPr>
        <w:tc>
          <w:tcPr>
            <w:tcW w:w="4720" w:type="dxa"/>
            <w:vAlign w:val="bottom"/>
          </w:tcPr>
          <w:p>
            <w:pPr>
              <w:ind w:left="180"/>
              <w:spacing w:after="0"/>
              <w:rPr>
                <w:sz w:val="20"/>
                <w:szCs w:val="20"/>
                <w:color w:val="auto"/>
              </w:rPr>
            </w:pPr>
            <w:r>
              <w:rPr>
                <w:rFonts w:ascii="Arial" w:cs="Arial" w:eastAsia="Arial" w:hAnsi="Arial"/>
                <w:sz w:val="18"/>
                <w:szCs w:val="18"/>
                <w:color w:val="auto"/>
              </w:rPr>
              <w:t>Restricted shares forgiven for taxes</w:t>
            </w: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2"/>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462,525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(269,750)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154,444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3"/>
        </w:trPr>
        <w:tc>
          <w:tcPr>
            <w:tcW w:w="4720" w:type="dxa"/>
            <w:vAlign w:val="bottom"/>
          </w:tcPr>
          <w:p>
            <w:pPr>
              <w:spacing w:after="0"/>
              <w:rPr>
                <w:sz w:val="24"/>
                <w:szCs w:val="24"/>
                <w:color w:val="auto"/>
              </w:rPr>
            </w:pPr>
          </w:p>
        </w:tc>
        <w:tc>
          <w:tcPr>
            <w:tcW w:w="164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Accumulated other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center"/>
              <w:ind w:right="55"/>
              <w:spacing w:after="0" w:line="155" w:lineRule="exact"/>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6"/>
              <w:spacing w:after="0" w:line="155"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55"/>
              <w:spacing w:after="0" w:line="155"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5"/>
              <w:spacing w:after="0" w:line="155"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224,185</w:t>
            </w:r>
          </w:p>
        </w:tc>
        <w:tc>
          <w:tcPr>
            <w:tcW w:w="0" w:type="dxa"/>
            <w:vAlign w:val="bottom"/>
          </w:tcPr>
          <w:p>
            <w:pPr>
              <w:spacing w:after="0"/>
              <w:rPr>
                <w:sz w:val="1"/>
                <w:szCs w:val="1"/>
                <w:color w:val="auto"/>
              </w:rPr>
            </w:pPr>
          </w:p>
        </w:tc>
      </w:tr>
      <w:tr>
        <w:trPr>
          <w:trHeight w:val="237"/>
        </w:trPr>
        <w:tc>
          <w:tcPr>
            <w:tcW w:w="47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(11,869)</w:t>
            </w: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accrued for preferred stock</w:t>
            </w: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w w:val="94"/>
              </w:rPr>
              <w:t>Shares issued under stock incentive plans, net of forfeitures</w:t>
            </w:r>
          </w:p>
        </w:tc>
        <w:tc>
          <w:tcPr>
            <w:tcW w:w="86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Restricted shares forgiven for taxes</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Balance as of June 30, 2022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206,322</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(24,552)</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(11,869)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23,066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22,769</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Paid-in-kind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derivative loss (gain), net of cash settlements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1,515</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r>
      <w:tr>
        <w:trPr>
          <w:trHeight w:val="237"/>
        </w:trPr>
        <w:tc>
          <w:tcPr>
            <w:tcW w:w="82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w:t>
            </w:r>
          </w:p>
        </w:tc>
      </w:tr>
      <w:tr>
        <w:trPr>
          <w:trHeight w:val="230"/>
        </w:trPr>
        <w:tc>
          <w:tcPr>
            <w:tcW w:w="826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(10,586)</w:t>
            </w:r>
          </w:p>
        </w:tc>
      </w:tr>
      <w:tr>
        <w:trPr>
          <w:trHeight w:val="229"/>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w:t>
            </w:r>
          </w:p>
        </w:tc>
      </w:tr>
      <w:tr>
        <w:trPr>
          <w:trHeight w:val="237"/>
        </w:trPr>
        <w:tc>
          <w:tcPr>
            <w:tcW w:w="8260" w:type="dxa"/>
            <w:vAlign w:val="bottom"/>
          </w:tcPr>
          <w:p>
            <w:pPr>
              <w:ind w:left="680"/>
              <w:spacing w:after="0"/>
              <w:rPr>
                <w:sz w:val="20"/>
                <w:szCs w:val="20"/>
                <w:color w:val="auto"/>
              </w:rPr>
            </w:pPr>
            <w:r>
              <w:rPr>
                <w:rFonts w:ascii="Arial" w:cs="Arial" w:eastAsia="Arial" w:hAnsi="Arial"/>
                <w:sz w:val="18"/>
                <w:szCs w:val="18"/>
                <w:color w:val="auto"/>
              </w:rPr>
              <w:t>Income taxes receivable and payable,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36"/>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(12,196)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(9,703)</w:t>
            </w:r>
          </w:p>
        </w:tc>
      </w:tr>
      <w:tr>
        <w:trPr>
          <w:trHeight w:val="22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plant,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(9,419)</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Cash paid for debt issuance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short-term debt, net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r>
      <w:tr>
        <w:trPr>
          <w:trHeight w:val="22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flows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12,808</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28,656</w:t>
            </w:r>
          </w:p>
        </w:tc>
      </w:tr>
      <w:tr>
        <w:trPr>
          <w:trHeight w:val="25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6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NN, Inc. is a global diversified industrial company that combines advanced engineering and production capabilities with in-depth materials science expertise to design and manufacture high-precision components and assemblies primarily for the automotive, general industrial, electrical, aerospace, defense, and medical markets. As used in this Quarterly Report on Form 10-Q (this “Quarterly Report”), the terms “NN,” the “Company,” “we,” “our,” or “us” refer to NN, Inc., and its subsidiaries. As of June 30, 2023, we had 27 facilities in North America, Europe, South America, and Asia.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condensed consolidated financial statements have not been audited. The Condensed Consolidated Balance Sheet as of December 31, 2022, was derived from the audited consolidated financial statements included in our Annual Report on Form 10-K for the year ended December 31, 2022 (the “2022 Annual Report”), which we filed with the U.S. Securities and Exchange Commission (the “SEC”) on March 10, 2023. In management’s opinion, the accompanying unaudited condensed consolidated financial statements reflect all adjustments necessary to fairly state our results of operations for the three and six months ended June 30, 2023 and 2022; financial position as of June 30, 2023 and December 31, 2022; and cash flows for the six months ended June 30, 2023 and 2022, on a basis consistent with our audited consolidated financial statements. These adjustments are of a normal recurring nature and are, in the opinion of management, necessary to state fairly the Company’s financial position and operating results for the interim periods. Certain prior period amounts have been reclassified to conform to the current year’s presentation.</w:t>
      </w:r>
    </w:p>
    <w:p>
      <w:pPr>
        <w:spacing w:after="0" w:line="7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2022 Annual Report. The results for the three and six months ended June 30, 2023, are not necessarily indicative of results for the year ending December 31, 2023, or any other future periods.</w:t>
      </w:r>
    </w:p>
    <w:p>
      <w:pPr>
        <w:spacing w:after="0" w:line="5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Sales Programs</w:t>
      </w:r>
    </w:p>
    <w:p>
      <w:pPr>
        <w:spacing w:after="0" w:line="6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participate in programs established by our customers which allows us to sell certain receivables from that customer on a non-recourse basis to a third-party financial institution. During the six months ended June 30, 2023, we incurred fees of $0.5 million, related to the sale of receivables which is recorded in the Other expense (income), net line item on the Condensed Consolidated Statements of Operations and Comprehensive Income (Loss).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Closures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Due to ongoing efforts to optimize the Company’s manufacturing footprint, we ceased manufacturing operations at several facilities during the six months ended June 30, 2023, including at our Irvine and Taunton locations. We sold machinery and equipment from these locations and recognized a gain (loss) on sales of $0.3 million and $(0.2) million during the three and six months ended June 30, 2023, respectively. The gains (losses), which are primarily reported within our Power Solutions segment, are included in the Other operating expense (income), net line item on the Condensed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Segment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aggregated into the following two reportable segments:</w:t>
      </w:r>
    </w:p>
    <w:p>
      <w:pPr>
        <w:spacing w:after="0" w:line="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Mobile Solutions, which is focused on growth in the automotive, general industrial, and medical end markets;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Solutions, which is focused on growth in the electrical, general industrial, automotive, and medical end markets.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These divisions are considered our two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financial performance by reportable segment.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Mobile Solutions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77,153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73,350</w:t>
            </w: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5"/>
          </w:tcPr>
          <w:p>
            <w:pPr>
              <w:jc w:val="right"/>
              <w:ind w:right="80"/>
              <w:spacing w:after="0"/>
              <w:rPr>
                <w:sz w:val="20"/>
                <w:szCs w:val="20"/>
                <w:color w:val="auto"/>
              </w:rPr>
            </w:pPr>
            <w:r>
              <w:rPr>
                <w:rFonts w:ascii="Arial" w:cs="Arial" w:eastAsia="Arial" w:hAnsi="Arial"/>
                <w:sz w:val="18"/>
                <w:szCs w:val="18"/>
                <w:color w:val="auto"/>
              </w:rPr>
              <w:t>155,171</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149,420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 Solutions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52,049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97,134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Intersegment sales eliminations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125,362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252,294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253,429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Mobile Solutions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(4,780)</w:t>
            </w:r>
          </w:p>
        </w:tc>
        <w:tc>
          <w:tcPr>
            <w:tcW w:w="4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Power Solutions</w:t>
            </w: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1,430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5"/>
          </w:tcPr>
          <w:p>
            <w:pPr>
              <w:jc w:val="right"/>
              <w:ind w:right="80"/>
              <w:spacing w:after="0"/>
              <w:rPr>
                <w:sz w:val="20"/>
                <w:szCs w:val="20"/>
                <w:color w:val="auto"/>
              </w:rPr>
            </w:pPr>
            <w:r>
              <w:rPr>
                <w:rFonts w:ascii="Arial" w:cs="Arial" w:eastAsia="Arial" w:hAnsi="Arial"/>
                <w:sz w:val="18"/>
                <w:szCs w:val="18"/>
                <w:color w:val="auto"/>
              </w:rPr>
              <w:t>4,330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(10,672)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(4,514)</w:t>
            </w:r>
          </w:p>
        </w:tc>
        <w:tc>
          <w:tcPr>
            <w:tcW w:w="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(11,122)</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Note 3. Inventories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18"/>
                <w:szCs w:val="18"/>
                <w:color w:val="auto"/>
              </w:rPr>
              <w:t>Inventories are comprised of the following amounts:</w:t>
            </w: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rPr>
              <w:t>June 30, 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77,386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Note 4. Intangible Assets</w:t>
            </w: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60" w:type="dxa"/>
            <w:vAlign w:val="bottom"/>
            <w:gridSpan w:val="8"/>
          </w:tcPr>
          <w:p>
            <w:pPr>
              <w:spacing w:after="0"/>
              <w:rPr>
                <w:sz w:val="20"/>
                <w:szCs w:val="20"/>
                <w:color w:val="auto"/>
              </w:rPr>
            </w:pPr>
            <w:r>
              <w:rPr>
                <w:rFonts w:ascii="Arial" w:cs="Arial" w:eastAsia="Arial" w:hAnsi="Arial"/>
                <w:sz w:val="18"/>
                <w:szCs w:val="18"/>
                <w:color w:val="auto"/>
                <w:w w:val="93"/>
              </w:rPr>
              <w:t>The following table shows changes in the carrying amount of intangible assets, net, by reportable segment.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Mobile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Power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0"/>
              </w:rPr>
              <w:t>Solutions</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22,356</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4"/>
              </w:rPr>
              <w:t>50,535</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91"/>
              </w:rPr>
              <w:t>(5,449)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94"/>
              </w:rPr>
              <w:t>45,086</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center"/>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Intangible assets are reviewed for impairment when changes in circumstances indicate the carrying value of those assets may not be recoverable. There were no indicators of impairment at June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Joint Venture</w:t>
      </w:r>
    </w:p>
    <w:p>
      <w:pPr>
        <w:spacing w:after="0" w:line="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The following table shows changes in our investment in the JV.</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9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31,802</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Share of earnings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3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loss</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31,570</w:t>
            </w:r>
          </w:p>
        </w:tc>
      </w:tr>
      <w:tr>
        <w:trPr>
          <w:trHeight w:val="27"/>
        </w:trPr>
        <w:tc>
          <w:tcPr>
            <w:tcW w:w="95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effective tax rate was (2.1)% and (6.7)% for the three and six months ended June 30, 2023, respectively, and (13.2)% and (21.9)% for the three and six months ended June 30, 2022, respectively. The effective tax rates for the three and six months ended June 30, 2023 differ from the U.S. federal statutory tax rate of 21% primarily due to the accrual of tax on non-permanently reinvested unremitted earnings of foreign subsidiaries and by limitation on the amount of tax benefit recorded for loss carryforwards in certain jurisdictions where we believe it is more likely than not that a portion of the future tax benefit may not be realized. In addition, the effective tax rate was unfavorably impacted by the U.S. tax on the earnings of foreign subsidiaries under the global intangible low-taxed income regime.</w:t>
      </w:r>
    </w:p>
    <w:p>
      <w:pPr>
        <w:sectPr>
          <w:pgSz w:w="11900" w:h="16838" w:orient="portrait"/>
          <w:cols w:equalWidth="0" w:num="1">
            <w:col w:w="11240"/>
          </w:cols>
          <w:pgMar w:left="320" w:top="4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6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March 22, 2021, we entered into a new $150.0 million term loan facility (as amended from time to time, the “Term Loan Facility”) and a new $50.0 million asset backed credit facility (as amended from time to time, the “ABL Facility”). On March 3, 2023, we amended the Term Loan Facility (the “Term Loan Amendment”) and ABL Facility to adjust certain covenants under the agreements, as well as to replace references to LIBOR with secured overnight finance rate (“SOFR”) for interest rate calculations. The following table presents the outstanding debt balances.</w:t>
      </w: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147,375</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ABL Facility</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loans</w:t>
            </w:r>
          </w:p>
        </w:tc>
        <w:tc>
          <w:tcPr>
            <w:tcW w:w="2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r>
      <w:tr>
        <w:trPr>
          <w:trHeight w:val="223"/>
        </w:trPr>
        <w:tc>
          <w:tcPr>
            <w:tcW w:w="7820" w:type="dxa"/>
            <w:vAlign w:val="bottom"/>
          </w:tcPr>
          <w:p>
            <w:pPr>
              <w:ind w:left="140"/>
              <w:spacing w:after="0"/>
              <w:rPr>
                <w:sz w:val="20"/>
                <w:szCs w:val="20"/>
                <w:color w:val="auto"/>
              </w:rPr>
            </w:pPr>
            <w:r>
              <w:rPr>
                <w:rFonts w:ascii="Arial" w:cs="Arial" w:eastAsia="Arial" w:hAnsi="Arial"/>
                <w:sz w:val="18"/>
                <w:szCs w:val="18"/>
                <w:color w:val="auto"/>
              </w:rPr>
              <w:t>Total principal</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161,776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157,104</w:t>
            </w:r>
          </w:p>
        </w:tc>
      </w:tr>
      <w:tr>
        <w:trPr>
          <w:trHeight w:val="229"/>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short-term debt and current maturities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Principal of long-term debt, net of current portion</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154,966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153,783</w:t>
            </w:r>
          </w:p>
        </w:tc>
      </w:tr>
      <w:tr>
        <w:trPr>
          <w:trHeight w:val="23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 and discount (1)</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r>
      <w:tr>
        <w:trPr>
          <w:trHeight w:val="223"/>
        </w:trPr>
        <w:tc>
          <w:tcPr>
            <w:tcW w:w="782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148,636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149,389</w:t>
            </w:r>
          </w:p>
        </w:tc>
      </w:tr>
      <w:tr>
        <w:trPr>
          <w:trHeight w:val="21"/>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73" w:lineRule="exact"/>
        <w:rPr>
          <w:sz w:val="20"/>
          <w:szCs w:val="20"/>
          <w:color w:val="auto"/>
        </w:rPr>
      </w:pPr>
    </w:p>
    <w:p>
      <w:pPr>
        <w:ind w:left="420" w:right="140" w:hanging="250"/>
        <w:spacing w:after="0" w:line="277" w:lineRule="auto"/>
        <w:tabs>
          <w:tab w:leader="none" w:pos="4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this amount, costs of $0.6 million and $0.6 million related to the ABL Facility were recorded in other non-current assets as of June 30, 2023 and December 31, 2022,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6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Effective March 31, 2023, outstanding borrowings under the Term Loan Facility bear interest at either 1) one-month, three-month, or six-month SOFR with a duration adjustment (“Adjusted SOFR”), subject to a 1.000% floor, plus an applicable margin of 6.875%, or 2) the greater of various benchmark rates plus an applicable margin of 5.875%. Beginning in the second quarter of 2023, interest was increased on a paid-in-kind basis at a rate between 1.00% and 2.00% (“PIK interest”), dependent on the Company’s leverage ratio. The PIK interest is payable on the loan maturity date of September 22, 2026. At June 30, 2023, the Term Loan Facility bore interest, including PIK interest, based on one-month Adjusted SOFR, at 14.077%.</w:t>
      </w:r>
    </w:p>
    <w:p>
      <w:pPr>
        <w:spacing w:after="0" w:line="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Term Loan Facility requires quarterly principal payments of $0.4 million with the remaining unpaid principal amount due at the loan maturity date. We may be required to make additional principal payments annually that are calculated as a percentage of our excess cash flow, as defined by the lender, based on our net leverage ratio. The Term Loan Facility is collateralized by all of our assets. The Term Loan Facility has a first lien on all domestic assets other than accounts receivable and inventory and has a second lien on domestic accounts receivable and inventory. We were in compliance with all requirements under the Term Loan Facility as of June 30, 2023.</w:t>
      </w:r>
    </w:p>
    <w:p>
      <w:pPr>
        <w:spacing w:after="0" w:line="8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Term Loan Facility was issued at a $3.8 million discount and we have capitalized an additional $5.3 million in debt issuance costs. These costs are recorded as a direct reduction to the carrying amount of the associated long-term debt and amortized over the term of the debt.</w:t>
      </w:r>
    </w:p>
    <w:p>
      <w:pPr>
        <w:spacing w:after="0" w:line="3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had an interest rate swap that changed the one-month LIBOR to a fixed rate of 1.291% on $60.0 million of the outstanding balance of the Term Loan Facility. During the first quarter of 2023, we terminated the interest rate swap and received cash proceeds of $2.5 million which was equal to its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Facility</w:t>
      </w:r>
    </w:p>
    <w:p>
      <w:pPr>
        <w:spacing w:after="0" w:line="6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Effective March 3, 2023, the variable borrowing rate is either 1) Adjusted SOFR plus an applicable margin of 1.75% or 2.00%, depending on availability, or 2) the greater of the federal funds rate or prime, plus an applicable margin of 0.75% or 1.00%, depending on availability. We may elect whether to use one-month, three-month, or six-month Adjusted SOFR. At June 30, 2023, using one-month Adjusted SOFR plus a 2.00% margin, the weighted average interest rate on outstanding borrowings under the ABL Facility was 7.246%. We pay a commitment fee of 0.375% for unused capacity under the ABL Facility and a 2.125% fee on the amount of letters of credit outstanding. The final maturity date of the ABL Facility is March 22,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3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June 30, 2023, we had $3.0 million of outstanding borrowings under the ABL Facility, $10.9 million of outstanding letters of credit, and $29.7 million available for future borrowings under the ABL Facility. The ABL Facility has a first lien on domestic accounts receivable and inventory. We were in compliance with all requirements under the ABL Facility as of June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supplemental cash flow information related to leases.</w:t>
      </w:r>
    </w:p>
    <w:p>
      <w:pPr>
        <w:spacing w:after="0" w:line="4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Operating cash flows used in finance leases</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167</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used in operating leases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7,310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w:t>
            </w:r>
          </w:p>
        </w:tc>
      </w:tr>
      <w:tr>
        <w:trPr>
          <w:trHeight w:val="237"/>
        </w:trPr>
        <w:tc>
          <w:tcPr>
            <w:tcW w:w="8220" w:type="dxa"/>
            <w:vAlign w:val="bottom"/>
          </w:tcPr>
          <w:p>
            <w:pPr>
              <w:ind w:left="220"/>
              <w:spacing w:after="0"/>
              <w:rPr>
                <w:sz w:val="20"/>
                <w:szCs w:val="20"/>
                <w:color w:val="auto"/>
              </w:rPr>
            </w:pPr>
            <w:r>
              <w:rPr>
                <w:rFonts w:ascii="Arial" w:cs="Arial" w:eastAsia="Arial" w:hAnsi="Arial"/>
                <w:sz w:val="18"/>
                <w:szCs w:val="18"/>
                <w:color w:val="auto"/>
              </w:rPr>
              <w:t>Financing cash flows used in finance leases</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1,418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1,440</w:t>
            </w: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1,619</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2,178</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new leases, renewals, and modifications.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5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 not expect to incur a loss related to this matter even in the event of an unfavorable decision and, therefore, have not accrued an amount for the remaining matters as of June 30,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Matters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Preferred Stock and Stockholders' Equity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Perpetual Preferred Stock</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22, 2021, we completed a private placement of 65,000 shares of newly designated Series D Perpetual Preferred Stock, with a par value of $0.01 per share (the “Series D Preferred Stock”), at a price of $1,000 per share, together with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3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detachable warrants (the “2021 Warrants”) to purchase up to 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Beginning March 22, 2026, the cash dividend rate and in-kind dividend rate increase by 2.5% per year. Cash dividends are required beginning on September 30, 2027.</w:t>
      </w:r>
    </w:p>
    <w:p>
      <w:pPr>
        <w:spacing w:after="0" w:line="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retained earnings (or in the absence of retained earnings, additional paid-in capital).</w:t>
      </w:r>
    </w:p>
    <w:p>
      <w:pPr>
        <w:spacing w:after="0" w:line="5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 accordance with ASC 815-15, </w:t>
      </w:r>
      <w:r>
        <w:rPr>
          <w:rFonts w:ascii="Arial" w:cs="Arial" w:eastAsia="Arial" w:hAnsi="Arial"/>
          <w:sz w:val="18"/>
          <w:szCs w:val="18"/>
          <w:i w:val="1"/>
          <w:iCs w:val="1"/>
          <w:color w:val="auto"/>
        </w:rPr>
        <w:t>Derivatives and Hedging - Embedded Derivatives,</w:t>
      </w:r>
      <w:r>
        <w:rPr>
          <w:rFonts w:ascii="Arial" w:cs="Arial" w:eastAsia="Arial" w:hAnsi="Arial"/>
          <w:sz w:val="18"/>
          <w:szCs w:val="18"/>
          <w:color w:val="auto"/>
        </w:rPr>
        <w:t xml:space="preserve"> certain features of the Series D Preferred Stock were bifurcated and accounted for as derivatives separately. Note 15 discusses the accounting for these features.</w:t>
      </w:r>
    </w:p>
    <w:p>
      <w:pPr>
        <w:spacing w:after="0" w:line="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June 30, 2023, the carrying value of the Series D Preferred Stock shares was $70.9 million, which included $24.3 million of accumulated unpaid and deemed dividends. The following table presents the change in the Series D Preferred Stock carrying value during the six months ended June 30,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64,701</w:t>
            </w:r>
          </w:p>
        </w:tc>
      </w:tr>
      <w:tr>
        <w:trPr>
          <w:trHeight w:val="237"/>
        </w:trPr>
        <w:tc>
          <w:tcPr>
            <w:tcW w:w="9380" w:type="dxa"/>
            <w:vAlign w:val="bottom"/>
          </w:tcPr>
          <w:p>
            <w:pPr>
              <w:ind w:left="20"/>
              <w:spacing w:after="0"/>
              <w:rPr>
                <w:sz w:val="20"/>
                <w:szCs w:val="20"/>
                <w:color w:val="auto"/>
              </w:rPr>
            </w:pPr>
            <w:r>
              <w:rPr>
                <w:rFonts w:ascii="Arial" w:cs="Arial" w:eastAsia="Arial" w:hAnsi="Arial"/>
                <w:sz w:val="18"/>
                <w:szCs w:val="18"/>
                <w:color w:val="auto"/>
              </w:rPr>
              <w:t>Accrual of in-kind dividends</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4,893</w:t>
            </w:r>
          </w:p>
        </w:tc>
      </w:tr>
      <w:tr>
        <w:trPr>
          <w:trHeight w:val="222"/>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37"/>
        </w:trPr>
        <w:tc>
          <w:tcPr>
            <w:tcW w:w="938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70,948</w:t>
            </w:r>
          </w:p>
        </w:tc>
      </w:tr>
      <w:tr>
        <w:trPr>
          <w:trHeight w:val="20"/>
        </w:trPr>
        <w:tc>
          <w:tcPr>
            <w:tcW w:w="9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Revenue from Contracts with Customers</w:t>
      </w:r>
    </w:p>
    <w:p>
      <w:pPr>
        <w:spacing w:after="0" w:line="6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ectPr>
          <w:pgSz w:w="11900" w:h="16838" w:orient="portrait"/>
          <w:cols w:equalWidth="0" w:num="1">
            <w:col w:w="11240"/>
          </w:cols>
          <w:pgMar w:left="320" w:top="481" w:right="3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revenue by customer geographical region.</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Three Months Ended June 30, 2023</w:t>
            </w:r>
          </w:p>
        </w:tc>
        <w:tc>
          <w:tcPr>
            <w:tcW w:w="3200" w:type="dxa"/>
            <w:vAlign w:val="bottom"/>
          </w:tcPr>
          <w:p>
            <w:pPr>
              <w:spacing w:after="0"/>
              <w:rPr>
                <w:sz w:val="14"/>
                <w:szCs w:val="14"/>
                <w:color w:val="auto"/>
              </w:rPr>
            </w:pPr>
          </w:p>
        </w:tc>
      </w:tr>
      <w:tr>
        <w:trPr>
          <w:trHeight w:val="264"/>
        </w:trPr>
        <w:tc>
          <w:tcPr>
            <w:tcW w:w="2180" w:type="dxa"/>
            <w:vAlign w:val="bottom"/>
          </w:tcPr>
          <w:p>
            <w:pPr>
              <w:spacing w:after="0"/>
              <w:rPr>
                <w:sz w:val="20"/>
                <w:szCs w:val="20"/>
                <w:color w:val="auto"/>
              </w:rPr>
            </w:pPr>
            <w:r>
              <w:rPr>
                <w:rFonts w:ascii="Arial" w:cs="Arial" w:eastAsia="Arial" w:hAnsi="Arial"/>
                <w:sz w:val="18"/>
                <w:szCs w:val="18"/>
                <w:color w:val="auto"/>
                <w:w w:val="89"/>
              </w:rPr>
              <w:t>United States and Puerto Rico</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180" w:type="dxa"/>
            <w:vAlign w:val="bottom"/>
          </w:tcPr>
          <w:p>
            <w:pPr>
              <w:spacing w:after="0"/>
              <w:rPr>
                <w:sz w:val="20"/>
                <w:szCs w:val="20"/>
                <w:color w:val="auto"/>
              </w:rPr>
            </w:pPr>
            <w:r>
              <w:rPr>
                <w:rFonts w:ascii="Arial" w:cs="Arial" w:eastAsia="Arial" w:hAnsi="Arial"/>
                <w:sz w:val="18"/>
                <w:szCs w:val="18"/>
                <w:color w:val="auto"/>
              </w:rPr>
              <w:t>China</w:t>
            </w:r>
          </w:p>
        </w:tc>
        <w:tc>
          <w:tcPr>
            <w:tcW w:w="3200" w:type="dxa"/>
            <w:vAlign w:val="bottom"/>
          </w:tcPr>
          <w:p>
            <w:pPr>
              <w:spacing w:after="0"/>
              <w:rPr>
                <w:sz w:val="21"/>
                <w:szCs w:val="2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Brazil</w:t>
            </w:r>
          </w:p>
        </w:tc>
        <w:tc>
          <w:tcPr>
            <w:tcW w:w="3200" w:type="dxa"/>
            <w:vAlign w:val="bottom"/>
          </w:tcPr>
          <w:p>
            <w:pPr>
              <w:spacing w:after="0"/>
              <w:rPr>
                <w:sz w:val="19"/>
                <w:szCs w:val="19"/>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Mexico</w:t>
            </w:r>
          </w:p>
        </w:tc>
        <w:tc>
          <w:tcPr>
            <w:tcW w:w="3200" w:type="dxa"/>
            <w:vAlign w:val="bottom"/>
          </w:tcPr>
          <w:p>
            <w:pPr>
              <w:spacing w:after="0"/>
              <w:rPr>
                <w:sz w:val="20"/>
                <w:szCs w:val="20"/>
                <w:color w:val="auto"/>
              </w:rPr>
            </w:pPr>
          </w:p>
        </w:tc>
      </w:tr>
      <w:tr>
        <w:trPr>
          <w:trHeight w:val="242"/>
        </w:trPr>
        <w:tc>
          <w:tcPr>
            <w:tcW w:w="2180" w:type="dxa"/>
            <w:vAlign w:val="bottom"/>
          </w:tcPr>
          <w:p>
            <w:pPr>
              <w:spacing w:after="0"/>
              <w:rPr>
                <w:sz w:val="20"/>
                <w:szCs w:val="20"/>
                <w:color w:val="auto"/>
              </w:rPr>
            </w:pPr>
            <w:r>
              <w:rPr>
                <w:rFonts w:ascii="Arial" w:cs="Arial" w:eastAsia="Arial" w:hAnsi="Arial"/>
                <w:sz w:val="18"/>
                <w:szCs w:val="18"/>
                <w:color w:val="auto"/>
              </w:rPr>
              <w:t>Germany</w:t>
            </w:r>
          </w:p>
        </w:tc>
        <w:tc>
          <w:tcPr>
            <w:tcW w:w="3200" w:type="dxa"/>
            <w:vAlign w:val="bottom"/>
          </w:tcPr>
          <w:p>
            <w:pPr>
              <w:spacing w:after="0"/>
              <w:rPr>
                <w:sz w:val="21"/>
                <w:szCs w:val="2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Poland</w:t>
            </w:r>
          </w:p>
        </w:tc>
        <w:tc>
          <w:tcPr>
            <w:tcW w:w="3200" w:type="dxa"/>
            <w:vAlign w:val="bottom"/>
          </w:tcPr>
          <w:p>
            <w:pPr>
              <w:spacing w:after="0"/>
              <w:rPr>
                <w:sz w:val="19"/>
                <w:szCs w:val="19"/>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Other</w:t>
            </w:r>
          </w:p>
        </w:tc>
        <w:tc>
          <w:tcPr>
            <w:tcW w:w="3200" w:type="dxa"/>
            <w:vAlign w:val="bottom"/>
          </w:tcPr>
          <w:p>
            <w:pPr>
              <w:spacing w:after="0"/>
              <w:rPr>
                <w:sz w:val="20"/>
                <w:szCs w:val="20"/>
                <w:color w:val="auto"/>
              </w:rPr>
            </w:pPr>
          </w:p>
        </w:tc>
      </w:tr>
      <w:tr>
        <w:trPr>
          <w:trHeight w:val="256"/>
        </w:trPr>
        <w:tc>
          <w:tcPr>
            <w:tcW w:w="2180" w:type="dxa"/>
            <w:vAlign w:val="bottom"/>
          </w:tcPr>
          <w:p>
            <w:pPr>
              <w:spacing w:after="0"/>
              <w:rPr>
                <w:sz w:val="20"/>
                <w:szCs w:val="20"/>
                <w:color w:val="auto"/>
              </w:rPr>
            </w:pPr>
            <w:r>
              <w:rPr>
                <w:rFonts w:ascii="Arial" w:cs="Arial" w:eastAsia="Arial" w:hAnsi="Arial"/>
                <w:sz w:val="18"/>
                <w:szCs w:val="18"/>
                <w:color w:val="auto"/>
              </w:rPr>
              <w:t>Total net sales</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64"/>
        </w:trPr>
        <w:tc>
          <w:tcPr>
            <w:tcW w:w="2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Three Months Ended June 30, 2022</w:t>
            </w:r>
          </w:p>
        </w:tc>
        <w:tc>
          <w:tcPr>
            <w:tcW w:w="3200" w:type="dxa"/>
            <w:vAlign w:val="bottom"/>
          </w:tcPr>
          <w:p>
            <w:pPr>
              <w:spacing w:after="0"/>
              <w:rPr>
                <w:sz w:val="24"/>
                <w:szCs w:val="24"/>
                <w:color w:val="auto"/>
              </w:rPr>
            </w:pPr>
          </w:p>
        </w:tc>
      </w:tr>
      <w:tr>
        <w:trPr>
          <w:trHeight w:val="263"/>
        </w:trPr>
        <w:tc>
          <w:tcPr>
            <w:tcW w:w="2180" w:type="dxa"/>
            <w:vAlign w:val="bottom"/>
          </w:tcPr>
          <w:p>
            <w:pPr>
              <w:spacing w:after="0"/>
              <w:rPr>
                <w:sz w:val="20"/>
                <w:szCs w:val="20"/>
                <w:color w:val="auto"/>
              </w:rPr>
            </w:pPr>
            <w:r>
              <w:rPr>
                <w:rFonts w:ascii="Arial" w:cs="Arial" w:eastAsia="Arial" w:hAnsi="Arial"/>
                <w:sz w:val="18"/>
                <w:szCs w:val="18"/>
                <w:color w:val="auto"/>
                <w:w w:val="89"/>
              </w:rPr>
              <w:t>United States and Puerto Rico</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China</w:t>
            </w:r>
          </w:p>
        </w:tc>
        <w:tc>
          <w:tcPr>
            <w:tcW w:w="3200" w:type="dxa"/>
            <w:vAlign w:val="bottom"/>
          </w:tcPr>
          <w:p>
            <w:pPr>
              <w:spacing w:after="0"/>
              <w:rPr>
                <w:sz w:val="19"/>
                <w:szCs w:val="19"/>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Brazil</w:t>
            </w:r>
          </w:p>
        </w:tc>
        <w:tc>
          <w:tcPr>
            <w:tcW w:w="3200" w:type="dxa"/>
            <w:vAlign w:val="bottom"/>
          </w:tcPr>
          <w:p>
            <w:pPr>
              <w:spacing w:after="0"/>
              <w:rPr>
                <w:sz w:val="20"/>
                <w:szCs w:val="20"/>
                <w:color w:val="auto"/>
              </w:rPr>
            </w:pPr>
          </w:p>
        </w:tc>
      </w:tr>
      <w:tr>
        <w:trPr>
          <w:trHeight w:val="242"/>
        </w:trPr>
        <w:tc>
          <w:tcPr>
            <w:tcW w:w="2180" w:type="dxa"/>
            <w:vAlign w:val="bottom"/>
          </w:tcPr>
          <w:p>
            <w:pPr>
              <w:spacing w:after="0"/>
              <w:rPr>
                <w:sz w:val="20"/>
                <w:szCs w:val="20"/>
                <w:color w:val="auto"/>
              </w:rPr>
            </w:pPr>
            <w:r>
              <w:rPr>
                <w:rFonts w:ascii="Arial" w:cs="Arial" w:eastAsia="Arial" w:hAnsi="Arial"/>
                <w:sz w:val="18"/>
                <w:szCs w:val="18"/>
                <w:color w:val="auto"/>
              </w:rPr>
              <w:t>Mexico</w:t>
            </w:r>
          </w:p>
        </w:tc>
        <w:tc>
          <w:tcPr>
            <w:tcW w:w="3200" w:type="dxa"/>
            <w:vAlign w:val="bottom"/>
          </w:tcPr>
          <w:p>
            <w:pPr>
              <w:spacing w:after="0"/>
              <w:rPr>
                <w:sz w:val="21"/>
                <w:szCs w:val="2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Germany</w:t>
            </w:r>
          </w:p>
        </w:tc>
        <w:tc>
          <w:tcPr>
            <w:tcW w:w="3200" w:type="dxa"/>
            <w:vAlign w:val="bottom"/>
          </w:tcPr>
          <w:p>
            <w:pPr>
              <w:spacing w:after="0"/>
              <w:rPr>
                <w:sz w:val="19"/>
                <w:szCs w:val="19"/>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Poland</w:t>
            </w:r>
          </w:p>
        </w:tc>
        <w:tc>
          <w:tcPr>
            <w:tcW w:w="3200" w:type="dxa"/>
            <w:vAlign w:val="bottom"/>
          </w:tcPr>
          <w:p>
            <w:pPr>
              <w:spacing w:after="0"/>
              <w:rPr>
                <w:sz w:val="20"/>
                <w:szCs w:val="20"/>
                <w:color w:val="auto"/>
              </w:rPr>
            </w:pPr>
          </w:p>
        </w:tc>
      </w:tr>
      <w:tr>
        <w:trPr>
          <w:trHeight w:val="242"/>
        </w:trPr>
        <w:tc>
          <w:tcPr>
            <w:tcW w:w="2180" w:type="dxa"/>
            <w:vAlign w:val="bottom"/>
          </w:tcPr>
          <w:p>
            <w:pPr>
              <w:spacing w:after="0"/>
              <w:rPr>
                <w:sz w:val="20"/>
                <w:szCs w:val="20"/>
                <w:color w:val="auto"/>
              </w:rPr>
            </w:pPr>
            <w:r>
              <w:rPr>
                <w:rFonts w:ascii="Arial" w:cs="Arial" w:eastAsia="Arial" w:hAnsi="Arial"/>
                <w:sz w:val="18"/>
                <w:szCs w:val="18"/>
                <w:color w:val="auto"/>
              </w:rPr>
              <w:t>Other</w:t>
            </w:r>
          </w:p>
        </w:tc>
        <w:tc>
          <w:tcPr>
            <w:tcW w:w="3200" w:type="dxa"/>
            <w:vAlign w:val="bottom"/>
          </w:tcPr>
          <w:p>
            <w:pPr>
              <w:spacing w:after="0"/>
              <w:rPr>
                <w:sz w:val="21"/>
                <w:szCs w:val="21"/>
                <w:color w:val="auto"/>
              </w:rPr>
            </w:pPr>
          </w:p>
        </w:tc>
      </w:tr>
      <w:tr>
        <w:trPr>
          <w:trHeight w:val="244"/>
        </w:trPr>
        <w:tc>
          <w:tcPr>
            <w:tcW w:w="2180" w:type="dxa"/>
            <w:vAlign w:val="bottom"/>
          </w:tcPr>
          <w:p>
            <w:pPr>
              <w:spacing w:after="0"/>
              <w:rPr>
                <w:sz w:val="20"/>
                <w:szCs w:val="20"/>
                <w:color w:val="auto"/>
              </w:rPr>
            </w:pPr>
            <w:r>
              <w:rPr>
                <w:rFonts w:ascii="Arial" w:cs="Arial" w:eastAsia="Arial" w:hAnsi="Arial"/>
                <w:sz w:val="18"/>
                <w:szCs w:val="18"/>
                <w:color w:val="auto"/>
              </w:rPr>
              <w:t>Total net sales</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vMerge w:val="restart"/>
          </w:tcPr>
          <w:p>
            <w:pPr>
              <w:jc w:val="center"/>
              <w:ind w:right="434"/>
              <w:spacing w:after="0"/>
              <w:rPr>
                <w:sz w:val="20"/>
                <w:szCs w:val="20"/>
                <w:color w:val="auto"/>
              </w:rPr>
            </w:pPr>
            <w:r>
              <w:rPr>
                <w:rFonts w:ascii="Arial" w:cs="Arial" w:eastAsia="Arial" w:hAnsi="Arial"/>
                <w:sz w:val="14"/>
                <w:szCs w:val="14"/>
                <w:b w:val="1"/>
                <w:bCs w:val="1"/>
                <w:color w:val="auto"/>
                <w:w w:val="94"/>
              </w:rPr>
              <w:t>Mobile</w:t>
            </w:r>
          </w:p>
        </w:tc>
        <w:tc>
          <w:tcPr>
            <w:tcW w:w="260" w:type="dxa"/>
            <w:vAlign w:val="bottom"/>
          </w:tcPr>
          <w:p>
            <w:pPr>
              <w:spacing w:after="0"/>
              <w:rPr>
                <w:sz w:val="14"/>
                <w:szCs w:val="14"/>
                <w:color w:val="auto"/>
              </w:rPr>
            </w:pPr>
          </w:p>
        </w:tc>
        <w:tc>
          <w:tcPr>
            <w:tcW w:w="1120" w:type="dxa"/>
            <w:vAlign w:val="bottom"/>
            <w:vMerge w:val="restart"/>
          </w:tcPr>
          <w:p>
            <w:pPr>
              <w:jc w:val="center"/>
              <w:ind w:right="174"/>
              <w:spacing w:after="0"/>
              <w:rPr>
                <w:sz w:val="20"/>
                <w:szCs w:val="20"/>
                <w:color w:val="auto"/>
              </w:rPr>
            </w:pPr>
            <w:r>
              <w:rPr>
                <w:rFonts w:ascii="Arial" w:cs="Arial" w:eastAsia="Arial" w:hAnsi="Arial"/>
                <w:sz w:val="14"/>
                <w:szCs w:val="14"/>
                <w:b w:val="1"/>
                <w:bCs w:val="1"/>
                <w:color w:val="auto"/>
                <w:w w:val="90"/>
              </w:rPr>
              <w:t>Power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Intersegment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100" w:type="dxa"/>
            <w:vAlign w:val="bottom"/>
          </w:tcPr>
          <w:p>
            <w:pPr>
              <w:jc w:val="center"/>
              <w:ind w:right="434"/>
              <w:spacing w:after="0"/>
              <w:rPr>
                <w:sz w:val="20"/>
                <w:szCs w:val="20"/>
                <w:color w:val="auto"/>
              </w:rPr>
            </w:pPr>
            <w:r>
              <w:rPr>
                <w:rFonts w:ascii="Arial" w:cs="Arial" w:eastAsia="Arial" w:hAnsi="Arial"/>
                <w:sz w:val="14"/>
                <w:szCs w:val="14"/>
                <w:b w:val="1"/>
                <w:bCs w:val="1"/>
                <w:color w:val="auto"/>
                <w:w w:val="90"/>
              </w:rPr>
              <w:t>Solutions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Solutions</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38,596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38,916</w:t>
            </w:r>
          </w:p>
        </w:tc>
        <w:tc>
          <w:tcPr>
            <w:tcW w:w="120" w:type="dxa"/>
            <w:vAlign w:val="bottom"/>
          </w:tcPr>
          <w:p>
            <w:pPr>
              <w:spacing w:after="0"/>
              <w:rPr>
                <w:sz w:val="20"/>
                <w:szCs w:val="20"/>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77,503</w:t>
            </w:r>
          </w:p>
        </w:tc>
        <w:tc>
          <w:tcPr>
            <w:tcW w:w="0" w:type="dxa"/>
            <w:vAlign w:val="bottom"/>
          </w:tcPr>
          <w:p>
            <w:pPr>
              <w:spacing w:after="0"/>
              <w:rPr>
                <w:sz w:val="1"/>
                <w:szCs w:val="1"/>
                <w:color w:val="auto"/>
              </w:rPr>
            </w:pPr>
          </w:p>
        </w:tc>
      </w:tr>
      <w:tr>
        <w:trPr>
          <w:trHeight w:val="241"/>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11,488</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13,548</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11,825</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11,979</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3,606</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42"/>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1,746</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1,772</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37"/>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8,120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11,691</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77,153</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48,062</w:t>
            </w:r>
          </w:p>
        </w:tc>
        <w:tc>
          <w:tcPr>
            <w:tcW w:w="1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125,206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1100" w:type="dxa"/>
            <w:vAlign w:val="bottom"/>
            <w:vMerge w:val="restart"/>
          </w:tcPr>
          <w:p>
            <w:pPr>
              <w:jc w:val="center"/>
              <w:ind w:right="434"/>
              <w:spacing w:after="0"/>
              <w:rPr>
                <w:sz w:val="20"/>
                <w:szCs w:val="20"/>
                <w:color w:val="auto"/>
              </w:rPr>
            </w:pPr>
            <w:r>
              <w:rPr>
                <w:rFonts w:ascii="Arial" w:cs="Arial" w:eastAsia="Arial" w:hAnsi="Arial"/>
                <w:sz w:val="14"/>
                <w:szCs w:val="14"/>
                <w:b w:val="1"/>
                <w:bCs w:val="1"/>
                <w:color w:val="auto"/>
                <w:w w:val="94"/>
              </w:rPr>
              <w:t>Mobile</w:t>
            </w:r>
          </w:p>
        </w:tc>
        <w:tc>
          <w:tcPr>
            <w:tcW w:w="260" w:type="dxa"/>
            <w:vAlign w:val="bottom"/>
          </w:tcPr>
          <w:p>
            <w:pPr>
              <w:spacing w:after="0"/>
              <w:rPr>
                <w:sz w:val="24"/>
                <w:szCs w:val="24"/>
                <w:color w:val="auto"/>
              </w:rPr>
            </w:pPr>
          </w:p>
        </w:tc>
        <w:tc>
          <w:tcPr>
            <w:tcW w:w="11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5"/>
              </w:rPr>
              <w:t>Power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Intersegment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15"/>
              <w:spacing w:after="0" w:line="139" w:lineRule="exact"/>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100" w:type="dxa"/>
            <w:vAlign w:val="bottom"/>
          </w:tcPr>
          <w:p>
            <w:pPr>
              <w:jc w:val="center"/>
              <w:ind w:right="434"/>
              <w:spacing w:after="0"/>
              <w:rPr>
                <w:sz w:val="20"/>
                <w:szCs w:val="20"/>
                <w:color w:val="auto"/>
              </w:rPr>
            </w:pPr>
            <w:r>
              <w:rPr>
                <w:rFonts w:ascii="Arial" w:cs="Arial" w:eastAsia="Arial" w:hAnsi="Arial"/>
                <w:sz w:val="14"/>
                <w:szCs w:val="14"/>
                <w:b w:val="1"/>
                <w:bCs w:val="1"/>
                <w:color w:val="auto"/>
                <w:w w:val="90"/>
              </w:rPr>
              <w:t>Solutions</w:t>
            </w:r>
          </w:p>
        </w:tc>
        <w:tc>
          <w:tcPr>
            <w:tcW w:w="26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00" w:type="dxa"/>
            <w:vAlign w:val="bottom"/>
            <w:vMerge w:val="restart"/>
          </w:tcPr>
          <w:p>
            <w:pPr>
              <w:jc w:val="right"/>
              <w:ind w:right="94"/>
              <w:spacing w:after="0"/>
              <w:rPr>
                <w:sz w:val="20"/>
                <w:szCs w:val="20"/>
                <w:color w:val="auto"/>
              </w:rPr>
            </w:pPr>
            <w:r>
              <w:rPr>
                <w:rFonts w:ascii="Arial" w:cs="Arial" w:eastAsia="Arial" w:hAnsi="Arial"/>
                <w:sz w:val="18"/>
                <w:szCs w:val="18"/>
                <w:color w:val="auto"/>
              </w:rPr>
              <w:t>35,954</w:t>
            </w: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40,377</w:t>
            </w:r>
          </w:p>
        </w:tc>
        <w:tc>
          <w:tcPr>
            <w:tcW w:w="14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76,294</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8,764</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11,293</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42"/>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8,087</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12,445</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1,121</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1,158</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6,973</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12,668</w:t>
            </w:r>
          </w:p>
        </w:tc>
        <w:tc>
          <w:tcPr>
            <w:tcW w:w="0" w:type="dxa"/>
            <w:vAlign w:val="bottom"/>
          </w:tcPr>
          <w:p>
            <w:pPr>
              <w:spacing w:after="0"/>
              <w:rPr>
                <w:sz w:val="1"/>
                <w:szCs w:val="1"/>
                <w:color w:val="auto"/>
              </w:rPr>
            </w:pPr>
          </w:p>
        </w:tc>
      </w:tr>
      <w:tr>
        <w:trPr>
          <w:trHeight w:val="223"/>
        </w:trPr>
        <w:tc>
          <w:tcPr>
            <w:tcW w:w="1100" w:type="dxa"/>
            <w:vAlign w:val="bottom"/>
          </w:tcPr>
          <w:p>
            <w:pPr>
              <w:jc w:val="right"/>
              <w:ind w:right="94"/>
              <w:spacing w:after="0"/>
              <w:rPr>
                <w:sz w:val="20"/>
                <w:szCs w:val="20"/>
                <w:color w:val="auto"/>
              </w:rPr>
            </w:pPr>
            <w:r>
              <w:rPr>
                <w:rFonts w:ascii="Arial" w:cs="Arial" w:eastAsia="Arial" w:hAnsi="Arial"/>
                <w:sz w:val="18"/>
                <w:szCs w:val="18"/>
                <w:color w:val="auto"/>
              </w:rPr>
              <w:t>73,350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52,049</w:t>
            </w:r>
          </w:p>
        </w:tc>
        <w:tc>
          <w:tcPr>
            <w:tcW w:w="14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125,362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-3016885</wp:posOffset>
            </wp:positionV>
            <wp:extent cx="7132320" cy="1062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-1807845</wp:posOffset>
            </wp:positionV>
            <wp:extent cx="8743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-1782445</wp:posOffset>
            </wp:positionV>
            <wp:extent cx="8743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-933450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-633730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-1233805</wp:posOffset>
            </wp:positionV>
            <wp:extent cx="7132320" cy="1054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410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-33655</wp:posOffset>
            </wp:positionV>
            <wp:extent cx="882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-8255</wp:posOffset>
            </wp:positionV>
            <wp:extent cx="882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00"/>
            <w:col w:w="5540"/>
          </w:cols>
          <w:pgMar w:left="320" w:top="481"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4"/>
              </w:rPr>
              <w:t>Mobile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5"/>
              </w:rPr>
              <w:t>Power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Intersegment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2023</w:t>
            </w: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94"/>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and Puerto Rico</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93"/>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28,109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155,171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97,134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left="775"/>
              <w:spacing w:after="0"/>
              <w:rPr>
                <w:sz w:val="20"/>
                <w:szCs w:val="20"/>
                <w:color w:val="auto"/>
              </w:rPr>
            </w:pPr>
            <w:r>
              <w:rPr>
                <w:rFonts w:ascii="Arial" w:cs="Arial" w:eastAsia="Arial" w:hAnsi="Arial"/>
                <w:sz w:val="18"/>
                <w:szCs w:val="18"/>
                <w:color w:val="auto"/>
                <w:w w:val="93"/>
              </w:rPr>
              <w:t>(11)</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4"/>
              </w:rPr>
              <w:t>Mobile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5"/>
              </w:rPr>
              <w:t>Power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Intersegment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2022</w:t>
            </w: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194"/>
              <w:spacing w:after="0" w:line="158" w:lineRule="exact"/>
              <w:rPr>
                <w:sz w:val="20"/>
                <w:szCs w:val="20"/>
                <w:color w:val="auto"/>
              </w:rPr>
            </w:pPr>
            <w:r>
              <w:rPr>
                <w:rFonts w:ascii="Arial" w:cs="Arial" w:eastAsia="Arial" w:hAnsi="Arial"/>
                <w:sz w:val="14"/>
                <w:szCs w:val="14"/>
                <w:b w:val="1"/>
                <w:bCs w:val="1"/>
                <w:color w:val="auto"/>
                <w:w w:val="90"/>
              </w:rPr>
              <w:t>Solutions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ind w:right="154"/>
              <w:spacing w:after="0" w:line="158" w:lineRule="exact"/>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ind w:right="115"/>
              <w:spacing w:after="0" w:line="158" w:lineRule="exact"/>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and Puerto Rico</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80,863</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93"/>
              </w:rPr>
              <w:t>(51)</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9,099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104,060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(51)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specification plating, and surface finishing.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9"/>
              </w:rPr>
              <w:t>Mobile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Power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Intersegment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2023</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37"/>
              <w:spacing w:after="0" w:line="139" w:lineRule="exact"/>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75"/>
              <w:spacing w:after="0" w:line="158" w:lineRule="exact"/>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5"/>
              <w:spacing w:after="0" w:line="158" w:lineRule="exact"/>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37"/>
              <w:spacing w:after="0" w:line="158" w:lineRule="exact"/>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52,961</w:t>
            </w:r>
          </w:p>
        </w:tc>
        <w:tc>
          <w:tcPr>
            <w:tcW w:w="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General Industrial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Residential/Commercial Electrical</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9"/>
              </w:rPr>
              <w:t>Mobile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Power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Intersegment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37"/>
              <w:spacing w:after="0" w:line="139" w:lineRule="exact"/>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June 30, 2022</w:t>
            </w:r>
          </w:p>
        </w:tc>
        <w:tc>
          <w:tcPr>
            <w:tcW w:w="240" w:type="dxa"/>
            <w:vAlign w:val="bottom"/>
          </w:tcPr>
          <w:p>
            <w:pPr>
              <w:spacing w:after="0"/>
              <w:rPr>
                <w:sz w:val="14"/>
                <w:szCs w:val="14"/>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General Industrial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37,172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Residential/Commercial Electrical</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73,350</w:t>
            </w:r>
          </w:p>
        </w:tc>
        <w:tc>
          <w:tcPr>
            <w:tcW w:w="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52,049</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9"/>
              </w:rPr>
              <w:t>Mobile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95"/>
              </w:rPr>
              <w:t>Power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Intersegment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2023</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37"/>
              <w:spacing w:after="0" w:line="145" w:lineRule="exact"/>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General Industrial</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left="79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67,556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Residential/Commercial Electrical</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155,171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87"/>
              </w:rPr>
              <w:t>(11)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9"/>
              </w:rPr>
              <w:t>Mobile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95"/>
              </w:rPr>
              <w:t>Power</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Intersegment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2022</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75"/>
              <w:spacing w:after="0" w:line="158" w:lineRule="exact"/>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ind w:right="195"/>
              <w:spacing w:after="0" w:line="158" w:lineRule="exact"/>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General Industrial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left="79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Residential/Commercial Electrical</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35,956</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left="757"/>
              <w:spacing w:after="0"/>
              <w:rPr>
                <w:sz w:val="20"/>
                <w:szCs w:val="20"/>
                <w:color w:val="auto"/>
              </w:rPr>
            </w:pPr>
            <w:r>
              <w:rPr>
                <w:rFonts w:ascii="Arial" w:cs="Arial" w:eastAsia="Arial" w:hAnsi="Arial"/>
                <w:sz w:val="18"/>
                <w:szCs w:val="18"/>
                <w:color w:val="auto"/>
                <w:w w:val="93"/>
              </w:rPr>
              <w:t>(51)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757"/>
              <w:spacing w:after="0"/>
              <w:rPr>
                <w:sz w:val="20"/>
                <w:szCs w:val="20"/>
                <w:color w:val="auto"/>
              </w:rPr>
            </w:pPr>
            <w:r>
              <w:rPr>
                <w:rFonts w:ascii="Arial" w:cs="Arial" w:eastAsia="Arial" w:hAnsi="Arial"/>
                <w:sz w:val="18"/>
                <w:szCs w:val="18"/>
                <w:color w:val="auto"/>
                <w:w w:val="93"/>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Deferred revenue relates to payments received in advance of performance under the contract and recognized as revenue as (or when) we perform under the contract. The balance of deferred revenue was $1.1 million and $0.7 million as of June 30, 2023 and December 31, 2022, respectively. Revenue recognized for performance obligations satisfied or partially satisfied during the six months ended June 30, 2023 included $0.7 million that was included in deferred revenue as of December 31,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6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are required to disclose the aggregate amount of transaction price that is allocated to performance obligations that have not yet been satisfied as of June 30, 2023, unless our contracts meet one of the practical expedients. Our contracts met the practical expedient for a performance obligation that is part of a contract that has an original expected duration of one year or less.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121" w:lineRule="exact"/>
        <w:rPr>
          <w:sz w:val="20"/>
          <w:szCs w:val="20"/>
          <w:color w:val="auto"/>
        </w:rPr>
      </w:pPr>
    </w:p>
    <w:p>
      <w:pPr>
        <w:ind w:right="700"/>
        <w:spacing w:after="0" w:line="309" w:lineRule="auto"/>
        <w:rPr>
          <w:sz w:val="20"/>
          <w:szCs w:val="20"/>
          <w:color w:val="auto"/>
        </w:rPr>
      </w:pPr>
      <w:r>
        <w:rPr>
          <w:rFonts w:ascii="Arial" w:cs="Arial" w:eastAsia="Arial" w:hAnsi="Arial"/>
          <w:sz w:val="17"/>
          <w:szCs w:val="17"/>
          <w:color w:val="auto"/>
        </w:rPr>
        <w:t>The following table lists the components of share-based compensation expense by type of award, which is recognized in the “Selling, general, and administrative expense” line in the Condensed Consolidated Statements of Operations and Comprehensive Income (Loss).</w:t>
      </w:r>
    </w:p>
    <w:tbl>
      <w:tblPr>
        <w:tblLayout w:type="fixed"/>
        <w:tblInd w:w="0" w:type="dxa"/>
        <w:tblCellMar>
          <w:top w:w="0" w:type="dxa"/>
          <w:left w:w="0" w:type="dxa"/>
          <w:bottom w:w="0" w:type="dxa"/>
          <w:right w:w="0" w:type="dxa"/>
        </w:tblCellMar>
      </w:tblPr>
      <w:tr>
        <w:trPr>
          <w:trHeight w:val="145"/>
        </w:trPr>
        <w:tc>
          <w:tcPr>
            <w:tcW w:w="4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80" w:type="dxa"/>
            <w:vAlign w:val="bottom"/>
            <w:gridSpan w:val="3"/>
          </w:tcPr>
          <w:p>
            <w:pPr>
              <w:jc w:val="right"/>
              <w:ind w:right="290"/>
              <w:spacing w:after="0" w:line="145" w:lineRule="exact"/>
              <w:rPr>
                <w:sz w:val="20"/>
                <w:szCs w:val="20"/>
                <w:color w:val="auto"/>
              </w:rPr>
            </w:pPr>
            <w:r>
              <w:rPr>
                <w:rFonts w:ascii="Arial" w:cs="Arial" w:eastAsia="Arial" w:hAnsi="Arial"/>
                <w:sz w:val="14"/>
                <w:szCs w:val="14"/>
                <w:b w:val="1"/>
                <w:bCs w:val="1"/>
                <w:color w:val="auto"/>
                <w:w w:val="92"/>
              </w:rPr>
              <w:t>Three Months 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w w:val="95"/>
              </w:rPr>
              <w:t>Six Months Ended</w:t>
            </w:r>
          </w:p>
        </w:tc>
        <w:tc>
          <w:tcPr>
            <w:tcW w:w="960" w:type="dxa"/>
            <w:vAlign w:val="bottom"/>
          </w:tcPr>
          <w:p>
            <w:pPr>
              <w:spacing w:after="0"/>
              <w:rPr>
                <w:sz w:val="12"/>
                <w:szCs w:val="12"/>
                <w:color w:val="auto"/>
              </w:rPr>
            </w:pPr>
          </w:p>
        </w:tc>
      </w:tr>
      <w:tr>
        <w:trPr>
          <w:trHeight w:val="196"/>
        </w:trPr>
        <w:tc>
          <w:tcPr>
            <w:tcW w:w="48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23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92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Performance share units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6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3,555</w:t>
            </w:r>
          </w:p>
        </w:tc>
      </w:tr>
      <w:tr>
        <w:trPr>
          <w:trHeight w:val="20"/>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status of unvested restricted stock awards as of June 30, 2023 and changes during the six months then ended.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160" w:type="dxa"/>
            <w:vAlign w:val="bottom"/>
          </w:tcPr>
          <w:p>
            <w:pPr>
              <w:jc w:val="center"/>
              <w:ind w:left="408"/>
              <w:spacing w:after="0"/>
              <w:rPr>
                <w:sz w:val="20"/>
                <w:szCs w:val="20"/>
                <w:color w:val="auto"/>
              </w:rPr>
            </w:pPr>
            <w:r>
              <w:rPr>
                <w:rFonts w:ascii="Arial" w:cs="Arial" w:eastAsia="Arial" w:hAnsi="Arial"/>
                <w:sz w:val="14"/>
                <w:szCs w:val="14"/>
                <w:b w:val="1"/>
                <w:bCs w:val="1"/>
                <w:color w:val="auto"/>
                <w:w w:val="89"/>
              </w:rPr>
              <w:t>Nonvested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r>
      <w:tr>
        <w:trPr>
          <w:trHeight w:val="144"/>
        </w:trPr>
        <w:tc>
          <w:tcPr>
            <w:tcW w:w="7820" w:type="dxa"/>
            <w:vAlign w:val="bottom"/>
          </w:tcPr>
          <w:p>
            <w:pPr>
              <w:spacing w:after="0"/>
              <w:rPr>
                <w:sz w:val="12"/>
                <w:szCs w:val="12"/>
                <w:color w:val="auto"/>
              </w:rPr>
            </w:pPr>
          </w:p>
        </w:tc>
        <w:tc>
          <w:tcPr>
            <w:tcW w:w="1160" w:type="dxa"/>
            <w:vAlign w:val="bottom"/>
          </w:tcPr>
          <w:p>
            <w:pPr>
              <w:jc w:val="center"/>
              <w:ind w:left="428"/>
              <w:spacing w:after="0" w:line="145" w:lineRule="exact"/>
              <w:rPr>
                <w:sz w:val="20"/>
                <w:szCs w:val="20"/>
                <w:color w:val="auto"/>
              </w:rPr>
            </w:pPr>
            <w:r>
              <w:rPr>
                <w:rFonts w:ascii="Arial" w:cs="Arial" w:eastAsia="Arial" w:hAnsi="Arial"/>
                <w:sz w:val="14"/>
                <w:szCs w:val="14"/>
                <w:b w:val="1"/>
                <w:bCs w:val="1"/>
                <w:color w:val="auto"/>
                <w:w w:val="90"/>
              </w:rPr>
              <w:t>Restricted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w w:val="96"/>
              </w:rPr>
              <w:t>Grant-Date</w:t>
            </w:r>
          </w:p>
        </w:tc>
      </w:tr>
      <w:tr>
        <w:trPr>
          <w:trHeight w:val="196"/>
        </w:trPr>
        <w:tc>
          <w:tcPr>
            <w:tcW w:w="78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2023</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7"/>
        </w:trPr>
        <w:tc>
          <w:tcPr>
            <w:tcW w:w="89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3,381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6"/>
        </w:trPr>
        <w:tc>
          <w:tcPr>
            <w:tcW w:w="8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57"/>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June 30, 2023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six months ended June 30, 2023, we granted 1,881,000 shares of restricted stock to non-executive directors, officers and certain other employees under the NN, Inc. 2022 Omnibus Incentive Plan (“2022 Omnibus Plan”). The shares of restricted stock vest pro-rata generally over three years for employees and over one year for non-executive directors.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six months ended June 30, 2023, we granted 1,500,000 shares of restricted stock to our new CEO as an inducement award, which vests pro-rata over five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Total grant date fair value of restricted stock that vested in the six months ended June 30, 2023, was $3.5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The following table presents the status of unvested PSUs as of June 30, 2023 and activity during the six months then ended.</w:t>
      </w:r>
    </w:p>
    <w:tbl>
      <w:tblPr>
        <w:tblLayout w:type="fixed"/>
        <w:tblInd w:w="0" w:type="dxa"/>
        <w:tblCellMar>
          <w:top w:w="0" w:type="dxa"/>
          <w:left w:w="0" w:type="dxa"/>
          <w:bottom w:w="0" w:type="dxa"/>
          <w:right w:w="0" w:type="dxa"/>
        </w:tblCellMar>
      </w:tblPr>
      <w:tr>
        <w:trPr>
          <w:trHeight w:val="151"/>
        </w:trPr>
        <w:tc>
          <w:tcPr>
            <w:tcW w:w="78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16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7"/>
              </w:rPr>
              <w:t>Nonvested PSU Awards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1,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During the six months ended June 30, 2023, we granted 561,000 PSUs to certain executive officers. These units vest, if at all, upon our achieving a specified relative total shareholder return, which will be measured against the total shareholder return of a specified index during the three-year performance period that ends December 31, 2025.</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six months ended June 30, 2023, we granted 2,500,000 PSUs to our new CEO as an inducement award. These units cliff-vest after five years and are contingent on the Company’s stock price meeting specified thresholds.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We estimated the grant date fair value of the PSU awards using the Monte Carlo simulation model, as the total shareholder return metric and changes in stock price are considered market conditions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w:t>
      </w:r>
    </w:p>
    <w:p>
      <w:pPr>
        <w:spacing w:after="0" w:line="6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During the six months ended June 30, 2023, 67,000 PSUs were subject to accelerated vesting upon a participant’s termination that was a qualifying event under the terms of the PSU award agreements. Total grant date fair value of PSUs that vested in the six months ended June 30, 2023, was $0.3 million.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components of accumulated other comprehensive income (loss) (“AOCI”).</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Foreign Currency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9"/>
              </w:rPr>
              <w:t>Interest rate swap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Income taxes (1)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(38,332)</w:t>
            </w:r>
          </w:p>
        </w:tc>
        <w:tc>
          <w:tcPr>
            <w:tcW w:w="560" w:type="dxa"/>
            <w:vAlign w:val="bottom"/>
            <w:gridSpan w:val="3"/>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(35,978)</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(40,706)</w:t>
            </w:r>
          </w:p>
        </w:tc>
        <w:tc>
          <w:tcPr>
            <w:tcW w:w="560" w:type="dxa"/>
            <w:vAlign w:val="bottom"/>
            <w:gridSpan w:val="3"/>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(29,416)</w:t>
            </w:r>
          </w:p>
        </w:tc>
        <w:tc>
          <w:tcPr>
            <w:tcW w:w="560" w:type="dxa"/>
            <w:vAlign w:val="bottom"/>
            <w:gridSpan w:val="3"/>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(28,081)</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(37,906)</w:t>
            </w:r>
          </w:p>
        </w:tc>
        <w:tc>
          <w:tcPr>
            <w:tcW w:w="560" w:type="dxa"/>
            <w:vAlign w:val="bottom"/>
            <w:gridSpan w:val="3"/>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Foreign Currency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9"/>
              </w:rPr>
              <w:t>Interest rate swap</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Income taxes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(37,120)</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w:t>
            </w:r>
          </w:p>
        </w:tc>
        <w:tc>
          <w:tcPr>
            <w:tcW w:w="560" w:type="dxa"/>
            <w:vAlign w:val="bottom"/>
            <w:gridSpan w:val="3"/>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(31,902)</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17" w:lineRule="exact"/>
        <w:rPr>
          <w:sz w:val="20"/>
          <w:szCs w:val="20"/>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 effect of changes in interest rate swap.</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(gain) loss recognized in interest expense on effective interest rate swap.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Loss Per Common Share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common share.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(14,377)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(8,567)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(24,552)</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(11,869)</w:t>
            </w: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 for preferred stock cumulative dividends and deemed</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dividends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Numerator for basic and diluted net loss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(17,573)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(11,225)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(30,799)</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(17,065)</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43,599</w:t>
            </w:r>
          </w:p>
        </w:tc>
        <w:tc>
          <w:tcPr>
            <w:tcW w:w="0" w:type="dxa"/>
            <w:vAlign w:val="bottom"/>
          </w:tcPr>
          <w:p>
            <w:pPr>
              <w:spacing w:after="0"/>
              <w:rPr>
                <w:sz w:val="1"/>
                <w:szCs w:val="1"/>
                <w:color w:val="auto"/>
              </w:rPr>
            </w:pP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Adjustment for participating securities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2"/>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for warrants outstanding (1)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Shares used to calculate basic and diluted net loss per share</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45,836</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44,649</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(0.67)</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73" w:lineRule="exact"/>
        <w:rPr>
          <w:sz w:val="20"/>
          <w:szCs w:val="20"/>
          <w:color w:val="auto"/>
        </w:rPr>
      </w:pPr>
    </w:p>
    <w:p>
      <w:pPr>
        <w:ind w:left="980" w:right="160" w:hanging="324"/>
        <w:spacing w:after="0" w:line="277" w:lineRule="auto"/>
        <w:tabs>
          <w:tab w:leader="none" w:pos="10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Outstanding warrants that are exercisable at an exercise price of $0.01 per share, are included in shares outstanding for calculation of basic earnings per share (see Note 15).</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presents securities that could be potentially dilutive in the future that were excluded from the calculation of diluted net loss per common share because they had an anti-dilutive effect.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940" w:type="dxa"/>
            <w:vAlign w:val="bottom"/>
            <w:gridSpan w:val="3"/>
          </w:tcPr>
          <w:p>
            <w:pPr>
              <w:jc w:val="center"/>
              <w:ind w:left="721"/>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3"/>
              </w:rPr>
              <w:t>2022</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2019 Warrants</w:t>
            </w:r>
          </w:p>
        </w:tc>
        <w:tc>
          <w:tcPr>
            <w:tcW w:w="13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48"/>
        </w:trPr>
        <w:tc>
          <w:tcPr>
            <w:tcW w:w="56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Stock options excluded from the calculations of diluted net loss per share had a per share exercise price ranging from $7.93 to $25.16 for the three and six months ended June 30, 2023. The 2019 Warrants excluded from the calculation of diluted net loss per share had a per share exercise price of $11.03.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6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2022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6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In accordance with ASC 815-15, </w:t>
      </w:r>
      <w:r>
        <w:rPr>
          <w:rFonts w:ascii="Arial" w:cs="Arial" w:eastAsia="Arial" w:hAnsi="Arial"/>
          <w:sz w:val="18"/>
          <w:szCs w:val="18"/>
          <w:i w:val="1"/>
          <w:iCs w:val="1"/>
          <w:color w:val="auto"/>
        </w:rPr>
        <w:t>Derivatives and Hedging - Embedded Derivatives</w:t>
      </w:r>
      <w:r>
        <w:rPr>
          <w:rFonts w:ascii="Arial" w:cs="Arial" w:eastAsia="Arial" w:hAnsi="Arial"/>
          <w:sz w:val="18"/>
          <w:szCs w:val="18"/>
          <w:color w:val="auto"/>
        </w:rPr>
        <w:t>, certain features of our preferred stock and long term debt were bifurcated and accounted for as derivatives separately.</w:t>
      </w:r>
    </w:p>
    <w:p>
      <w:pPr>
        <w:spacing w:after="0" w:line="6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conjunction with the Term Loan Amendment, we issued warrants to purchase up to 2.0 million shares of our common stock at an exercise price of $0.01 per share (the “2023 Warrants”). The 2023 Warrants are exercisable, in full or in part, at any time up to ten years after issuance. The 2023 Warrants include anti-dilution adjustments in the event of certain future equity issuances, stock splits, stock dividends, combinations or similar events.</w:t>
      </w:r>
    </w:p>
    <w:p>
      <w:pPr>
        <w:spacing w:after="0" w:line="4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In conjunction with our placement of the Series D Preferred Stock, we issued the 2021 Warrants to purchase up to 1.9 million shares of our common stock. The 2021 Warrants are exercisable, in full or in part, at any time prior to March 22, 2027, at 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33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exercise price of $0.01 per share, subject to anti-dilution adjustments in the event of certain future equity issuances, stock splits, stock dividends, combinations or similar events.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Series D Preferred Stock includes a put feature that allows the holder to redeem the Series D Preferred Stock upon a change in control at the greater of</w:t>
      </w:r>
    </w:p>
    <w:p>
      <w:pPr>
        <w:spacing w:after="0" w:line="46" w:lineRule="exact"/>
        <w:rPr>
          <w:sz w:val="20"/>
          <w:szCs w:val="20"/>
          <w:color w:val="auto"/>
        </w:rPr>
      </w:pPr>
    </w:p>
    <w:p>
      <w:pPr>
        <w:ind w:firstLine="8"/>
        <w:spacing w:after="0" w:line="260" w:lineRule="auto"/>
        <w:tabs>
          <w:tab w:leader="none" w:pos="1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liquidation preference plus accrued dividends or 2) 140% of the liquidation preference. The put feature is considered a redemption right at a premium and is not clearly and closely related to the debt host.</w:t>
      </w:r>
    </w:p>
    <w:p>
      <w:pPr>
        <w:spacing w:after="0" w:line="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conjunction with our placement of the Series B Preferred Stock, we issued detachable warrants to purchase up to 1.5 million shares of our common stock at an exercise price of $12.00 per share (the “2019 Warrants”). The 2019 Warrants, are exercisable, in full or in part, at any time prior to December 11, 2026 and are subject to anti-dilution adjustments in the event of future below market issuances, stock splits, stock dividends, combinations or similar events. Due to the dilutive impact of subsequent issuances of warrants, the exercise price of the 2019 Warrants has been adjusted to $11.03 per share.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in the liability balance of the embedded derivatives during the six months ended June 30,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color w:val="auto"/>
              </w:rPr>
              <w:t>Issuances</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2,712</w:t>
            </w:r>
          </w:p>
        </w:tc>
      </w:tr>
      <w:tr>
        <w:trPr>
          <w:trHeight w:val="222"/>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(1)</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9,416</w:t>
            </w:r>
          </w:p>
        </w:tc>
      </w:tr>
      <w:tr>
        <w:trPr>
          <w:trHeight w:val="21"/>
        </w:trPr>
        <w:tc>
          <w:tcPr>
            <w:tcW w:w="9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27" w:lineRule="exact"/>
        <w:rPr>
          <w:sz w:val="20"/>
          <w:szCs w:val="20"/>
          <w:color w:val="auto"/>
        </w:rPr>
      </w:pPr>
    </w:p>
    <w:p>
      <w:pPr>
        <w:ind w:left="660" w:right="160" w:hanging="328"/>
        <w:spacing w:after="0" w:line="277" w:lineRule="auto"/>
        <w:tabs>
          <w:tab w:leader="none" w:pos="726"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fair value are recognized in the “Other expense (income), net” line in the Condensed Consolidated Statements of Operations and Comprehensive Income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fair values of the embedded derivatives within the fair value hierarchy.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 Active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4"/>
                <w:szCs w:val="14"/>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2"/>
                <w:szCs w:val="12"/>
                <w:color w:val="auto"/>
              </w:rPr>
            </w:pPr>
          </w:p>
        </w:tc>
        <w:tc>
          <w:tcPr>
            <w:tcW w:w="150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jc w:val="center"/>
              <w:ind w:right="262"/>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liability - other non-current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49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 Active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24"/>
                <w:szCs w:val="24"/>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2"/>
                <w:szCs w:val="12"/>
                <w:color w:val="auto"/>
              </w:rPr>
            </w:pPr>
          </w:p>
        </w:tc>
        <w:tc>
          <w:tcPr>
            <w:tcW w:w="150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jc w:val="center"/>
              <w:ind w:right="262"/>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liability - other non-current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the 2023 Warrants and 2021 Warrants is determined using the observable market price of a share of our common stock, less the $0.01 per share exercise price.</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fair value of the change-in-control put feature utilizes unobservable inputs based on the Company’s assessment of the probability of a change-in-control event occurring in a future period. The probability of a change-in-control event ranged from 3% to 5% as of June 30, 2023 and from 3% to 10% as of December 31, 2022.</w:t>
      </w:r>
    </w:p>
    <w:p>
      <w:pPr>
        <w:spacing w:after="0" w:line="7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fair value of the 2019 Warrants is determined using a valuation model that utilizes unobservable inputs to determine the probability that the 2019 Warrants will remain outstanding for future periods. The probabilities resulted in a weighted average term of 2.9 years as of June 30, 2023 and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6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July 22, 2021, we entered into a fixed-rate interest rate swap agreement to change the LIBOR-based component of the interest rate on a portion of our variable rate debt to a fixed rate of 1.291% (the “2021 Swap”). The 2021 Swap had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fair value of the 2021 Swap. Since the 2021 Swap was an effective cash flow hedge and the forecasted interest payments remaining probable of occurring, the gain will be recognized as a reduction to interest expense through the original maturity date of July 31, 2024.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338"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color w:val="auto"/>
        </w:rPr>
        <w:t>The following table presents the effects of the interest rate swap on the Condensed Consolidated Statements of Operations and Comprehensive Income (Loss).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gridSpan w:val="5"/>
          </w:tcPr>
          <w:p>
            <w:pPr>
              <w:jc w:val="center"/>
              <w:ind w:left="184"/>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6"/>
          </w:tcPr>
          <w:p>
            <w:pPr>
              <w:jc w:val="center"/>
              <w:ind w:left="302"/>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602"/>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362"/>
              <w:spacing w:after="0"/>
              <w:rPr>
                <w:sz w:val="20"/>
                <w:szCs w:val="20"/>
                <w:color w:val="auto"/>
              </w:rPr>
            </w:pPr>
            <w:r>
              <w:rPr>
                <w:rFonts w:ascii="Arial" w:cs="Arial" w:eastAsia="Arial" w:hAnsi="Arial"/>
                <w:sz w:val="14"/>
                <w:szCs w:val="14"/>
                <w:b w:val="1"/>
                <w:bCs w:val="1"/>
                <w:color w:val="auto"/>
                <w:w w:val="89"/>
              </w:rPr>
              <w:t>2023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shd w:val="clear" w:color="auto" w:fill="CCEEFF"/>
          </w:tcPr>
          <w:p>
            <w:pPr>
              <w:spacing w:after="0"/>
              <w:rPr>
                <w:sz w:val="19"/>
                <w:szCs w:val="19"/>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(benefit) (1)</w:t>
            </w: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(917)</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8"/>
        </w:trPr>
        <w:tc>
          <w:tcPr>
            <w:tcW w:w="5620" w:type="dxa"/>
            <w:vAlign w:val="bottom"/>
            <w:gridSpan w:val="3"/>
          </w:tcPr>
          <w:p>
            <w:pPr>
              <w:spacing w:after="0"/>
              <w:rPr>
                <w:sz w:val="20"/>
                <w:szCs w:val="20"/>
                <w:color w:val="auto"/>
              </w:rPr>
            </w:pPr>
            <w:r>
              <w:rPr>
                <w:rFonts w:ascii="Arial" w:cs="Arial" w:eastAsia="Arial" w:hAnsi="Arial"/>
                <w:sz w:val="14"/>
                <w:szCs w:val="14"/>
                <w:color w:val="auto"/>
              </w:rPr>
              <w:t>_______________________________</w:t>
            </w: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040" w:type="dxa"/>
            <w:vAlign w:val="bottom"/>
            <w:gridSpan w:val="7"/>
          </w:tcPr>
          <w:p>
            <w:pPr>
              <w:ind w:left="320"/>
              <w:spacing w:after="0"/>
              <w:rPr>
                <w:sz w:val="20"/>
                <w:szCs w:val="20"/>
                <w:color w:val="auto"/>
              </w:rPr>
            </w:pPr>
            <w:r>
              <w:rPr>
                <w:rFonts w:ascii="Arial" w:cs="Arial" w:eastAsia="Arial" w:hAnsi="Arial"/>
                <w:sz w:val="18"/>
                <w:szCs w:val="18"/>
                <w:color w:val="auto"/>
                <w:w w:val="94"/>
              </w:rPr>
              <w:t>(1) Represents (gain) loss recognized in interest expense on effective interest rate swap.</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8"/>
          </w:tcPr>
          <w:p>
            <w:pPr>
              <w:spacing w:after="0"/>
              <w:rPr>
                <w:sz w:val="20"/>
                <w:szCs w:val="20"/>
                <w:color w:val="auto"/>
              </w:rPr>
            </w:pPr>
            <w:r>
              <w:rPr>
                <w:rFonts w:ascii="Arial" w:cs="Arial" w:eastAsia="Arial" w:hAnsi="Arial"/>
                <w:sz w:val="18"/>
                <w:szCs w:val="18"/>
                <w:color w:val="auto"/>
                <w:w w:val="93"/>
              </w:rPr>
              <w:t>The following table shows the fair value of the interest rate swap within the fair value hierarchy.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Quoted Prices in Active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vMerge w:val="restart"/>
          </w:tcPr>
          <w:p>
            <w:pPr>
              <w:jc w:val="center"/>
              <w:ind w:right="22"/>
              <w:spacing w:after="0"/>
              <w:rPr>
                <w:sz w:val="20"/>
                <w:szCs w:val="20"/>
                <w:color w:val="auto"/>
              </w:rPr>
            </w:pPr>
            <w:r>
              <w:rPr>
                <w:rFonts w:ascii="Arial" w:cs="Arial" w:eastAsia="Arial" w:hAnsi="Arial"/>
                <w:sz w:val="14"/>
                <w:szCs w:val="14"/>
                <w:b w:val="1"/>
                <w:bCs w:val="1"/>
                <w:color w:val="auto"/>
                <w:w w:val="93"/>
              </w:rPr>
              <w:t>Significant 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Significant Unobservable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gridSpan w:val="5"/>
          </w:tcPr>
          <w:p>
            <w:pPr>
              <w:jc w:val="center"/>
              <w:spacing w:after="0" w:line="139" w:lineRule="exact"/>
              <w:rPr>
                <w:sz w:val="20"/>
                <w:szCs w:val="20"/>
                <w:color w:val="auto"/>
              </w:rPr>
            </w:pPr>
            <w:r>
              <w:rPr>
                <w:rFonts w:ascii="Arial" w:cs="Arial" w:eastAsia="Arial" w:hAnsi="Arial"/>
                <w:sz w:val="14"/>
                <w:szCs w:val="14"/>
                <w:b w:val="1"/>
                <w:bCs w:val="1"/>
                <w:color w:val="auto"/>
                <w:w w:val="95"/>
              </w:rPr>
              <w:t>Markets for Identical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3"/>
          </w:tcPr>
          <w:p>
            <w:pPr>
              <w:jc w:val="center"/>
              <w:ind w:left="124"/>
              <w:spacing w:after="0" w:line="149" w:lineRule="exact"/>
              <w:rPr>
                <w:sz w:val="20"/>
                <w:szCs w:val="20"/>
                <w:color w:val="auto"/>
              </w:rPr>
            </w:pPr>
            <w:r>
              <w:rPr>
                <w:rFonts w:ascii="Arial" w:cs="Arial" w:eastAsia="Arial" w:hAnsi="Arial"/>
                <w:sz w:val="14"/>
                <w:szCs w:val="14"/>
                <w:b w:val="1"/>
                <w:bCs w:val="1"/>
                <w:color w:val="auto"/>
                <w:w w:val="82"/>
              </w:rPr>
              <w:t>Assets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gridSpan w:val="4"/>
          </w:tcPr>
          <w:p>
            <w:pPr>
              <w:jc w:val="center"/>
              <w:ind w:right="334"/>
              <w:spacing w:after="0" w:line="158" w:lineRule="exact"/>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tcPr>
          <w:p>
            <w:pPr>
              <w:jc w:val="center"/>
              <w:ind w:right="402"/>
              <w:spacing w:after="0" w:line="158" w:lineRule="exact"/>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3)</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asset - other current assets</w:t>
            </w:r>
          </w:p>
        </w:tc>
        <w:tc>
          <w:tcPr>
            <w:tcW w:w="8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left="535"/>
              <w:spacing w:after="0"/>
              <w:rPr>
                <w:sz w:val="20"/>
                <w:szCs w:val="20"/>
                <w:color w:val="auto"/>
              </w:rPr>
            </w:pPr>
            <w:r>
              <w:rPr>
                <w:rFonts w:ascii="Arial" w:cs="Arial" w:eastAsia="Arial" w:hAnsi="Arial"/>
                <w:sz w:val="18"/>
                <w:szCs w:val="18"/>
                <w:color w:val="auto"/>
                <w:w w:val="88"/>
              </w:rPr>
              <w:t>2,130</w:t>
            </w:r>
          </w:p>
        </w:tc>
        <w:tc>
          <w:tcPr>
            <w:tcW w:w="42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Derivative asset - other non-current assets</w:t>
            </w:r>
          </w:p>
        </w:tc>
        <w:tc>
          <w:tcPr>
            <w:tcW w:w="4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left="535"/>
              <w:spacing w:after="0"/>
              <w:rPr>
                <w:sz w:val="20"/>
                <w:szCs w:val="20"/>
                <w:color w:val="auto"/>
              </w:rPr>
            </w:pPr>
            <w:r>
              <w:rPr>
                <w:rFonts w:ascii="Arial" w:cs="Arial" w:eastAsia="Arial" w:hAnsi="Arial"/>
                <w:sz w:val="18"/>
                <w:szCs w:val="18"/>
                <w:color w:val="auto"/>
                <w:w w:val="88"/>
              </w:rPr>
              <w:t>1,023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center"/>
              <w:ind w:left="535"/>
              <w:spacing w:after="0"/>
              <w:rPr>
                <w:sz w:val="20"/>
                <w:szCs w:val="20"/>
                <w:color w:val="auto"/>
              </w:rPr>
            </w:pPr>
            <w:r>
              <w:rPr>
                <w:rFonts w:ascii="Arial" w:cs="Arial" w:eastAsia="Arial" w:hAnsi="Arial"/>
                <w:sz w:val="18"/>
                <w:szCs w:val="18"/>
                <w:color w:val="auto"/>
                <w:w w:val="88"/>
              </w:rPr>
              <w:t>3,153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fair value of the interest rate swap is calculated through standard pricing models which use inputs derived from or corroborated by observable market data such as interest rate yield curves, index forward curves, discount curves, and volatility surfaces. The counterparty to these derivative contracts is a highly rated financial institution which we believe carries only a minimal risk of nonperformance.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Disclosures</w:t>
      </w:r>
    </w:p>
    <w:p>
      <w:pPr>
        <w:spacing w:after="0" w:line="6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financial instruments that are subject to fair value disclosure consist of cash and cash equivalents, accounts receivable, accounts payable, and debt. As of June 30, 2023 and December 31, 2022, the carrying values of these financial instruments, except for debt, approximated fair value. The fair value of our debt was $164.2 million and $155.2 million, with a carrying amount of $155.4 million and $152.7 million, as of June 30, 2023 and December 31, 2022, respectively. The fair value of debt was calculated by discounting the future cash flows to its present value using prevailing market interest rates for debt with similar creditworthiness, terms and maturities and is considered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6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Management’s Discussion and Analysis of Financial Condition and Results of Operations is intended to help the reader understand the results of operations and financial condition of NN, Inc. and its consolidated subsidiaries for the three and six months ended June 30, 2023. The financial information as of June 30, 2023, should be read in conjunction with the consolidated financial statements for the year ended December 31, 2022, contained in our Annual Report on Form 10-K for the year ended December 31, 2022, and the Condensed Consolidated Financial Statements included in this Quarterly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NN, Inc. is a global diversified industrial company that combines advanced engineering and production capabilities with in-depth materials science expertise to design and manufacture high-precision components and assemblies primarily for the electrical, automotive, general industrial, aerospace, defense, and medical markets. As used in this Quarterly Report, the terms “NN,” the “Company,” “we,” “our,” or “us” refer to NN, Inc. and its subsidiaries.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6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and Section 21E of the Securities Exchange Act of 1934, as amended (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including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our ability to hire or retain key personnel;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and cyber liability or potential liability for breaches of our or our service providers’ information technology systems or business operations disruptions. Any forward-looking statement speaks only as of the date of this Quarterly Report,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sections titled “Item 1A. Risk Factors” in the 2022 Annual Report and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paragraphs describe factors that have influenced results of operations for the six months ended June 30, 2023, that management believes are important to provide an understanding of the business and results of operations or that may influence operations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Macroeconomic Conditions</w:t>
      </w:r>
    </w:p>
    <w:p>
      <w:pPr>
        <w:spacing w:after="0" w:line="63"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continue to monitor the ongoing impacts of current macroeconomic and geopolitical events, including changing conditions from the COVID-19 pandemic, the ongoing Russia-Ukraine conflict, inflationary cost pressures, rising interest rates, supply chain disruptions, and labor shortages.</w:t>
      </w:r>
    </w:p>
    <w:p>
      <w:pPr>
        <w:spacing w:after="0" w:line="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COVID-19 pandemic and governmental responses thereto, including COVID-19 lockdowns in China, continue to impact our business operations and our customers' and suppliers' ability to operate at normal levels. Disruptions in normal operating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3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levels continue to create supply chain disruptions and inflationary cost pressures within our end-markets. We anticipate that supply chain constraints and the inflationary environment, as impacted by the COVID-19 pandemic, will continue throughout 2023.</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Russia-Ukraine conflict also continues to create volatility in global financial and energy markets, creating energy and supply chain shortages, which has added to the inflationary pressures experienced by the global economy. We continue to actively work with our suppliers to minimize impacts of supply shortages on our manufacturing capabilities. Although our business has not been materially impacted by the ongoing Russia-Ukraine conflict as of the date of this filing, we cannot reasonably predict the extent to which our operations, or those of our customers or suppliers, will be impacted in the future, or the ways in which the conflict may impact our business, financial condition, results of operations and cash flows.</w:t>
      </w:r>
    </w:p>
    <w:p>
      <w:pPr>
        <w:spacing w:after="0" w:line="6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U.S. economy is experiencing inflationary increases and rising interest rates, as well as supply issues in materials, services, and labor due to economic policy, the COVID-19 pandemic and, more recently, the Russia-Ukraine conflict. These impacts are likely to persist in 2023 and beyond. We cannot predict the impact on the Company’s end-markets or input costs nor the ability of the Company to recover cost increases through pricing.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Footprint Optimization</w:t>
      </w:r>
    </w:p>
    <w:p>
      <w:pPr>
        <w:spacing w:after="0" w:line="6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2022, we took specific steps to consolidate our footprint by identifying less profitable end markets and focusing our strategic growth initiatives in markets where we believe we will be able to maximize profitability. During the first half of 2023, we closed our Taunton and Irvine sites from the Power Solutions group and three underutilized Mobile Solutions sites to reduce operating costs. Additionally, we continue to evaluate our global footprint which may result in further consolidation or expansion actions to further improve our overall cost structure.</w:t>
      </w:r>
    </w:p>
    <w:p>
      <w:pPr>
        <w:spacing w:after="0" w:line="117" w:lineRule="exact"/>
        <w:rPr>
          <w:sz w:val="20"/>
          <w:szCs w:val="20"/>
          <w:color w:val="auto"/>
        </w:rPr>
      </w:pPr>
    </w:p>
    <w:p>
      <w:pPr>
        <w:ind w:right="4860"/>
        <w:spacing w:after="0" w:line="331" w:lineRule="auto"/>
        <w:rPr>
          <w:sz w:val="20"/>
          <w:szCs w:val="20"/>
          <w:color w:val="auto"/>
        </w:rPr>
      </w:pPr>
      <w:r>
        <w:rPr>
          <w:rFonts w:ascii="Arial" w:cs="Arial" w:eastAsia="Arial" w:hAnsi="Arial"/>
          <w:sz w:val="18"/>
          <w:szCs w:val="18"/>
          <w:i w:val="1"/>
          <w:iCs w:val="1"/>
          <w:color w:val="auto"/>
        </w:rPr>
        <w:t xml:space="preserve">Three Months Ended June 30, 2023 compared to the Three Months Ended June 30, 2022 </w:t>
      </w:r>
      <w:r>
        <w:rPr>
          <w:rFonts w:ascii="Arial" w:cs="Arial" w:eastAsia="Arial" w:hAnsi="Arial"/>
          <w:sz w:val="18"/>
          <w:szCs w:val="18"/>
          <w:u w:val="single" w:color="auto"/>
          <w:color w:val="auto"/>
        </w:rPr>
        <w:t>Consolidated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1060" w:type="dxa"/>
            <w:vAlign w:val="bottom"/>
          </w:tcPr>
          <w:p>
            <w:pPr>
              <w:spacing w:after="0"/>
              <w:rPr>
                <w:sz w:val="16"/>
                <w:szCs w:val="16"/>
                <w:color w:val="auto"/>
              </w:rPr>
            </w:pPr>
          </w:p>
        </w:tc>
      </w:tr>
      <w:tr>
        <w:trPr>
          <w:trHeight w:val="26"/>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7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Change</w:t>
            </w:r>
          </w:p>
        </w:tc>
      </w:tr>
      <w:tr>
        <w:trPr>
          <w:trHeight w:val="238"/>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107,684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103,889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3,795</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 net</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4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5,708</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 and share of net income from joint venture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22"/>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of net income from joint venture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32"/>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(14,377)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(8,567)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(5,810)</w:t>
            </w:r>
          </w:p>
        </w:tc>
      </w:tr>
      <w:tr>
        <w:trPr>
          <w:trHeight w:val="25"/>
        </w:trPr>
        <w:tc>
          <w:tcPr>
            <w:tcW w:w="706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bl>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by $0.2 million, or (0.1)%, during the three months ended June 30, 2023, compared to the three months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reduced volume and unfavorable foreign exchange effects, partially offset by higher customer pricing. The closure of the Taunton and Irvine facilities contributed to the lower sales volume during the three months ended June 30, 2023.</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$3.8 million, or 3.7%, during the three months ended June 30, 2023, compared to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primarily due to higher material costs, partially offset by lower sales volume and lower costs associated with facility closures in the second quarter. In addition, the prior year cost of sales benefited from higher favorable overhead absorption.</w:t>
      </w:r>
    </w:p>
    <w:p>
      <w:pPr>
        <w:spacing w:after="0" w:line="76"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decreased by $3.8 million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2023, compared to the three months ended June 30, 2022, primarily due to lower wages resulting from reduced headcount, lower stock compensation expense and lower professional fees.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3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Other Operating Income, Net. </w:t>
      </w:r>
      <w:r>
        <w:rPr>
          <w:rFonts w:ascii="Arial" w:cs="Arial" w:eastAsia="Arial" w:hAnsi="Arial"/>
          <w:sz w:val="18"/>
          <w:szCs w:val="18"/>
          <w:color w:val="auto"/>
        </w:rPr>
        <w:t>Other operating income, net increased by $0.8 million during the three months ended June 30, 2023,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2022, primarily due gains on sales of machinery and equipment and sublease income related to the facility closures during the second quarter of 2023.</w:t>
      </w:r>
    </w:p>
    <w:p>
      <w:pPr>
        <w:spacing w:after="0" w:line="76" w:lineRule="exact"/>
        <w:rPr>
          <w:sz w:val="20"/>
          <w:szCs w:val="20"/>
          <w:color w:val="auto"/>
        </w:rPr>
      </w:pPr>
    </w:p>
    <w:p>
      <w:pPr>
        <w:jc w:val="both"/>
        <w:ind w:right="240"/>
        <w:spacing w:after="0" w:line="27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by $2.0 million during the three months ended June 30, 2023, compared to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2022, primarily due to higher interest rates and the addition of a 2.00% PIK interest rate in connection with the Term Loan Amendment. These increases were partially offset by the recognition of gains during the quarter from the termination of the interest rate swap.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760" w:type="dxa"/>
            <w:vAlign w:val="bottom"/>
            <w:gridSpan w:val="5"/>
          </w:tcPr>
          <w:p>
            <w:pPr>
              <w:jc w:val="right"/>
              <w:ind w:right="373"/>
              <w:spacing w:after="0"/>
              <w:rPr>
                <w:sz w:val="20"/>
                <w:szCs w:val="20"/>
                <w:color w:val="auto"/>
              </w:rPr>
            </w:pPr>
            <w:r>
              <w:rPr>
                <w:rFonts w:ascii="Arial" w:cs="Arial" w:eastAsia="Arial" w:hAnsi="Arial"/>
                <w:sz w:val="14"/>
                <w:szCs w:val="14"/>
                <w:b w:val="1"/>
                <w:bCs w:val="1"/>
                <w:color w:val="auto"/>
              </w:rPr>
              <w:t>Three Months Ended June 30,</w:t>
            </w:r>
          </w:p>
        </w:tc>
      </w:tr>
      <w:tr>
        <w:trPr>
          <w:trHeight w:val="26"/>
        </w:trPr>
        <w:tc>
          <w:tcPr>
            <w:tcW w:w="84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84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3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5,609</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(Gain) loss recognized on interest rate swap</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848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5,457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r>
      <w:tr>
        <w:trPr>
          <w:trHeight w:val="20"/>
        </w:trPr>
        <w:tc>
          <w:tcPr>
            <w:tcW w:w="8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expense (income), net changed unfavorably by $5.7 million during the three months ended June 30, 2023,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2022, due to noncash derivative mark-to-market losses recognized during the current quarter compared to mark-to-market gains the second quarter of 2022.</w:t>
      </w:r>
    </w:p>
    <w:p>
      <w:pPr>
        <w:spacing w:after="0" w:line="7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i w:val="1"/>
          <w:iCs w:val="1"/>
          <w:color w:val="auto"/>
        </w:rPr>
        <w:t>Benefit (Provision) For Income Taxes</w:t>
      </w:r>
      <w:r>
        <w:rPr>
          <w:rFonts w:ascii="Arial" w:cs="Arial" w:eastAsia="Arial" w:hAnsi="Arial"/>
          <w:sz w:val="16"/>
          <w:szCs w:val="16"/>
          <w:color w:val="auto"/>
        </w:rPr>
        <w:t>. Our effective tax rate was (2.1)% for the three months ended June 30, 2023, compared to (13.2)%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2022. The rate for the three months ended June 30, 2023 was unfavorably impacted due to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 The effective tax rate was unfavorably impacted by the U.S. tax on the earnings of foreign subsidiaries under the global intangible low-taxed income regime.</w:t>
      </w:r>
    </w:p>
    <w:p>
      <w:pPr>
        <w:spacing w:after="0" w:line="5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Share of net income from the JV increased during the three months ended June 30, 2023,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2022, primarily due to higher sales and lower operating costs, partially offset by higher depreciation and interest expense in the current quarter. The JV, in which we own a 49% investment, recognized net sales of $24.9 million and $22.9 million for the three months ended June 30,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1060" w:type="dxa"/>
            <w:vAlign w:val="bottom"/>
          </w:tcPr>
          <w:p>
            <w:pPr>
              <w:spacing w:after="0"/>
              <w:rPr>
                <w:sz w:val="16"/>
                <w:szCs w:val="16"/>
                <w:color w:val="auto"/>
              </w:rPr>
            </w:pPr>
          </w:p>
        </w:tc>
      </w:tr>
      <w:tr>
        <w:trPr>
          <w:trHeight w:val="25"/>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77,153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460"/>
              <w:spacing w:after="0"/>
              <w:rPr>
                <w:sz w:val="20"/>
                <w:szCs w:val="20"/>
                <w:color w:val="auto"/>
              </w:rPr>
            </w:pPr>
            <w:r>
              <w:rPr>
                <w:rFonts w:ascii="Arial" w:cs="Arial" w:eastAsia="Arial" w:hAnsi="Arial"/>
                <w:sz w:val="18"/>
                <w:szCs w:val="18"/>
                <w:color w:val="auto"/>
                <w:w w:val="94"/>
              </w:rPr>
              <w:t>(1,461)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(3,190)</w:t>
            </w:r>
          </w:p>
        </w:tc>
      </w:tr>
    </w:tbl>
    <w:p>
      <w:pPr>
        <w:spacing w:after="0" w:line="7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Net sales increased by $3.8 million, or 5.2%, during the three months ended June 30, 2023, compared to the three months ended June 30, 2022, primarily due to higher customer pricing and volume, partially offset by a customer settlement in the prior year and unfavorable foreign exchange effects.</w:t>
      </w:r>
    </w:p>
    <w:p>
      <w:pPr>
        <w:spacing w:after="0" w:line="1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Income (loss) from operations changed unfavorably by $3.2 million during the three months ended June 30, 2023, compared to the same period in the prior year, primarily due to a customer settlement in the prior year and production challenges in two facilities associated with new business launches.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1060" w:type="dxa"/>
            <w:vAlign w:val="bottom"/>
          </w:tcPr>
          <w:p>
            <w:pPr>
              <w:spacing w:after="0"/>
              <w:rPr>
                <w:sz w:val="16"/>
                <w:szCs w:val="16"/>
                <w:color w:val="auto"/>
              </w:rPr>
            </w:pPr>
          </w:p>
        </w:tc>
      </w:tr>
      <w:tr>
        <w:trPr>
          <w:trHeight w:val="25"/>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7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r>
      <w:tr>
        <w:trPr>
          <w:trHeight w:val="238"/>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2,583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1,153</w:t>
            </w:r>
          </w:p>
        </w:tc>
      </w:tr>
    </w:tbl>
    <w:p>
      <w:pPr>
        <w:spacing w:after="0" w:line="17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Net sales decreased by $4.0 million, or (7.7)%, during the three months ended June 30, 2023 compared to the three months ended June 30, 2022. The decrease in sales was primarily due to lower volume, partially offset by higher pricing and favorable foreign exchange effects. The closure of the Taunton and Irvine sites contributed to the lower sales volume during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33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Income from operations increased by $1.2 million during the three months ended June 30, 2023 compared to the same period in the prior year, primarily due to lower costs associated with facility closures in the second quarter and higher pricing, partially offset by the impact of lower sales volume.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compared to the Six Months Ended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Results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gridSpan w:val="6"/>
          </w:tcPr>
          <w:p>
            <w:pPr>
              <w:ind w:left="20"/>
              <w:spacing w:after="0"/>
              <w:rPr>
                <w:sz w:val="20"/>
                <w:szCs w:val="20"/>
                <w:color w:val="auto"/>
              </w:rPr>
            </w:pPr>
            <w:r>
              <w:rPr>
                <w:rFonts w:ascii="Arial" w:cs="Arial" w:eastAsia="Arial" w:hAnsi="Arial"/>
                <w:sz w:val="14"/>
                <w:szCs w:val="14"/>
                <w:b w:val="1"/>
                <w:bCs w:val="1"/>
                <w:color w:val="auto"/>
                <w:w w:val="91"/>
              </w:rPr>
              <w:t>Six Months Ended June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6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r>
      <w:tr>
        <w:trPr>
          <w:trHeight w:val="23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252,294</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253,429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216,105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208,467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7,638</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23,066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22,769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3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 net</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(3,188)</w:t>
            </w:r>
          </w:p>
        </w:tc>
      </w:tr>
      <w:tr>
        <w:trPr>
          <w:trHeight w:val="24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 and share of net income from joint venture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2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of net income from joint venture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32"/>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(24,552)</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(11,869)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(12,683)</w:t>
            </w:r>
          </w:p>
        </w:tc>
      </w:tr>
      <w:tr>
        <w:trPr>
          <w:trHeight w:val="25"/>
        </w:trPr>
        <w:tc>
          <w:tcPr>
            <w:tcW w:w="67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r>
    </w:tbl>
    <w:p>
      <w:pPr>
        <w:spacing w:after="0" w:line="22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decreased by $1.1 million, or (0.4)%, during the six months ended June 30, 2023, compared to the six months ended June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reduced volume from the closure of the Taunton and Irvine facilities, and unfavorable foreign exchange effects of $1.7 million. These decreases were partially offset by higher customer pricing and premium pricing on a certain customer project.</w:t>
      </w:r>
    </w:p>
    <w:p>
      <w:pPr>
        <w:spacing w:after="0" w:line="5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increased by $7.6 million, or 3.7%, during the six months ended June 30, 2023, compared to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2022, primarily due to higher material and labor costs due to inefficient manufacturing processes associated with product launches, and lower favorable overhead absorption. These increases were partially offset by lower sales volume and favorable foreign exchange effects.</w:t>
      </w:r>
    </w:p>
    <w:p>
      <w:pPr>
        <w:spacing w:after="0" w:line="57"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decreased by $4.1 million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to the six months ended June 30, 2022, primarily due to lower wages resulting from reduced headcount and lower stock compensation expense.</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Other Operating Expense (Income), Net. </w:t>
      </w:r>
      <w:r>
        <w:rPr>
          <w:rFonts w:ascii="Arial" w:cs="Arial" w:eastAsia="Arial" w:hAnsi="Arial"/>
          <w:sz w:val="18"/>
          <w:szCs w:val="18"/>
          <w:color w:val="auto"/>
        </w:rPr>
        <w:t>Other operating expense, net changed favorably by $1.8 million primarily due to a legal settlement reached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2022.</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$2.8 million during the six months ended June 30, 2023, compared to the six months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interest rates and the addition of a 2.00% PIK interest rate in connection with the Term Loan Amendment. These increases were partially offset by the recognition of gains from the interest rate swap and a higher amount of interest expense that was capitalized in the current quarter compared with the second quarter of 2022.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84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6"/>
                <w:szCs w:val="16"/>
                <w:color w:val="auto"/>
              </w:rPr>
            </w:pPr>
          </w:p>
        </w:tc>
      </w:tr>
      <w:tr>
        <w:trPr>
          <w:trHeight w:val="25"/>
        </w:trPr>
        <w:tc>
          <w:tcPr>
            <w:tcW w:w="7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r>
      <w:tr>
        <w:trPr>
          <w:trHeight w:val="229"/>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10,228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(Gain) loss recognized on interest rate swap</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w:t>
            </w:r>
          </w:p>
        </w:tc>
        <w:tc>
          <w:tcPr>
            <w:tcW w:w="10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9,745</w:t>
            </w:r>
          </w:p>
        </w:tc>
        <w:tc>
          <w:tcPr>
            <w:tcW w:w="11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6,927</w:t>
            </w:r>
          </w:p>
        </w:tc>
      </w:tr>
      <w:tr>
        <w:trPr>
          <w:trHeight w:val="27"/>
        </w:trPr>
        <w:tc>
          <w:tcPr>
            <w:tcW w:w="782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r>
    </w:tbl>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expense (income), net changed unfavorably by $6.5 million during the six months ended June 30,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2022, primarily due to noncash derivative mark-to-market losses recognized during the first two quarters of 2023 compared to gains recognized during the first two quarters of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33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Benefit (Provision) for Income Taxes. </w:t>
      </w:r>
      <w:r>
        <w:rPr>
          <w:rFonts w:ascii="Arial" w:cs="Arial" w:eastAsia="Arial" w:hAnsi="Arial"/>
          <w:sz w:val="17"/>
          <w:szCs w:val="17"/>
          <w:color w:val="auto"/>
        </w:rPr>
        <w:t>Our effective tax rate was (6.7)% for the six months ended June 30, 2023, compared to (21.9)%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2022. The rate for the six months ended June 30, 2023 and June 30, 2022 was unfavorably impacted by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w:t>
      </w:r>
    </w:p>
    <w:p>
      <w:pPr>
        <w:spacing w:after="0" w:line="6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i w:val="1"/>
          <w:iCs w:val="1"/>
          <w:color w:val="auto"/>
        </w:rPr>
        <w:t xml:space="preserve">Share of Net Income from Joint Venture. </w:t>
      </w:r>
      <w:r>
        <w:rPr>
          <w:rFonts w:ascii="Arial" w:cs="Arial" w:eastAsia="Arial" w:hAnsi="Arial"/>
          <w:sz w:val="17"/>
          <w:szCs w:val="17"/>
          <w:color w:val="auto"/>
        </w:rPr>
        <w:t>Share of net income from the JV decreased during the six months ended June 30, 2023, compared to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2022, primarily due to lower sales and higher operating costs in the current quarter. The JV, in which we own a 49% investment, recognized net sales of $45.6 million and $49.4 million for the six months ended June 30, 2023 and 2022,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gridSpan w:val="6"/>
          </w:tcPr>
          <w:p>
            <w:pPr>
              <w:ind w:left="20"/>
              <w:spacing w:after="0"/>
              <w:rPr>
                <w:sz w:val="20"/>
                <w:szCs w:val="20"/>
                <w:color w:val="auto"/>
              </w:rPr>
            </w:pPr>
            <w:r>
              <w:rPr>
                <w:rFonts w:ascii="Arial" w:cs="Arial" w:eastAsia="Arial" w:hAnsi="Arial"/>
                <w:sz w:val="14"/>
                <w:szCs w:val="14"/>
                <w:b w:val="1"/>
                <w:bCs w:val="1"/>
                <w:color w:val="auto"/>
                <w:w w:val="91"/>
              </w:rPr>
              <w:t>Six Months Ended June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6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23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155,171</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149,420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(4,780)</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(8,478)</w:t>
            </w:r>
          </w:p>
        </w:tc>
      </w:tr>
    </w:tbl>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increased by $5.8 million, or 3.8%, during the six months ended June 30, 2023, compared to the six months ended June 30, 2022, primarily due to higher customer pricing, partially offset by lower volume and unfavorable foreign exchange effects of $2.2 million.</w:t>
      </w:r>
    </w:p>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Income (loss) from operations decreased by $8.5 million during the six months ended June 30, 2023 compared to the same period in the prior year, primarily due to higher material and labor costs, lower sales volume and favorable foreign exchange effects.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97"/>
              </w:rPr>
              <w:t>Six Months Ended June 30,</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97,134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w:t>
            </w: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1,794</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2,536</w:t>
            </w:r>
          </w:p>
        </w:tc>
      </w:tr>
    </w:tbl>
    <w:p>
      <w:pPr>
        <w:spacing w:after="0" w:line="24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Net sales decreased by $6.9 million, or (6.7)%, during the six months ended June 30, 2023, compared to the six months ended June 30, 2022, primarily due to lower volume from the closure of the Taunton and Irvine facilities. These decreases were partially offset by higher customer pricing, premium pricing on a certain customer project and favorable foreign exchange effects of $0.5 million.</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Income from operations increased by $2.5 million during the six months ended June 30, 2023 compared to the same period in the prior year, primarily due to premium pricing on a certain customer project in the first quarter of 2023, a legal settlement reached during the first quarter of 2022 and lower costs associated with facility closures. These increases were partially offset by lower sales volume and an unfavorable change in overhead absorption during the first two quarters of 2023 compared to the first two quarters of 2022.</w:t>
      </w:r>
    </w:p>
    <w:p>
      <w:pPr>
        <w:spacing w:after="0" w:line="183" w:lineRule="exact"/>
        <w:rPr>
          <w:sz w:val="20"/>
          <w:szCs w:val="20"/>
          <w:color w:val="auto"/>
        </w:rPr>
      </w:pPr>
    </w:p>
    <w:p>
      <w:pPr>
        <w:ind w:right="5600"/>
        <w:spacing w:after="0" w:line="346" w:lineRule="auto"/>
        <w:rPr>
          <w:sz w:val="20"/>
          <w:szCs w:val="20"/>
          <w:color w:val="auto"/>
        </w:rPr>
      </w:pPr>
      <w:r>
        <w:rPr>
          <w:rFonts w:ascii="Arial" w:cs="Arial" w:eastAsia="Arial" w:hAnsi="Arial"/>
          <w:sz w:val="18"/>
          <w:szCs w:val="18"/>
          <w:b w:val="1"/>
          <w:bCs w:val="1"/>
          <w:color w:val="auto"/>
        </w:rPr>
        <w:t xml:space="preserve">Changes in Financial Condition from December 31, 2022 to June 30, 2023 </w:t>
      </w:r>
      <w:r>
        <w:rPr>
          <w:rFonts w:ascii="Arial" w:cs="Arial" w:eastAsia="Arial" w:hAnsi="Arial"/>
          <w:sz w:val="18"/>
          <w:szCs w:val="18"/>
          <w:i w:val="1"/>
          <w:iCs w:val="1"/>
          <w:color w:val="auto"/>
        </w:rPr>
        <w:t>Overview</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December 31, 2022 to June 30, 2023, total assets decreased by $7.7 million primarily due to decreases in inventory, property, plant and equipment and intangible assets, partially offset by an increase in accounts receivable. The closure of two Power Solutions facilities contributed to the decrease in inventory and property, plant and equipment. The increase in accounts receivable is due to higher sales during the end of the current quarter compared with the end of the fourth quarter of 2022.</w:t>
      </w:r>
    </w:p>
    <w:p>
      <w:pPr>
        <w:spacing w:after="0" w:line="7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From December 31, 2022 to June 30, 2023, total liabilities increased by $17.9 million, primarily due to increases in accounts payable, long-term debt and other non-current liabilities, partially offset by decrease in operating lease liabilities. The increase in other non-current liabilities is primarily due to warrants issued during the first two quarters of 2023.</w:t>
      </w:r>
    </w:p>
    <w:p>
      <w:pPr>
        <w:spacing w:after="0" w:line="76"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Working capital, which consists of current assets less current liabilities, was $106.4 million as of June 30, 2023, compared to $112.9 million as of December 31, 2022. The decrease in working capital was primarily due to increases in accounts payable and current maturities of long-term debt, a decrease in inventory, partially offset by an increase in accounts receivable.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6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Cash provided by operations was $8.6 million for the six months ended June 30, 2023, compared with cash used by operations of $2.5 million for the six months ended June 30, 2022. The difference was primarily due to a decrease in inventory during the first two quarters of 2023 compared to an increase during the first two quarters of 2022.</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used in investing activities increased by $0.1 million primarily due to higher expenditures for property, plant and equipment, partially offset by the proceeds from the sale of equipment at the Taunton and Irvine facilities in the first two quarters of 2023.</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Cash provided by financing activities was $2.3 million for the six months ended June 30, 2023, compared with cash used by financing activities of $1.0 million for the six months ended June 30, 2022. The difference was primarily due to proceeds from new international loans for working capital needs in the first two quarters of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principal amount outstanding under our Term Loan Facility as of June 30, 2023, was $147.4 million, without regard to unamortized debt issuance costs and discount. As of June 30, 2023, we had $29.7 million available for future borrowings under the ABL Facility. This amount of borrowing capacity is net of $3.0 million of outstanding borrowings and $10.9 million of outstanding letters of credit at June 30, 2023, which are considered as usage of the ABL Facility.</w:t>
      </w:r>
    </w:p>
    <w:p>
      <w:pPr>
        <w:spacing w:after="0" w:line="7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Term Loan Facility requires quarterly principal payments of $0.4 million with the remaining unpaid principal amount due on the final maturity date of September 22, 2026. Effective March 31, 2023, outstanding borrowings under the Term Loan Facility bear interest at either 1) one-month, three-month, or six-month Adjusted SOFR, subject to a 1.000% floor, plus an applicable margin of 6.875% or 2) the greater of various benchmark rates plus an applicable margin of 5.875%. Beginning with the second quarter of 2023, interest is increased on a paid-in-kind basis at a rate between 1.00% and 2.00%, dependent on the Company’s leverage ratio. Based on the interest rate in effect at June 30, 2023, annual cash interest payments would be approximately $17.8 million.</w:t>
      </w:r>
    </w:p>
    <w:p>
      <w:pPr>
        <w:spacing w:after="0" w:line="5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ABL Facility bears interest on a variable borrowing rate based on either 1) Adjusted SOFR plus an applicable margin of 1.75% or 2.00%, depending on availability, or 2) the greater of the federal funds rate or prime, plus an applicable margin of 0.75% or 1.00%, depending on availability. We pay a commitment fee of 0.375% for unused capacity under the ABL Facility.</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were in compliance with all requirements under our Term Loan Facility and ABL Facility as of June 30, 2023. Both credit facilities allow for optional expansion of available borrowings, subject to certain terms and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Sales Programs</w:t>
      </w:r>
    </w:p>
    <w:p>
      <w:pPr>
        <w:spacing w:after="0" w:line="6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2021, we filed a refund claim with the IRS as a result of the Coronavirus Aid, Relief, and Economic Security Act. Including interest accrued on the initial refund amount, we have a $11.3 million tax refund receivable at June 30, 2023, which is in the process of IRS review and approval. The timing of the receipt of the refund remains uncertain.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6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2022 Annual Report, including those policies as discussed in Note 1 to the Notes to Consolidated Financial Statements included in the 2022 Annual Report. There have been no material changes to these policies during the six months ended June 30, 2023.</w:t>
      </w:r>
    </w:p>
    <w:p>
      <w:pPr>
        <w:sectPr>
          <w:pgSz w:w="11900" w:h="16838" w:orient="portrait"/>
          <w:cols w:equalWidth="0" w:num="1">
            <w:col w:w="11240"/>
          </w:cols>
          <w:pgMar w:left="320" w:top="4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6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6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7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July 22, 2021, we entered into a fixed-rate interest rate swap agreement to change the LIBOR-based component of the interest rate on $60.0 million of our variable rate debt to a fixed rate of 1.291% (the “2021 Swap”). During the first quarter of 2023, we terminated the interest rate swap and received cash proceeds of $2.5 million which was equal to its fair value. Refer to Note 15 in the Notes to Condensed Consolidated Financial Statements included in this Quarterly Report for further discussion about the interest rate swap.</w:t>
      </w:r>
    </w:p>
    <w:p>
      <w:pPr>
        <w:spacing w:after="0" w:line="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At June 30, 2023, we had $147.4 million of principal outstanding under the Term Loan Facility without regard to capitalized debt issuance costs. A one-percent increase in one-month SOFR would have resulted in a net increase in interest expense of $1.5 million on an annualized basis.</w:t>
      </w:r>
    </w:p>
    <w:p>
      <w:pPr>
        <w:spacing w:after="0" w:line="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June 30, 2023, using Adjusted SOFR plus a 2.00% spread, the interest rate on the $3.0 million of outstanding borrowings under the ABL Facility was 7.246%.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June 30, 2023.</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Chief Financial Officer, we evaluated the effectiveness of disclosure controls and procedures (as defined in Rule 13a-15(e) and 15d-15(e) of the Exchange Act). Based upon that evaluation, our Chief Executive Officer and Chief Financial Officer concluded that our disclosure controls and procedures were effective as of June 30, 2023,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6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fiscal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disclosed in Note 9 in the Notes to Condensed Consolidated Financial Statements included in this Quarterly Report, we are engaged in certain legal proceedings, and the disclosure set forth in Note 9 relating to legal proceedings is incorporated herein by reference.</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Except as noted below, there have been no material changes to the risk factors disclosed in the 2022 Annual Report under Item 1A, “Risk Factors.”</w:t>
      </w:r>
    </w:p>
    <w:p>
      <w:pPr>
        <w:spacing w:after="0" w:line="129" w:lineRule="exact"/>
        <w:rPr>
          <w:sz w:val="20"/>
          <w:szCs w:val="20"/>
          <w:color w:val="auto"/>
        </w:rPr>
      </w:pPr>
    </w:p>
    <w:p>
      <w:pPr>
        <w:ind w:right="240"/>
        <w:spacing w:after="0" w:line="316" w:lineRule="auto"/>
        <w:rPr>
          <w:sz w:val="20"/>
          <w:szCs w:val="20"/>
          <w:color w:val="auto"/>
        </w:rPr>
      </w:pPr>
      <w:r>
        <w:rPr>
          <w:rFonts w:ascii="Arial" w:cs="Arial" w:eastAsia="Arial" w:hAnsi="Arial"/>
          <w:sz w:val="16"/>
          <w:szCs w:val="16"/>
          <w:b w:val="1"/>
          <w:bCs w:val="1"/>
          <w:i w:val="1"/>
          <w:iCs w:val="1"/>
          <w:color w:val="auto"/>
        </w:rPr>
        <w:t>We currently, and may in the future, have assets held at financial institutions that may exceed the insurance coverage offered by the Federal Deposit Insurance Corporation (“FDIC”), and the loss of such assets could have a severe negative affect on our operations and liquidity.</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March 10, 2023, Silicon Valley Bank (“SVB”) was closed by the California Department of Financial Protection and Innovation, which appointed the FDIC as receiver. Similarly, on March 12, 2023, Signature Bank and Silvergate Capital Corp. were each swept into receivership. A statement by the Department of the Treasury, the Federal Reserve and the FDIC stated that all depositors of SVB would have access to all of their money after only one business day of closure, including funds held in uninsured deposit accounts. Although we do not have any funds deposited with SVB or Signature Bank, we currently have our cash and cash equivalents held in deposit in accounts at certain FDIC-insured financial institutions, some of which include amounts in excess of the insurance coverage offered by the FDIC. In the future, we may maintain our cash and cash equivalents at financial institutions in the United States in amounts that may be in excess of the FDIC insurance limit of $250,000. In the event of a failure of any of these financial institutions where we maintain our deposits or other assets, we may incur a loss to the extent such loss exceeds the FDIC insurance limitation, which could have a material adverse effect upon our liquidity, financial condition and our results of operations.</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purchases we made during the quarter ended June 30,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5"/>
              </w:rPr>
              <w:t>Total Number of</w:t>
            </w:r>
          </w:p>
        </w:tc>
        <w:tc>
          <w:tcPr>
            <w:tcW w:w="1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7"/>
              </w:rPr>
              <w:t>Maximum Number (or</w:t>
            </w:r>
          </w:p>
        </w:tc>
      </w:tr>
      <w:tr>
        <w:trPr>
          <w:trHeight w:val="140"/>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1" w:lineRule="exact"/>
              <w:rPr>
                <w:sz w:val="20"/>
                <w:szCs w:val="20"/>
                <w:color w:val="auto"/>
              </w:rPr>
            </w:pPr>
            <w:r>
              <w:rPr>
                <w:rFonts w:ascii="Arial" w:cs="Arial" w:eastAsia="Arial" w:hAnsi="Arial"/>
                <w:sz w:val="14"/>
                <w:szCs w:val="14"/>
                <w:color w:val="auto"/>
                <w:w w:val="88"/>
              </w:rPr>
              <w:t>Shares Purchased</w:t>
            </w:r>
          </w:p>
        </w:tc>
        <w:tc>
          <w:tcPr>
            <w:tcW w:w="100" w:type="dxa"/>
            <w:vAlign w:val="bottom"/>
          </w:tcPr>
          <w:p>
            <w:pPr>
              <w:spacing w:after="0"/>
              <w:rPr>
                <w:sz w:val="12"/>
                <w:szCs w:val="12"/>
                <w:color w:val="auto"/>
              </w:rPr>
            </w:pPr>
          </w:p>
        </w:tc>
        <w:tc>
          <w:tcPr>
            <w:tcW w:w="2120" w:type="dxa"/>
            <w:vAlign w:val="bottom"/>
          </w:tcPr>
          <w:p>
            <w:pPr>
              <w:jc w:val="center"/>
              <w:spacing w:after="0" w:line="141" w:lineRule="exact"/>
              <w:rPr>
                <w:sz w:val="20"/>
                <w:szCs w:val="20"/>
                <w:color w:val="auto"/>
              </w:rPr>
            </w:pPr>
            <w:r>
              <w:rPr>
                <w:rFonts w:ascii="Arial" w:cs="Arial" w:eastAsia="Arial" w:hAnsi="Arial"/>
                <w:sz w:val="14"/>
                <w:szCs w:val="14"/>
                <w:color w:val="auto"/>
                <w:w w:val="95"/>
              </w:rPr>
              <w:t>Approximate Dollar Value)</w:t>
            </w:r>
          </w:p>
        </w:tc>
      </w:tr>
      <w:tr>
        <w:trPr>
          <w:trHeight w:val="143"/>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3" w:lineRule="exact"/>
              <w:rPr>
                <w:sz w:val="20"/>
                <w:szCs w:val="20"/>
                <w:color w:val="auto"/>
              </w:rPr>
            </w:pPr>
            <w:r>
              <w:rPr>
                <w:rFonts w:ascii="Arial" w:cs="Arial" w:eastAsia="Arial" w:hAnsi="Arial"/>
                <w:sz w:val="14"/>
                <w:szCs w:val="14"/>
                <w:color w:val="auto"/>
                <w:w w:val="94"/>
              </w:rPr>
              <w:t>as Part of Publicly</w:t>
            </w:r>
          </w:p>
        </w:tc>
        <w:tc>
          <w:tcPr>
            <w:tcW w:w="100" w:type="dxa"/>
            <w:vAlign w:val="bottom"/>
          </w:tcPr>
          <w:p>
            <w:pPr>
              <w:spacing w:after="0"/>
              <w:rPr>
                <w:sz w:val="12"/>
                <w:szCs w:val="12"/>
                <w:color w:val="auto"/>
              </w:rPr>
            </w:pPr>
          </w:p>
        </w:tc>
        <w:tc>
          <w:tcPr>
            <w:tcW w:w="2120" w:type="dxa"/>
            <w:vAlign w:val="bottom"/>
          </w:tcPr>
          <w:p>
            <w:pPr>
              <w:jc w:val="center"/>
              <w:spacing w:after="0" w:line="143" w:lineRule="exact"/>
              <w:rPr>
                <w:sz w:val="20"/>
                <w:szCs w:val="20"/>
                <w:color w:val="auto"/>
              </w:rPr>
            </w:pPr>
            <w:r>
              <w:rPr>
                <w:rFonts w:ascii="Arial" w:cs="Arial" w:eastAsia="Arial" w:hAnsi="Arial"/>
                <w:sz w:val="14"/>
                <w:szCs w:val="14"/>
                <w:color w:val="auto"/>
                <w:w w:val="92"/>
              </w:rPr>
              <w:t>of Shares That May Yet</w:t>
            </w:r>
          </w:p>
        </w:tc>
      </w:tr>
      <w:tr>
        <w:trPr>
          <w:trHeight w:val="143"/>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right"/>
              <w:ind w:right="282"/>
              <w:spacing w:after="0" w:line="143" w:lineRule="exact"/>
              <w:rPr>
                <w:sz w:val="20"/>
                <w:szCs w:val="20"/>
                <w:color w:val="auto"/>
              </w:rPr>
            </w:pPr>
            <w:r>
              <w:rPr>
                <w:rFonts w:ascii="Arial" w:cs="Arial" w:eastAsia="Arial" w:hAnsi="Arial"/>
                <w:sz w:val="14"/>
                <w:szCs w:val="14"/>
                <w:color w:val="auto"/>
              </w:rPr>
              <w:t>Total 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ind w:right="176"/>
              <w:spacing w:after="0" w:line="143" w:lineRule="exact"/>
              <w:rPr>
                <w:sz w:val="20"/>
                <w:szCs w:val="20"/>
                <w:color w:val="auto"/>
              </w:rPr>
            </w:pPr>
            <w:r>
              <w:rPr>
                <w:rFonts w:ascii="Arial" w:cs="Arial" w:eastAsia="Arial" w:hAnsi="Arial"/>
                <w:sz w:val="14"/>
                <w:szCs w:val="14"/>
                <w:color w:val="auto"/>
                <w:w w:val="96"/>
              </w:rPr>
              <w:t>Average Price Paid</w:t>
            </w:r>
          </w:p>
        </w:tc>
        <w:tc>
          <w:tcPr>
            <w:tcW w:w="100" w:type="dxa"/>
            <w:vAlign w:val="bottom"/>
          </w:tcPr>
          <w:p>
            <w:pPr>
              <w:spacing w:after="0"/>
              <w:rPr>
                <w:sz w:val="12"/>
                <w:szCs w:val="12"/>
                <w:color w:val="auto"/>
              </w:rPr>
            </w:pPr>
          </w:p>
        </w:tc>
        <w:tc>
          <w:tcPr>
            <w:tcW w:w="1520" w:type="dxa"/>
            <w:vAlign w:val="bottom"/>
          </w:tcPr>
          <w:p>
            <w:pPr>
              <w:jc w:val="center"/>
              <w:spacing w:after="0" w:line="143" w:lineRule="exact"/>
              <w:rPr>
                <w:sz w:val="20"/>
                <w:szCs w:val="20"/>
                <w:color w:val="auto"/>
              </w:rPr>
            </w:pPr>
            <w:r>
              <w:rPr>
                <w:rFonts w:ascii="Arial" w:cs="Arial" w:eastAsia="Arial" w:hAnsi="Arial"/>
                <w:sz w:val="14"/>
                <w:szCs w:val="14"/>
                <w:color w:val="auto"/>
                <w:w w:val="92"/>
              </w:rPr>
              <w:t>Announced Plans</w:t>
            </w:r>
          </w:p>
        </w:tc>
        <w:tc>
          <w:tcPr>
            <w:tcW w:w="100" w:type="dxa"/>
            <w:vAlign w:val="bottom"/>
          </w:tcPr>
          <w:p>
            <w:pPr>
              <w:spacing w:after="0"/>
              <w:rPr>
                <w:sz w:val="12"/>
                <w:szCs w:val="12"/>
                <w:color w:val="auto"/>
              </w:rPr>
            </w:pPr>
          </w:p>
        </w:tc>
        <w:tc>
          <w:tcPr>
            <w:tcW w:w="2120" w:type="dxa"/>
            <w:vAlign w:val="bottom"/>
          </w:tcPr>
          <w:p>
            <w:pPr>
              <w:jc w:val="center"/>
              <w:spacing w:after="0" w:line="143" w:lineRule="exact"/>
              <w:rPr>
                <w:sz w:val="20"/>
                <w:szCs w:val="20"/>
                <w:color w:val="auto"/>
              </w:rPr>
            </w:pPr>
            <w:r>
              <w:rPr>
                <w:rFonts w:ascii="Arial" w:cs="Arial" w:eastAsia="Arial" w:hAnsi="Arial"/>
                <w:sz w:val="14"/>
                <w:szCs w:val="14"/>
                <w:color w:val="auto"/>
                <w:w w:val="91"/>
              </w:rPr>
              <w:t>Be Purchased Under the</w:t>
            </w:r>
          </w:p>
        </w:tc>
      </w:tr>
      <w:tr>
        <w:trPr>
          <w:trHeight w:val="19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Period</w:t>
            </w:r>
          </w:p>
        </w:tc>
        <w:tc>
          <w:tcPr>
            <w:tcW w:w="120" w:type="dxa"/>
            <w:vAlign w:val="bottom"/>
          </w:tcPr>
          <w:p>
            <w:pPr>
              <w:spacing w:after="0"/>
              <w:rPr>
                <w:sz w:val="17"/>
                <w:szCs w:val="17"/>
                <w:color w:val="auto"/>
              </w:rPr>
            </w:pPr>
          </w:p>
        </w:tc>
        <w:tc>
          <w:tcPr>
            <w:tcW w:w="1660" w:type="dxa"/>
            <w:vAlign w:val="bottom"/>
            <w:tcBorders>
              <w:bottom w:val="single" w:sz="8" w:color="auto"/>
            </w:tcBorders>
          </w:tcPr>
          <w:p>
            <w:pPr>
              <w:jc w:val="right"/>
              <w:ind w:right="182"/>
              <w:spacing w:after="0" w:line="200" w:lineRule="exact"/>
              <w:rPr>
                <w:sz w:val="20"/>
                <w:szCs w:val="20"/>
                <w:color w:val="auto"/>
              </w:rPr>
            </w:pPr>
            <w:r>
              <w:rPr>
                <w:rFonts w:ascii="Arial" w:cs="Arial" w:eastAsia="Arial" w:hAnsi="Arial"/>
                <w:sz w:val="14"/>
                <w:szCs w:val="14"/>
                <w:color w:val="auto"/>
              </w:rPr>
              <w:t xml:space="preserve">Shares Purchased </w:t>
            </w:r>
            <w:r>
              <w:rPr>
                <w:rFonts w:ascii="Arial" w:cs="Arial" w:eastAsia="Arial" w:hAnsi="Arial"/>
                <w:sz w:val="18"/>
                <w:szCs w:val="18"/>
                <w:color w:val="auto"/>
                <w:vertAlign w:val="superscript"/>
              </w:rPr>
              <w:t>(1)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Per Share</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4"/>
                <w:szCs w:val="14"/>
                <w:color w:val="auto"/>
                <w:w w:val="89"/>
              </w:rPr>
              <w:t xml:space="preserve">or Programs </w:t>
            </w:r>
            <w:r>
              <w:rPr>
                <w:rFonts w:ascii="Arial" w:cs="Arial" w:eastAsia="Arial" w:hAnsi="Arial"/>
                <w:sz w:val="18"/>
                <w:szCs w:val="18"/>
                <w:color w:val="auto"/>
                <w:w w:val="89"/>
                <w:vertAlign w:val="superscript"/>
              </w:rPr>
              <w:t>(1)</w:t>
            </w:r>
          </w:p>
        </w:tc>
        <w:tc>
          <w:tcPr>
            <w:tcW w:w="100" w:type="dxa"/>
            <w:vAlign w:val="bottom"/>
          </w:tcPr>
          <w:p>
            <w:pPr>
              <w:spacing w:after="0"/>
              <w:rPr>
                <w:sz w:val="17"/>
                <w:szCs w:val="17"/>
                <w:color w:val="auto"/>
              </w:rPr>
            </w:pPr>
          </w:p>
        </w:tc>
        <w:tc>
          <w:tcPr>
            <w:tcW w:w="212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4"/>
                <w:szCs w:val="14"/>
                <w:color w:val="auto"/>
                <w:w w:val="90"/>
              </w:rPr>
              <w:t xml:space="preserve">Plan or Programs </w:t>
            </w:r>
            <w:r>
              <w:rPr>
                <w:rFonts w:ascii="Arial" w:cs="Arial" w:eastAsia="Arial" w:hAnsi="Arial"/>
                <w:sz w:val="18"/>
                <w:szCs w:val="18"/>
                <w:color w:val="auto"/>
                <w:w w:val="90"/>
                <w:vertAlign w:val="superscript"/>
              </w:rPr>
              <w:t>(1)</w:t>
            </w:r>
          </w:p>
        </w:tc>
      </w:tr>
      <w:tr>
        <w:trPr>
          <w:trHeight w:val="23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2023</w:t>
            </w:r>
          </w:p>
        </w:tc>
        <w:tc>
          <w:tcPr>
            <w:tcW w:w="17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30,755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1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May 2023</w:t>
            </w:r>
          </w:p>
        </w:tc>
        <w:tc>
          <w:tcPr>
            <w:tcW w:w="1780" w:type="dxa"/>
            <w:vAlign w:val="bottom"/>
            <w:gridSpan w:val="2"/>
          </w:tcPr>
          <w:p>
            <w:pPr>
              <w:jc w:val="right"/>
              <w:ind w:right="2"/>
              <w:spacing w:after="0"/>
              <w:rPr>
                <w:sz w:val="20"/>
                <w:szCs w:val="20"/>
                <w:color w:val="auto"/>
              </w:rPr>
            </w:pPr>
            <w:r>
              <w:rPr>
                <w:rFonts w:ascii="Arial" w:cs="Arial" w:eastAsia="Arial" w:hAnsi="Arial"/>
                <w:sz w:val="18"/>
                <w:szCs w:val="18"/>
                <w:color w:val="auto"/>
              </w:rPr>
              <w:t>47,245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2023</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ind w:right="2"/>
              <w:spacing w:after="0"/>
              <w:rPr>
                <w:sz w:val="20"/>
                <w:szCs w:val="20"/>
                <w:color w:val="auto"/>
              </w:rPr>
            </w:pPr>
            <w:r>
              <w:rPr>
                <w:rFonts w:ascii="Arial" w:cs="Arial" w:eastAsia="Arial" w:hAnsi="Arial"/>
                <w:sz w:val="18"/>
                <w:szCs w:val="18"/>
                <w:color w:val="auto"/>
              </w:rPr>
              <w:t>79,065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top w:val="single" w:sz="8" w:color="auto"/>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27" w:lineRule="exact"/>
        <w:rPr>
          <w:sz w:val="20"/>
          <w:szCs w:val="20"/>
          <w:color w:val="auto"/>
        </w:rPr>
      </w:pPr>
    </w:p>
    <w:p>
      <w:pPr>
        <w:ind w:left="660" w:right="80" w:hanging="328"/>
        <w:spacing w:after="0" w:line="259"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8"/>
          <w:szCs w:val="18"/>
          <w:color w:val="auto"/>
        </w:rPr>
        <w:t>Shares were withheld to pay for tax obligations due upon the vesting of restricted stock held by certain employees granted under the 2022 Omnibus Plan and 2019 Omnibus Plan. The plans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200" w:lineRule="exact"/>
        <w:rPr>
          <w:sz w:val="20"/>
          <w:szCs w:val="20"/>
          <w:color w:val="auto"/>
        </w:rPr>
      </w:pPr>
    </w:p>
    <w:p>
      <w:pPr>
        <w:spacing w:after="0" w:line="3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20" w:type="dxa"/>
            <w:vAlign w:val="bottom"/>
            <w:gridSpan w:val="13"/>
            <w:vMerge w:val="restart"/>
          </w:tcPr>
          <w:p>
            <w:pPr>
              <w:ind w:left="35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220" w:type="dxa"/>
            <w:vAlign w:val="bottom"/>
            <w:tcBorders>
              <w:bottom w:val="single" w:sz="8" w:color="auto"/>
            </w:tcBorders>
            <w:gridSpan w:val="1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4"/>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Separation Agreement and General Release, dated as of April 28, 2023, by and between NN, Inc. and Matthew S. Heiter (Filed as Exhibit</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Registrant’s Current Report on Form 8-K filed on April 28, 2023 and incorporated herein by reference).</w:t>
              </w:r>
            </w:hyperlink>
          </w:p>
        </w:tc>
        <w:tc>
          <w:tcPr>
            <w:tcW w:w="162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4"/>
          </w:tcPr>
          <w:p>
            <w:pPr>
              <w:spacing w:after="0"/>
              <w:rPr>
                <w:rFonts w:ascii="Arial" w:cs="Arial" w:eastAsia="Arial" w:hAnsi="Arial"/>
                <w:sz w:val="18"/>
                <w:szCs w:val="18"/>
                <w:color w:val="0000FF"/>
                <w:w w:val="97"/>
              </w:rPr>
            </w:pPr>
            <w:hyperlink r:id="rId54">
              <w:r>
                <w:rPr>
                  <w:rFonts w:ascii="Arial" w:cs="Arial" w:eastAsia="Arial" w:hAnsi="Arial"/>
                  <w:sz w:val="18"/>
                  <w:szCs w:val="18"/>
                  <w:color w:val="0000FF"/>
                  <w:w w:val="97"/>
                </w:rPr>
                <w:t>Letter of Understanding, dated May 8, 2023, by and between NN, Inc. and Harold Bevis (Filed as Exhibit 10.1 to the Registrant’s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Current Report on Form 8-K filed on May 9, 2023 and incorporated herein by reference).</w:t>
              </w:r>
            </w:hyperlink>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4"/>
          </w:tcPr>
          <w:p>
            <w:pPr>
              <w:spacing w:after="0"/>
              <w:rPr>
                <w:rFonts w:ascii="Arial" w:cs="Arial" w:eastAsia="Arial" w:hAnsi="Arial"/>
                <w:sz w:val="18"/>
                <w:szCs w:val="18"/>
                <w:color w:val="0000FF"/>
                <w:w w:val="96"/>
              </w:rPr>
            </w:pPr>
            <w:hyperlink r:id="rId55">
              <w:r>
                <w:rPr>
                  <w:rFonts w:ascii="Arial" w:cs="Arial" w:eastAsia="Arial" w:hAnsi="Arial"/>
                  <w:sz w:val="18"/>
                  <w:szCs w:val="18"/>
                  <w:color w:val="0000FF"/>
                  <w:w w:val="96"/>
                </w:rPr>
                <w:t>Form of Restricted Share Award Agreement, by and between NN, Inc. and Harold Bevis (Filed as Exhibit 10.2 to the Registrant’s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Current Report on Form 8-K filed on May 9, 2023 and incorporated herein by reference).</w:t>
              </w:r>
            </w:hyperlink>
          </w:p>
        </w:tc>
        <w:tc>
          <w:tcPr>
            <w:tcW w:w="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4"/>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Form of Performance Share Unit Award Agreement, by and between NN, Inc. and Harold Bevis (Filed as Exhibit 10.3 to the Registrant’s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56">
              <w:r>
                <w:rPr>
                  <w:rFonts w:ascii="Arial" w:cs="Arial" w:eastAsia="Arial" w:hAnsi="Arial"/>
                  <w:sz w:val="18"/>
                  <w:szCs w:val="18"/>
                  <w:color w:val="0000FF"/>
                </w:rPr>
                <w:t>Current Report on Form 8-K filed on May 9, 2023 and incorporated herein by reference).</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4"/>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Form of Separation Agreement, by and between NN, Inc. and Harold Bevis (Filed as Exhibit 10.4 to the Registrant’s Current Report 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Form 8-K filed on May 9, 2023 and incorporated herein by reference).</w:t>
              </w:r>
            </w:hyperlink>
          </w:p>
        </w:tc>
        <w:tc>
          <w:tcPr>
            <w:tcW w:w="4660" w:type="dxa"/>
            <w:vAlign w:val="bottom"/>
            <w:tcBorders>
              <w:top w:val="single" w:sz="8" w:color="0000FF"/>
            </w:tcBorders>
            <w:gridSpan w:val="9"/>
          </w:tcPr>
          <w:p>
            <w:pPr>
              <w:spacing w:after="0"/>
              <w:rPr>
                <w:sz w:val="13"/>
                <w:szCs w:val="13"/>
                <w:color w:val="auto"/>
              </w:rPr>
            </w:pPr>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0000FF"/>
                <w:w w:val="93"/>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amended.</w:t>
            </w:r>
          </w:p>
        </w:tc>
        <w:tc>
          <w:tcPr>
            <w:tcW w:w="8900" w:type="dxa"/>
            <w:vAlign w:val="bottom"/>
            <w:tcBorders>
              <w:top w:val="single" w:sz="8" w:color="0000FF"/>
            </w:tcBorders>
            <w:gridSpan w:val="9"/>
          </w:tcPr>
          <w:p>
            <w:pPr>
              <w:spacing w:after="0"/>
              <w:rPr>
                <w:sz w:val="13"/>
                <w:szCs w:val="13"/>
                <w:color w:val="auto"/>
              </w:rPr>
            </w:pPr>
          </w:p>
        </w:tc>
        <w:tc>
          <w:tcPr>
            <w:tcW w:w="3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0000FF"/>
                <w:w w:val="94"/>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amended.</w:t>
            </w:r>
          </w:p>
        </w:tc>
        <w:tc>
          <w:tcPr>
            <w:tcW w:w="8860" w:type="dxa"/>
            <w:vAlign w:val="bottom"/>
            <w:tcBorders>
              <w:top w:val="single" w:sz="8" w:color="0000FF"/>
            </w:tcBorders>
            <w:gridSpan w:val="8"/>
          </w:tcPr>
          <w:p>
            <w:pPr>
              <w:spacing w:after="0"/>
              <w:rPr>
                <w:sz w:val="14"/>
                <w:szCs w:val="14"/>
                <w:color w:val="auto"/>
              </w:rPr>
            </w:pPr>
          </w:p>
        </w:tc>
        <w:tc>
          <w:tcPr>
            <w:tcW w:w="3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of Principal Financial Officer pursuant to Section 906 of the Sarbanes-Oxley Act of 2002.</w:t>
            </w:r>
          </w:p>
        </w:tc>
        <w:tc>
          <w:tcPr>
            <w:tcW w:w="40" w:type="dxa"/>
            <w:vAlign w:val="bottom"/>
            <w:tcBorders>
              <w:top w:val="single" w:sz="8" w:color="0000FF"/>
            </w:tcBorders>
          </w:tcPr>
          <w:p>
            <w:pPr>
              <w:spacing w:after="0"/>
              <w:rPr>
                <w:sz w:val="18"/>
                <w:szCs w:val="18"/>
                <w:color w:val="auto"/>
              </w:rPr>
            </w:pPr>
          </w:p>
        </w:tc>
        <w:tc>
          <w:tcPr>
            <w:tcW w:w="24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w w:val="93"/>
              </w:rPr>
              <w:t>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42"/>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ind w:left="1160" w:hanging="113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33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left="1020" w:right="16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tbl>
      <w:tblPr>
        <w:tblLayout w:type="fixed"/>
        <w:tblInd w:w="1040" w:type="dxa"/>
        <w:tblCellMar>
          <w:top w:w="0" w:type="dxa"/>
          <w:left w:w="0" w:type="dxa"/>
          <w:bottom w:w="0" w:type="dxa"/>
          <w:right w:w="0" w:type="dxa"/>
        </w:tblCellMar>
      </w:tblPr>
      <w:tr>
        <w:trPr>
          <w:trHeight w:val="237"/>
        </w:trPr>
        <w:tc>
          <w:tcPr>
            <w:tcW w:w="4600" w:type="dxa"/>
            <w:vAlign w:val="bottom"/>
          </w:tcPr>
          <w:p>
            <w:pPr>
              <w:spacing w:after="0"/>
              <w:rPr>
                <w:sz w:val="20"/>
                <w:szCs w:val="20"/>
                <w:color w:val="auto"/>
              </w:rPr>
            </w:pP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NN, Inc.</w:t>
            </w:r>
          </w:p>
        </w:tc>
      </w:tr>
      <w:tr>
        <w:trPr>
          <w:trHeight w:val="230"/>
        </w:trPr>
        <w:tc>
          <w:tcPr>
            <w:tcW w:w="46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33"/>
        </w:trPr>
        <w:tc>
          <w:tcPr>
            <w:tcW w:w="4600" w:type="dxa"/>
            <w:vAlign w:val="bottom"/>
          </w:tcPr>
          <w:p>
            <w:pPr>
              <w:spacing w:after="0"/>
              <w:rPr>
                <w:sz w:val="20"/>
                <w:szCs w:val="20"/>
                <w:color w:val="auto"/>
              </w:rPr>
            </w:pPr>
            <w:r>
              <w:rPr>
                <w:rFonts w:ascii="Arial" w:cs="Arial" w:eastAsia="Arial" w:hAnsi="Arial"/>
                <w:sz w:val="18"/>
                <w:szCs w:val="18"/>
                <w:color w:val="auto"/>
              </w:rPr>
              <w:t>Date: August 4, 2023</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Harold C. Bevis</w:t>
            </w:r>
          </w:p>
        </w:tc>
      </w:tr>
      <w:tr>
        <w:trPr>
          <w:trHeight w:val="230"/>
        </w:trPr>
        <w:tc>
          <w:tcPr>
            <w:tcW w:w="46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Harold C. Bevis</w:t>
            </w:r>
          </w:p>
        </w:tc>
      </w:tr>
      <w:tr>
        <w:trPr>
          <w:trHeight w:val="242"/>
        </w:trPr>
        <w:tc>
          <w:tcPr>
            <w:tcW w:w="460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310"/>
        </w:trPr>
        <w:tc>
          <w:tcPr>
            <w:tcW w:w="460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4600" w:type="dxa"/>
            <w:vAlign w:val="bottom"/>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r>
        <w:trPr>
          <w:trHeight w:val="513"/>
        </w:trPr>
        <w:tc>
          <w:tcPr>
            <w:tcW w:w="4600" w:type="dxa"/>
            <w:vAlign w:val="bottom"/>
          </w:tcPr>
          <w:p>
            <w:pPr>
              <w:spacing w:after="0"/>
              <w:rPr>
                <w:sz w:val="20"/>
                <w:szCs w:val="20"/>
                <w:color w:val="auto"/>
              </w:rPr>
            </w:pPr>
            <w:r>
              <w:rPr>
                <w:rFonts w:ascii="Arial" w:cs="Arial" w:eastAsia="Arial" w:hAnsi="Arial"/>
                <w:sz w:val="18"/>
                <w:szCs w:val="18"/>
                <w:color w:val="auto"/>
              </w:rPr>
              <w:t>Date: August 4, 2023</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4"/>
        </w:trPr>
        <w:tc>
          <w:tcPr>
            <w:tcW w:w="460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42"/>
        </w:trPr>
        <w:tc>
          <w:tcPr>
            <w:tcW w:w="460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57"/>
        </w:trPr>
        <w:tc>
          <w:tcPr>
            <w:tcW w:w="460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4600" w:type="dxa"/>
            <w:vAlign w:val="bottom"/>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40"/>
          </w:cols>
          <w:pgMar w:left="320" w:top="481" w:right="1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Harold C. Bevis, certify that:</w:t>
      </w:r>
    </w:p>
    <w:p>
      <w:pPr>
        <w:spacing w:after="0" w:line="17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August 4,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Harold C. Bevis</w:t>
            </w:r>
          </w:p>
        </w:tc>
      </w:tr>
      <w:tr>
        <w:trPr>
          <w:trHeight w:val="224"/>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Harold C. Bevis</w:t>
            </w:r>
          </w:p>
        </w:tc>
      </w:tr>
      <w:tr>
        <w:trPr>
          <w:trHeight w:val="241"/>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C. Felcher, certify that:</w:t>
      </w:r>
    </w:p>
    <w:p>
      <w:pPr>
        <w:spacing w:after="0" w:line="17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August 4, 2023</w:t>
            </w:r>
          </w:p>
        </w:tc>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4"/>
        </w:trPr>
        <w:tc>
          <w:tcPr>
            <w:tcW w:w="564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41"/>
        </w:trPr>
        <w:tc>
          <w:tcPr>
            <w:tcW w:w="564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564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June 30, 2023,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August 4,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Harold C. Bevis</w:t>
            </w:r>
          </w:p>
        </w:tc>
      </w:tr>
      <w:tr>
        <w:trPr>
          <w:trHeight w:val="224"/>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Harold C. Bevis</w:t>
            </w:r>
          </w:p>
        </w:tc>
      </w:tr>
      <w:tr>
        <w:trPr>
          <w:trHeight w:val="241"/>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June 30, 2023,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August 4, 2023</w:t>
            </w:r>
          </w:p>
        </w:tc>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4"/>
        </w:trPr>
        <w:tc>
          <w:tcPr>
            <w:tcW w:w="564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41"/>
        </w:trPr>
        <w:tc>
          <w:tcPr>
            <w:tcW w:w="564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564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8" Type="http://schemas.openxmlformats.org/officeDocument/2006/relationships/image" Target="media/image46.png"/><Relationship Id="rId53" Type="http://schemas.openxmlformats.org/officeDocument/2006/relationships/hyperlink" Target="http://www.sec.gov/Archives/edgar/data/918541/000091854123000073/exhibit101separationagreem.htm" TargetMode="External"/><Relationship Id="rId54" Type="http://schemas.openxmlformats.org/officeDocument/2006/relationships/hyperlink" Target="http://www.sec.gov/Archives/edgar/data/918541/000091854123000086/exhibit101letterofundersta.htm" TargetMode="External"/><Relationship Id="rId55" Type="http://schemas.openxmlformats.org/officeDocument/2006/relationships/hyperlink" Target="http://www.sec.gov/Archives/edgar/data/918541/000091854123000086/exhibit102rsuaward2023-05.htm" TargetMode="External"/><Relationship Id="rId56" Type="http://schemas.openxmlformats.org/officeDocument/2006/relationships/hyperlink" Target="http://www.sec.gov/Archives/edgar/data/918541/000091854123000086/exhibit103psuaward2023-05.htm" TargetMode="External"/><Relationship Id="rId57" Type="http://schemas.openxmlformats.org/officeDocument/2006/relationships/hyperlink" Target="http://www.sec.gov/Archives/edgar/data/918541/000091854123000086/exhibit104separation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2023-08-04T11:50:38Z</dcterms:created>
  <dcterms:modified xsi:type="dcterms:W3CDTF">2023-08-04T11:50:38Z</dcterms:modified>
</cp:coreProperties>
</file>