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6" w:lineRule="auto"/>
        <w:framePr w:w="1500" w:h="160" w:wrap="auto" w:vAnchor="page" w:hAnchor="page" w:x="5200" w:y="817"/>
        <w:rPr>
          <w:rFonts w:ascii="Arial" w:cs="Arial" w:eastAsia="Arial" w:hAnsi="Arial"/>
          <w:sz w:val="17"/>
          <w:szCs w:val="17"/>
          <w:b w:val="1"/>
          <w:bCs w:val="1"/>
          <w:color w:val="auto"/>
        </w:rPr>
      </w:pPr>
      <w:r>
        <w:rPr>
          <w:rFonts w:ascii="Arial" w:cs="Arial" w:eastAsia="Arial" w:hAnsi="Arial"/>
          <w:sz w:val="17"/>
          <w:szCs w:val="17"/>
          <w:b w:val="1"/>
          <w:bCs w:val="1"/>
          <w:color w:val="auto"/>
        </w:rPr>
        <w:t>UNITED STATES</w:t>
      </w:r>
    </w:p>
    <w:p>
      <w:pPr>
        <w:spacing w:after="0" w:line="185" w:lineRule="auto"/>
        <w:framePr w:w="3960" w:h="160" w:wrap="auto" w:vAnchor="page" w:hAnchor="page" w:x="3980" w:y="1033"/>
        <w:rPr>
          <w:rFonts w:ascii="Arial" w:cs="Arial" w:eastAsia="Arial" w:hAnsi="Arial"/>
          <w:sz w:val="18"/>
          <w:szCs w:val="18"/>
          <w:b w:val="1"/>
          <w:bCs w:val="1"/>
          <w:color w:val="auto"/>
        </w:rPr>
      </w:pPr>
      <w:r>
        <w:rPr>
          <w:rFonts w:ascii="Arial" w:cs="Arial" w:eastAsia="Arial" w:hAnsi="Arial"/>
          <w:sz w:val="18"/>
          <w:szCs w:val="18"/>
          <w:b w:val="1"/>
          <w:bCs w:val="1"/>
          <w:color w:val="auto"/>
        </w:rPr>
        <w:t>SECURITIES AND EXCHANGE COMMISSION</w:t>
      </w:r>
    </w:p>
    <w:p>
      <w:pPr>
        <w:spacing w:after="0" w:line="196" w:lineRule="auto"/>
        <w:framePr w:w="2180" w:h="160" w:wrap="auto" w:vAnchor="page" w:hAnchor="page" w:x="4860" w:y="1249"/>
        <w:rPr>
          <w:rFonts w:ascii="Arial" w:cs="Arial" w:eastAsia="Arial" w:hAnsi="Arial"/>
          <w:sz w:val="17"/>
          <w:szCs w:val="17"/>
          <w:b w:val="1"/>
          <w:bCs w:val="1"/>
          <w:color w:val="auto"/>
        </w:rPr>
      </w:pPr>
      <w:r>
        <w:rPr>
          <w:rFonts w:ascii="Arial" w:cs="Arial" w:eastAsia="Arial" w:hAnsi="Arial"/>
          <w:sz w:val="17"/>
          <w:szCs w:val="17"/>
          <w:b w:val="1"/>
          <w:bCs w:val="1"/>
          <w:color w:val="auto"/>
        </w:rPr>
        <w:t>WASHINGTON, DC 20549</w:t>
      </w:r>
    </w:p>
    <w:p>
      <w:pPr>
        <w:spacing w:after="0" w:line="191" w:lineRule="auto"/>
        <w:framePr w:w="1140" w:h="193" w:wrap="auto" w:vAnchor="page" w:hAnchor="page" w:x="5380" w:y="2176"/>
        <w:rPr>
          <w:rFonts w:ascii="Arial" w:cs="Arial" w:eastAsia="Arial" w:hAnsi="Arial"/>
          <w:sz w:val="21"/>
          <w:szCs w:val="21"/>
          <w:b w:val="1"/>
          <w:bCs w:val="1"/>
          <w:color w:val="auto"/>
        </w:rPr>
      </w:pPr>
      <w:r>
        <w:rPr>
          <w:rFonts w:ascii="Arial" w:cs="Arial" w:eastAsia="Arial" w:hAnsi="Arial"/>
          <w:sz w:val="21"/>
          <w:szCs w:val="21"/>
          <w:b w:val="1"/>
          <w:bCs w:val="1"/>
          <w:color w:val="auto"/>
        </w:rPr>
        <w:t>FORM 8-K</w:t>
      </w:r>
    </w:p>
    <w:p>
      <w:pPr>
        <w:spacing w:after="0" w:line="196" w:lineRule="auto"/>
        <w:framePr w:w="3080" w:h="160" w:wrap="auto" w:vAnchor="page" w:hAnchor="page" w:x="4420" w:y="2667"/>
        <w:rPr>
          <w:rFonts w:ascii="Arial" w:cs="Arial" w:eastAsia="Arial" w:hAnsi="Arial"/>
          <w:sz w:val="17"/>
          <w:szCs w:val="17"/>
          <w:b w:val="1"/>
          <w:bCs w:val="1"/>
          <w:color w:val="auto"/>
        </w:rPr>
      </w:pPr>
      <w:r>
        <w:rPr>
          <w:rFonts w:ascii="Arial" w:cs="Arial" w:eastAsia="Arial" w:hAnsi="Arial"/>
          <w:sz w:val="17"/>
          <w:szCs w:val="17"/>
          <w:b w:val="1"/>
          <w:bCs w:val="1"/>
          <w:color w:val="auto"/>
        </w:rPr>
        <w:t>CURRENT REPORT PURSUANT TO</w:t>
      </w:r>
    </w:p>
    <w:p>
      <w:pPr>
        <w:spacing w:after="0" w:line="196" w:lineRule="auto"/>
        <w:framePr w:w="2600" w:h="160" w:wrap="auto" w:vAnchor="page" w:hAnchor="page" w:x="4660" w:y="2883"/>
        <w:rPr>
          <w:rFonts w:ascii="Arial" w:cs="Arial" w:eastAsia="Arial" w:hAnsi="Arial"/>
          <w:sz w:val="17"/>
          <w:szCs w:val="17"/>
          <w:b w:val="1"/>
          <w:bCs w:val="1"/>
          <w:color w:val="auto"/>
        </w:rPr>
      </w:pPr>
      <w:r>
        <w:rPr>
          <w:rFonts w:ascii="Arial" w:cs="Arial" w:eastAsia="Arial" w:hAnsi="Arial"/>
          <w:sz w:val="17"/>
          <w:szCs w:val="17"/>
          <w:b w:val="1"/>
          <w:bCs w:val="1"/>
          <w:color w:val="auto"/>
        </w:rPr>
        <w:t>SECTION 13 OR 15(d) OF THE</w:t>
      </w:r>
    </w:p>
    <w:p>
      <w:pPr>
        <w:spacing w:after="0" w:line="196" w:lineRule="auto"/>
        <w:framePr w:w="3380" w:h="160" w:wrap="auto" w:vAnchor="page" w:hAnchor="page" w:x="4260" w:y="3099"/>
        <w:rPr>
          <w:rFonts w:ascii="Arial" w:cs="Arial" w:eastAsia="Arial" w:hAnsi="Arial"/>
          <w:sz w:val="17"/>
          <w:szCs w:val="17"/>
          <w:b w:val="1"/>
          <w:bCs w:val="1"/>
          <w:color w:val="auto"/>
        </w:rPr>
      </w:pPr>
      <w:r>
        <w:rPr>
          <w:rFonts w:ascii="Arial" w:cs="Arial" w:eastAsia="Arial" w:hAnsi="Arial"/>
          <w:sz w:val="17"/>
          <w:szCs w:val="17"/>
          <w:b w:val="1"/>
          <w:bCs w:val="1"/>
          <w:color w:val="auto"/>
        </w:rPr>
        <w:t>SECURITIES EXCHANGE ACT OF 1934</w:t>
      </w:r>
    </w:p>
    <w:p>
      <w:pPr>
        <w:spacing w:after="0" w:line="209" w:lineRule="auto"/>
        <w:framePr w:w="4780" w:h="160" w:wrap="auto" w:vAnchor="page" w:hAnchor="page" w:x="3560" w:y="3802"/>
        <w:rPr>
          <w:rFonts w:ascii="Arial" w:cs="Arial" w:eastAsia="Arial" w:hAnsi="Arial"/>
          <w:sz w:val="16"/>
          <w:szCs w:val="16"/>
          <w:b w:val="1"/>
          <w:bCs w:val="1"/>
          <w:color w:val="auto"/>
        </w:rPr>
      </w:pPr>
      <w:r>
        <w:rPr>
          <w:rFonts w:ascii="Arial" w:cs="Arial" w:eastAsia="Arial" w:hAnsi="Arial"/>
          <w:sz w:val="16"/>
          <w:szCs w:val="16"/>
          <w:b w:val="1"/>
          <w:bCs w:val="1"/>
          <w:color w:val="auto"/>
        </w:rPr>
        <w:t>Date of Report (Date of earliest event reported): March 22, 2012</w:t>
      </w:r>
    </w:p>
    <w:p>
      <w:pPr>
        <w:spacing w:after="0" w:line="188" w:lineRule="auto"/>
        <w:framePr w:w="1380" w:h="289" w:wrap="auto" w:vAnchor="page" w:hAnchor="page" w:x="5260" w:y="6023"/>
        <w:rPr>
          <w:rFonts w:ascii="Arial" w:cs="Arial" w:eastAsia="Arial" w:hAnsi="Arial"/>
          <w:sz w:val="32"/>
          <w:szCs w:val="32"/>
          <w:b w:val="1"/>
          <w:bCs w:val="1"/>
          <w:u w:val="single" w:color="auto"/>
          <w:color w:val="auto"/>
        </w:rPr>
      </w:pPr>
      <w:r>
        <w:rPr>
          <w:rFonts w:ascii="Arial" w:cs="Arial" w:eastAsia="Arial" w:hAnsi="Arial"/>
          <w:sz w:val="32"/>
          <w:szCs w:val="32"/>
          <w:b w:val="1"/>
          <w:bCs w:val="1"/>
          <w:u w:val="single" w:color="auto"/>
          <w:color w:val="auto"/>
        </w:rPr>
        <w:t>NN, INC.</w:t>
      </w:r>
    </w:p>
    <w:p>
      <w:pPr>
        <w:spacing w:after="0" w:line="200" w:lineRule="exact"/>
        <w:rPr>
          <w:rFonts w:ascii="Arial" w:cs="Arial" w:eastAsia="Arial" w:hAnsi="Arial"/>
          <w:sz w:val="32"/>
          <w:szCs w:val="32"/>
          <w:b w:val="1"/>
          <w:bCs w:val="1"/>
          <w:u w:val="single" w:color="auto"/>
          <w:color w:val="auto"/>
        </w:rPr>
      </w:pPr>
      <w:r>
        <w:rPr>
          <w:rFonts w:ascii="Arial" w:cs="Arial" w:eastAsia="Arial" w:hAnsi="Arial"/>
          <w:sz w:val="32"/>
          <w:szCs w:val="32"/>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3442335</wp:posOffset>
            </wp:positionH>
            <wp:positionV relativeFrom="page">
              <wp:posOffset>998220</wp:posOffset>
            </wp:positionV>
            <wp:extent cx="677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200" w:lineRule="exact"/>
        <w:rPr>
          <w:rFonts w:ascii="Arial" w:cs="Arial" w:eastAsia="Arial" w:hAnsi="Arial"/>
          <w:sz w:val="32"/>
          <w:szCs w:val="32"/>
          <w:b w:val="1"/>
          <w:bCs w:val="1"/>
          <w:u w:val="single" w:color="auto"/>
          <w:color w:val="auto"/>
        </w:rPr>
      </w:pPr>
    </w:p>
    <w:p>
      <w:pPr>
        <w:spacing w:after="0" w:line="339" w:lineRule="exact"/>
        <w:rPr>
          <w:rFonts w:ascii="Arial" w:cs="Arial" w:eastAsia="Arial" w:hAnsi="Arial"/>
          <w:sz w:val="32"/>
          <w:szCs w:val="32"/>
          <w:b w:val="1"/>
          <w:bCs w:val="1"/>
          <w:u w:val="single" w:color="auto"/>
          <w:color w:val="auto"/>
        </w:rPr>
      </w:pPr>
    </w:p>
    <w:tbl>
      <w:tblPr>
        <w:tblLayout w:type="fixed"/>
        <w:tblInd w:w="26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20" w:type="dxa"/>
            <w:vAlign w:val="bottom"/>
            <w:gridSpan w:val="5"/>
          </w:tcPr>
          <w:p>
            <w:pPr>
              <w:ind w:left="1540"/>
              <w:spacing w:after="0"/>
              <w:rPr>
                <w:sz w:val="20"/>
                <w:szCs w:val="20"/>
                <w:color w:val="auto"/>
              </w:rPr>
            </w:pPr>
            <w:r>
              <w:rPr>
                <w:rFonts w:ascii="Arial" w:cs="Arial" w:eastAsia="Arial" w:hAnsi="Arial"/>
                <w:sz w:val="18"/>
                <w:szCs w:val="18"/>
                <w:color w:val="auto"/>
                <w:w w:val="96"/>
              </w:rPr>
              <w:t>(Exact name of registrant as specified in its charter)</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9"/>
        </w:trPr>
        <w:tc>
          <w:tcPr>
            <w:tcW w:w="13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1960" w:type="dxa"/>
            <w:vAlign w:val="bottom"/>
            <w:gridSpan w:val="2"/>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0-23486</w:t>
            </w:r>
          </w:p>
        </w:tc>
        <w:tc>
          <w:tcPr>
            <w:tcW w:w="1860" w:type="dxa"/>
            <w:vAlign w:val="bottom"/>
          </w:tcPr>
          <w:p>
            <w:pPr>
              <w:spacing w:after="0"/>
              <w:rPr>
                <w:sz w:val="24"/>
                <w:szCs w:val="24"/>
                <w:color w:val="auto"/>
              </w:rPr>
            </w:pPr>
          </w:p>
        </w:tc>
        <w:tc>
          <w:tcPr>
            <w:tcW w:w="2860" w:type="dxa"/>
            <w:vAlign w:val="bottom"/>
            <w:gridSpan w:val="5"/>
          </w:tcPr>
          <w:p>
            <w:pPr>
              <w:jc w:val="right"/>
              <w:ind w:right="880"/>
              <w:spacing w:after="0"/>
              <w:rPr>
                <w:sz w:val="20"/>
                <w:szCs w:val="20"/>
                <w:color w:val="auto"/>
              </w:rPr>
            </w:pPr>
            <w:r>
              <w:rPr>
                <w:rFonts w:ascii="Arial" w:cs="Arial" w:eastAsia="Arial" w:hAnsi="Arial"/>
                <w:sz w:val="18"/>
                <w:szCs w:val="18"/>
                <w:color w:val="auto"/>
              </w:rPr>
              <w:t>62-1096725</w:t>
            </w:r>
          </w:p>
        </w:tc>
      </w:tr>
      <w:tr>
        <w:trPr>
          <w:trHeight w:val="20"/>
        </w:trPr>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64"/>
        </w:trPr>
        <w:tc>
          <w:tcPr>
            <w:tcW w:w="4040" w:type="dxa"/>
            <w:vAlign w:val="bottom"/>
            <w:gridSpan w:val="4"/>
          </w:tcPr>
          <w:p>
            <w:pPr>
              <w:jc w:val="center"/>
              <w:ind w:right="560"/>
              <w:spacing w:after="0"/>
              <w:rPr>
                <w:sz w:val="20"/>
                <w:szCs w:val="20"/>
                <w:color w:val="auto"/>
              </w:rPr>
            </w:pPr>
            <w:r>
              <w:rPr>
                <w:rFonts w:ascii="Arial" w:cs="Arial" w:eastAsia="Arial" w:hAnsi="Arial"/>
                <w:sz w:val="18"/>
                <w:szCs w:val="18"/>
                <w:color w:val="auto"/>
                <w:w w:val="92"/>
              </w:rPr>
              <w:t>(State or Other Jurisdiction of Incorporation)</w:t>
            </w:r>
          </w:p>
        </w:tc>
        <w:tc>
          <w:tcPr>
            <w:tcW w:w="356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(Commission File Number)</w:t>
            </w:r>
          </w:p>
        </w:tc>
        <w:tc>
          <w:tcPr>
            <w:tcW w:w="2860" w:type="dxa"/>
            <w:vAlign w:val="bottom"/>
            <w:gridSpan w:val="5"/>
          </w:tcPr>
          <w:p>
            <w:pPr>
              <w:jc w:val="center"/>
              <w:ind w:left="15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040" w:type="dxa"/>
            <w:vAlign w:val="bottom"/>
            <w:gridSpan w:val="4"/>
          </w:tcPr>
          <w:p>
            <w:pPr>
              <w:jc w:val="center"/>
              <w:ind w:right="420"/>
              <w:spacing w:after="0"/>
              <w:rPr>
                <w:sz w:val="20"/>
                <w:szCs w:val="20"/>
                <w:color w:val="auto"/>
              </w:rPr>
            </w:pPr>
            <w:r>
              <w:rPr>
                <w:rFonts w:ascii="Arial" w:cs="Arial" w:eastAsia="Arial" w:hAnsi="Arial"/>
                <w:sz w:val="18"/>
                <w:szCs w:val="18"/>
                <w:color w:val="auto"/>
                <w:w w:val="88"/>
              </w:rPr>
              <w:t>2000 Waters Edge Drive, Johnson City, Tennessee</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80" w:type="dxa"/>
            <w:vAlign w:val="bottom"/>
            <w:gridSpan w:val="4"/>
          </w:tcPr>
          <w:p>
            <w:pPr>
              <w:jc w:val="right"/>
              <w:ind w:right="280"/>
              <w:spacing w:after="0"/>
              <w:rPr>
                <w:sz w:val="20"/>
                <w:szCs w:val="20"/>
                <w:color w:val="auto"/>
              </w:rPr>
            </w:pPr>
            <w:r>
              <w:rPr>
                <w:rFonts w:ascii="Arial" w:cs="Arial" w:eastAsia="Arial" w:hAnsi="Arial"/>
                <w:sz w:val="18"/>
                <w:szCs w:val="18"/>
                <w:color w:val="auto"/>
              </w:rPr>
              <w:t>37604</w:t>
            </w:r>
          </w:p>
        </w:tc>
        <w:tc>
          <w:tcPr>
            <w:tcW w:w="880" w:type="dxa"/>
            <w:vAlign w:val="bottom"/>
          </w:tcPr>
          <w:p>
            <w:pPr>
              <w:spacing w:after="0"/>
              <w:rPr>
                <w:sz w:val="24"/>
                <w:szCs w:val="24"/>
                <w:color w:val="auto"/>
              </w:rPr>
            </w:pPr>
          </w:p>
        </w:tc>
      </w:tr>
      <w:tr>
        <w:trPr>
          <w:trHeight w:val="20"/>
        </w:trPr>
        <w:tc>
          <w:tcPr>
            <w:tcW w:w="362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26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860" w:type="dxa"/>
            <w:vAlign w:val="bottom"/>
            <w:gridSpan w:val="5"/>
          </w:tcPr>
          <w:p>
            <w:pPr>
              <w:jc w:val="center"/>
              <w:ind w:left="1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rFonts w:ascii="Arial" w:cs="Arial" w:eastAsia="Arial" w:hAnsi="Arial"/>
          <w:sz w:val="32"/>
          <w:szCs w:val="32"/>
          <w:b w:val="1"/>
          <w:bCs w:val="1"/>
          <w:u w:val="single" w:color="auto"/>
          <w:color w:val="auto"/>
        </w:rPr>
      </w:pPr>
    </w:p>
    <w:p>
      <w:pPr>
        <w:jc w:val="center"/>
        <w:ind w:right="-79"/>
        <w:spacing w:after="0"/>
        <w:rPr>
          <w:sz w:val="20"/>
          <w:szCs w:val="20"/>
          <w:color w:val="auto"/>
        </w:rPr>
      </w:pPr>
      <w:r>
        <w:rPr>
          <w:rFonts w:ascii="Arial" w:cs="Arial" w:eastAsia="Arial" w:hAnsi="Arial"/>
          <w:sz w:val="18"/>
          <w:szCs w:val="18"/>
          <w:u w:val="single" w:color="auto"/>
          <w:color w:val="auto"/>
        </w:rPr>
        <w:t>(423) 743-9151</w:t>
      </w:r>
    </w:p>
    <w:p>
      <w:pPr>
        <w:spacing w:after="0" w:line="23" w:lineRule="exact"/>
        <w:rPr>
          <w:rFonts w:ascii="Arial" w:cs="Arial" w:eastAsia="Arial" w:hAnsi="Arial"/>
          <w:sz w:val="32"/>
          <w:szCs w:val="32"/>
          <w:b w:val="1"/>
          <w:bCs w:val="1"/>
          <w:u w:val="single" w:color="auto"/>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rFonts w:ascii="Arial" w:cs="Arial" w:eastAsia="Arial" w:hAnsi="Arial"/>
          <w:sz w:val="32"/>
          <w:szCs w:val="32"/>
          <w:b w:val="1"/>
          <w:bCs w:val="1"/>
          <w:u w:val="single" w:color="auto"/>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rFonts w:ascii="Arial" w:cs="Arial" w:eastAsia="Arial" w:hAnsi="Arial"/>
          <w:sz w:val="32"/>
          <w:szCs w:val="32"/>
          <w:b w:val="1"/>
          <w:bCs w:val="1"/>
          <w:u w:val="single" w:color="auto"/>
          <w:color w:val="auto"/>
        </w:rPr>
      </w:pPr>
    </w:p>
    <w:p>
      <w:pPr>
        <w:spacing w:after="0" w:line="295" w:lineRule="exact"/>
        <w:rPr>
          <w:rFonts w:ascii="Arial" w:cs="Arial" w:eastAsia="Arial" w:hAnsi="Arial"/>
          <w:sz w:val="32"/>
          <w:szCs w:val="32"/>
          <w:b w:val="1"/>
          <w:bCs w:val="1"/>
          <w:u w:val="single" w:color="auto"/>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rFonts w:ascii="Arial" w:cs="Arial" w:eastAsia="Arial" w:hAnsi="Arial"/>
          <w:sz w:val="32"/>
          <w:szCs w:val="32"/>
          <w:b w:val="1"/>
          <w:bCs w:val="1"/>
          <w:u w:val="single" w:color="auto"/>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0" w:lineRule="exact"/>
        <w:rPr>
          <w:rFonts w:ascii="Arial" w:cs="Arial" w:eastAsia="Arial" w:hAnsi="Arial"/>
          <w:sz w:val="32"/>
          <w:szCs w:val="32"/>
          <w:b w:val="1"/>
          <w:bCs w:val="1"/>
          <w:u w:val="single" w:color="auto"/>
          <w:color w:val="auto"/>
        </w:rPr>
      </w:pPr>
    </w:p>
    <w:tbl>
      <w:tblPr>
        <w:tblLayout w:type="fixed"/>
        <w:tblInd w:w="0" w:type="dxa"/>
        <w:tblCellMar>
          <w:top w:w="0" w:type="dxa"/>
          <w:left w:w="0" w:type="dxa"/>
          <w:bottom w:w="0" w:type="dxa"/>
          <w:right w:w="0" w:type="dxa"/>
        </w:tblCellMar>
      </w:tblPr>
      <w:tr>
        <w:trPr>
          <w:trHeight w:val="283"/>
        </w:trPr>
        <w:tc>
          <w:tcPr>
            <w:tcW w:w="4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060" w:type="dxa"/>
            <w:vAlign w:val="bottom"/>
          </w:tcPr>
          <w:p>
            <w:pPr>
              <w:ind w:left="240"/>
              <w:spacing w:after="0"/>
              <w:rPr>
                <w:sz w:val="20"/>
                <w:szCs w:val="20"/>
                <w:color w:val="auto"/>
              </w:rPr>
            </w:pPr>
            <w:r>
              <w:rPr>
                <w:rFonts w:ascii="Arial" w:cs="Arial" w:eastAsia="Arial" w:hAnsi="Arial"/>
                <w:sz w:val="18"/>
                <w:szCs w:val="18"/>
                <w:color w:val="auto"/>
                <w:w w:val="91"/>
              </w:rPr>
              <w:t>Pre-commencement communications pursuant to Rule 14d-2(b) under the Exchange Act (17 CFR 240.14d-</w:t>
            </w:r>
          </w:p>
        </w:tc>
        <w:tc>
          <w:tcPr>
            <w:tcW w:w="2940" w:type="dxa"/>
            <w:vAlign w:val="bottom"/>
          </w:tcPr>
          <w:p>
            <w:pPr>
              <w:ind w:left="120"/>
              <w:spacing w:after="0"/>
              <w:rPr>
                <w:sz w:val="20"/>
                <w:szCs w:val="20"/>
                <w:color w:val="auto"/>
              </w:rPr>
            </w:pPr>
            <w:r>
              <w:rPr>
                <w:rFonts w:ascii="Arial" w:cs="Arial" w:eastAsia="Arial" w:hAnsi="Arial"/>
                <w:sz w:val="18"/>
                <w:szCs w:val="18"/>
                <w:color w:val="auto"/>
              </w:rPr>
              <w:t>2(b))</w:t>
            </w:r>
          </w:p>
        </w:tc>
      </w:tr>
      <w:tr>
        <w:trPr>
          <w:trHeight w:val="459"/>
        </w:trPr>
        <w:tc>
          <w:tcPr>
            <w:tcW w:w="4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060" w:type="dxa"/>
            <w:vAlign w:val="bottom"/>
          </w:tcPr>
          <w:p>
            <w:pPr>
              <w:ind w:left="240"/>
              <w:spacing w:after="0"/>
              <w:rPr>
                <w:sz w:val="20"/>
                <w:szCs w:val="20"/>
                <w:color w:val="auto"/>
              </w:rPr>
            </w:pPr>
            <w:r>
              <w:rPr>
                <w:rFonts w:ascii="Arial" w:cs="Arial" w:eastAsia="Arial" w:hAnsi="Arial"/>
                <w:sz w:val="18"/>
                <w:szCs w:val="18"/>
                <w:color w:val="auto"/>
                <w:w w:val="91"/>
              </w:rPr>
              <w:t>Pre-commencement communications pursuant to Rule 13e-4(c) under the Exchange Act (17 CFR 240.13e-</w:t>
            </w:r>
          </w:p>
        </w:tc>
        <w:tc>
          <w:tcPr>
            <w:tcW w:w="2940" w:type="dxa"/>
            <w:vAlign w:val="bottom"/>
          </w:tcPr>
          <w:p>
            <w:pPr>
              <w:ind w:left="100"/>
              <w:spacing w:after="0"/>
              <w:rPr>
                <w:sz w:val="20"/>
                <w:szCs w:val="20"/>
                <w:color w:val="auto"/>
              </w:rPr>
            </w:pPr>
            <w:r>
              <w:rPr>
                <w:rFonts w:ascii="Arial" w:cs="Arial" w:eastAsia="Arial" w:hAnsi="Arial"/>
                <w:sz w:val="18"/>
                <w:szCs w:val="18"/>
                <w:color w:val="auto"/>
              </w:rPr>
              <w:t>4(c))</w:t>
            </w:r>
          </w:p>
        </w:tc>
      </w:tr>
      <w:tr>
        <w:trPr>
          <w:trHeight w:val="341"/>
        </w:trPr>
        <w:tc>
          <w:tcPr>
            <w:tcW w:w="4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71"/>
        </w:trPr>
        <w:tc>
          <w:tcPr>
            <w:tcW w:w="420" w:type="dxa"/>
            <w:vAlign w:val="bottom"/>
            <w:shd w:val="clear" w:color="auto" w:fill="808080"/>
          </w:tcPr>
          <w:p>
            <w:pPr>
              <w:spacing w:after="0"/>
              <w:rPr>
                <w:sz w:val="6"/>
                <w:szCs w:val="6"/>
                <w:color w:val="auto"/>
              </w:rPr>
            </w:pPr>
          </w:p>
        </w:tc>
        <w:tc>
          <w:tcPr>
            <w:tcW w:w="8060" w:type="dxa"/>
            <w:vAlign w:val="bottom"/>
            <w:shd w:val="clear" w:color="auto" w:fill="808080"/>
          </w:tcPr>
          <w:p>
            <w:pPr>
              <w:spacing w:after="0"/>
              <w:rPr>
                <w:sz w:val="6"/>
                <w:szCs w:val="6"/>
                <w:color w:val="auto"/>
              </w:rPr>
            </w:pPr>
          </w:p>
        </w:tc>
        <w:tc>
          <w:tcPr>
            <w:tcW w:w="2940" w:type="dxa"/>
            <w:vAlign w:val="bottom"/>
            <w:shd w:val="clear" w:color="auto" w:fill="808080"/>
          </w:tcPr>
          <w:p>
            <w:pPr>
              <w:spacing w:after="0"/>
              <w:rPr>
                <w:sz w:val="6"/>
                <w:szCs w:val="6"/>
                <w:color w:val="auto"/>
              </w:rPr>
            </w:pPr>
          </w:p>
        </w:tc>
      </w:tr>
      <w:tr>
        <w:trPr>
          <w:trHeight w:val="510"/>
        </w:trPr>
        <w:tc>
          <w:tcPr>
            <w:tcW w:w="420" w:type="dxa"/>
            <w:vAlign w:val="bottom"/>
            <w:tcBorders>
              <w:bottom w:val="single" w:sz="8" w:color="808080"/>
            </w:tcBorders>
          </w:tcPr>
          <w:p>
            <w:pPr>
              <w:spacing w:after="0"/>
              <w:rPr>
                <w:sz w:val="24"/>
                <w:szCs w:val="24"/>
                <w:color w:val="auto"/>
              </w:rPr>
            </w:pPr>
          </w:p>
        </w:tc>
        <w:tc>
          <w:tcPr>
            <w:tcW w:w="806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r>
    </w:tbl>
    <w:p>
      <w:pPr>
        <w:spacing w:after="0" w:line="20" w:lineRule="exact"/>
        <w:rPr>
          <w:rFonts w:ascii="Arial" w:cs="Arial" w:eastAsia="Arial" w:hAnsi="Arial"/>
          <w:sz w:val="32"/>
          <w:szCs w:val="32"/>
          <w:b w:val="1"/>
          <w:bCs w:val="1"/>
          <w:u w:val="single" w:color="auto"/>
          <w:color w:val="auto"/>
        </w:rPr>
      </w:pPr>
      <w:r>
        <w:rPr>
          <w:rFonts w:ascii="Arial" w:cs="Arial" w:eastAsia="Arial" w:hAnsi="Arial"/>
          <w:sz w:val="32"/>
          <w:szCs w:val="32"/>
          <w:b w:val="1"/>
          <w:bCs w:val="1"/>
          <w:u w:val="single" w:color="auto"/>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right="160"/>
        <w:spacing w:after="0" w:line="282" w:lineRule="auto"/>
        <w:rPr>
          <w:sz w:val="20"/>
          <w:szCs w:val="20"/>
          <w:color w:val="auto"/>
        </w:rPr>
      </w:pPr>
      <w:r>
        <w:rPr>
          <w:rFonts w:ascii="Arial" w:cs="Arial" w:eastAsia="Arial" w:hAnsi="Arial"/>
          <w:sz w:val="18"/>
          <w:szCs w:val="18"/>
          <w:b w:val="1"/>
          <w:bCs w:val="1"/>
          <w:color w:val="auto"/>
        </w:rPr>
        <w:t>Item Departure of Directors or Certain Officers; Election of Directors; Appointment of Certain Officers; Compensatory Arrangements of Certain 5.02 Officers.</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March 22, 2012, the Board of Directors of NN, Inc. (the “Company”) elected Robert E. Brunner as a new director of the Company, effective immediately. The election will increase the number of board seats from 6 to 7. Mr. Brunner will serve as a Class I director, with his term expiring at the 2014 annual meeting of shareholders. Mr. Brunner will serve on the Audit Committee and the Governance Committee.</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accordance with the Company’s non-employee director compensation policies, Mr. Brunner will be paid an annual retainer of $30,000, a fee of $1,500 for each board meeting attended, $1,000 for each committee meeting attended and $500 for each teleconference meeting attended. Additionally, the Compensation Committee may from time to time grant stock options and restricted stock awards to non-employee directors. On March 22, 2012, the Compensation Committee granted Mr. Brunner 7,300 shares of common stock subject to stock options and 3,200 shares of restricted stock. The stock options fully vest on March 22, 2013. The shares of restricted stock will vest over a period of three years beginning on March 22, 2013.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There are no transactions between Mr. Brunner and the Company that would be reportable under Item 404(a) of Regulation S-K.</w:t>
      </w:r>
    </w:p>
    <w:p>
      <w:pPr>
        <w:spacing w:after="0" w:line="7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vertAlign w:val="superscript"/>
        </w:rPr>
        <w:t>Item</w:t>
      </w:r>
      <w:r>
        <w:rPr>
          <w:rFonts w:ascii="Arial" w:cs="Arial" w:eastAsia="Arial" w:hAnsi="Arial"/>
          <w:sz w:val="18"/>
          <w:szCs w:val="18"/>
          <w:b w:val="1"/>
          <w:bCs w:val="1"/>
          <w:color w:val="auto"/>
        </w:rPr>
        <w:t xml:space="preserve"> Other Events</w:t>
      </w:r>
    </w:p>
    <w:p>
      <w:pPr>
        <w:spacing w:after="0"/>
        <w:rPr>
          <w:sz w:val="20"/>
          <w:szCs w:val="20"/>
          <w:color w:val="auto"/>
        </w:rPr>
      </w:pPr>
      <w:r>
        <w:rPr>
          <w:rFonts w:ascii="Arial" w:cs="Arial" w:eastAsia="Arial" w:hAnsi="Arial"/>
          <w:sz w:val="18"/>
          <w:szCs w:val="18"/>
          <w:b w:val="1"/>
          <w:bCs w:val="1"/>
          <w:color w:val="auto"/>
        </w:rPr>
        <w:t>8.01</w:t>
      </w:r>
    </w:p>
    <w:p>
      <w:pPr>
        <w:spacing w:after="0" w:line="23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March 26, 2012, the Company issued a press release regarding the election of Mr. Brunner to the Board of Directors, a copy of which is furnished as Exhibit 99.1 and is incorporated herein by reference.</w:t>
      </w:r>
    </w:p>
    <w:p>
      <w:pPr>
        <w:spacing w:after="0" w:line="25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vertAlign w:val="superscript"/>
        </w:rPr>
        <w:t>Item</w:t>
      </w:r>
      <w:r>
        <w:rPr>
          <w:rFonts w:ascii="Arial" w:cs="Arial" w:eastAsia="Arial" w:hAnsi="Arial"/>
          <w:sz w:val="18"/>
          <w:szCs w:val="18"/>
          <w:b w:val="1"/>
          <w:bCs w:val="1"/>
          <w:color w:val="auto"/>
        </w:rPr>
        <w:t xml:space="preserve"> Financial Statements and Exhibits</w:t>
      </w:r>
    </w:p>
    <w:p>
      <w:pPr>
        <w:spacing w:after="0"/>
        <w:rPr>
          <w:sz w:val="20"/>
          <w:szCs w:val="20"/>
          <w:color w:val="auto"/>
        </w:rPr>
      </w:pPr>
      <w:r>
        <w:rPr>
          <w:rFonts w:ascii="Arial" w:cs="Arial" w:eastAsia="Arial" w:hAnsi="Arial"/>
          <w:sz w:val="18"/>
          <w:szCs w:val="18"/>
          <w:b w:val="1"/>
          <w:bCs w:val="1"/>
          <w:color w:val="auto"/>
        </w:rPr>
        <w:t>9.01</w:t>
      </w:r>
    </w:p>
    <w:p>
      <w:pPr>
        <w:spacing w:after="0" w:line="297" w:lineRule="exact"/>
        <w:rPr>
          <w:sz w:val="20"/>
          <w:szCs w:val="20"/>
          <w:color w:val="auto"/>
        </w:rPr>
      </w:pPr>
    </w:p>
    <w:p>
      <w:pPr>
        <w:spacing w:after="0"/>
        <w:rPr>
          <w:sz w:val="20"/>
          <w:szCs w:val="20"/>
          <w:color w:val="auto"/>
        </w:rPr>
      </w:pPr>
      <w:r>
        <w:rPr>
          <w:rFonts w:ascii="Arial" w:cs="Arial" w:eastAsia="Arial" w:hAnsi="Arial"/>
          <w:sz w:val="36"/>
          <w:szCs w:val="36"/>
          <w:b w:val="1"/>
          <w:bCs w:val="1"/>
          <w:u w:val="single" w:color="auto"/>
          <w:color w:val="auto"/>
          <w:vertAlign w:val="superscript"/>
        </w:rPr>
        <w:t>Exhibit</w:t>
      </w:r>
      <w:r>
        <w:rPr>
          <w:rFonts w:ascii="Arial" w:cs="Arial" w:eastAsia="Arial" w:hAnsi="Arial"/>
          <w:sz w:val="18"/>
          <w:szCs w:val="18"/>
          <w:b w:val="1"/>
          <w:bCs w:val="1"/>
          <w:u w:val="single" w:color="auto"/>
          <w:color w:val="auto"/>
        </w:rPr>
        <w:t>Description</w:t>
      </w:r>
    </w:p>
    <w:p>
      <w:pPr>
        <w:spacing w:after="0"/>
        <w:rPr>
          <w:sz w:val="20"/>
          <w:szCs w:val="20"/>
          <w:color w:val="auto"/>
        </w:rPr>
      </w:pPr>
      <w:r>
        <w:rPr>
          <w:rFonts w:ascii="Arial" w:cs="Arial" w:eastAsia="Arial" w:hAnsi="Arial"/>
          <w:sz w:val="18"/>
          <w:szCs w:val="18"/>
          <w:b w:val="1"/>
          <w:bCs w:val="1"/>
          <w:u w:val="single" w:color="auto"/>
          <w:color w:val="auto"/>
        </w:rPr>
        <w:t>No.</w:t>
      </w:r>
    </w:p>
    <w:p>
      <w:pPr>
        <w:spacing w:after="0" w:line="20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March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1042035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2012</w:t>
      </w:r>
    </w:p>
    <w:p>
      <w:pPr>
        <w:spacing w:after="0" w:line="200" w:lineRule="exact"/>
        <w:rPr>
          <w:sz w:val="20"/>
          <w:szCs w:val="20"/>
          <w:color w:val="auto"/>
        </w:rPr>
      </w:pPr>
    </w:p>
    <w:p>
      <w:pPr>
        <w:spacing w:after="0" w:line="29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NN, Inc.</w:t>
      </w:r>
    </w:p>
    <w:p>
      <w:pPr>
        <w:spacing w:after="0" w:line="200" w:lineRule="exact"/>
        <w:rPr>
          <w:sz w:val="20"/>
          <w:szCs w:val="20"/>
          <w:color w:val="auto"/>
        </w:rPr>
      </w:pPr>
    </w:p>
    <w:p>
      <w:pPr>
        <w:spacing w:after="0" w:line="29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14605</wp:posOffset>
            </wp:positionV>
            <wp:extent cx="1792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2605" cy="17145"/>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7080" w:val="left"/>
        </w:tabs>
        <w:rPr>
          <w:sz w:val="20"/>
          <w:szCs w:val="20"/>
          <w:color w:val="auto"/>
        </w:rPr>
      </w:pPr>
      <w:r>
        <w:rPr>
          <w:rFonts w:ascii="Arial" w:cs="Arial" w:eastAsia="Arial" w:hAnsi="Arial"/>
          <w:sz w:val="18"/>
          <w:szCs w:val="18"/>
          <w:color w:val="auto"/>
        </w:rPr>
        <w:t>Name:</w:t>
        <w:tab/>
        <w:t>William C. Kelly, Jr.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Vice President and Chief</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Administrative Officer</w:t>
      </w:r>
    </w:p>
    <w:p>
      <w:pPr>
        <w:sectPr>
          <w:pgSz w:w="11900" w:h="16838" w:orient="portrait"/>
          <w:cols w:equalWidth="0" w:num="1">
            <w:col w:w="11220"/>
          </w:cols>
          <w:pgMar w:left="240" w:top="513" w:right="439" w:bottom="1440" w:gutter="0" w:footer="0" w:header="0"/>
        </w:sectPr>
      </w:pPr>
    </w:p>
    <w:bookmarkStart w:id="3" w:name="page4"/>
    <w:bookmarkEnd w:id="3"/>
    <w:p>
      <w:pPr>
        <w:spacing w:after="0" w:line="301" w:lineRule="exact"/>
        <w:rPr>
          <w:sz w:val="20"/>
          <w:szCs w:val="20"/>
          <w:color w:val="auto"/>
        </w:rPr>
      </w:pPr>
    </w:p>
    <w:p>
      <w:pPr>
        <w:spacing w:after="0"/>
        <w:rPr>
          <w:sz w:val="20"/>
          <w:szCs w:val="20"/>
          <w:color w:val="auto"/>
        </w:rPr>
      </w:pPr>
      <w:r>
        <w:rPr>
          <w:rFonts w:ascii="Arial" w:cs="Arial" w:eastAsia="Arial" w:hAnsi="Arial"/>
          <w:sz w:val="29"/>
          <w:szCs w:val="29"/>
          <w:color w:val="auto"/>
        </w:rPr>
        <w:t>F I N A N C I A 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00" w:type="dxa"/>
            <w:vAlign w:val="bottom"/>
            <w:gridSpan w:val="2"/>
          </w:tcPr>
          <w:p>
            <w:pPr>
              <w:spacing w:after="0"/>
              <w:rPr>
                <w:sz w:val="20"/>
                <w:szCs w:val="20"/>
                <w:color w:val="auto"/>
              </w:rPr>
            </w:pPr>
            <w:r>
              <w:rPr>
                <w:rFonts w:ascii="Arial" w:cs="Arial" w:eastAsia="Arial" w:hAnsi="Arial"/>
                <w:sz w:val="22"/>
                <w:szCs w:val="22"/>
                <w:b w:val="1"/>
                <w:bCs w:val="1"/>
                <w:color w:val="auto"/>
              </w:rPr>
              <w:t>AT THE COMPANY</w:t>
            </w:r>
          </w:p>
        </w:tc>
        <w:tc>
          <w:tcPr>
            <w:tcW w:w="3700" w:type="dxa"/>
            <w:vAlign w:val="bottom"/>
          </w:tcPr>
          <w:p>
            <w:pPr>
              <w:spacing w:after="0"/>
              <w:rPr>
                <w:sz w:val="20"/>
                <w:szCs w:val="20"/>
                <w:color w:val="auto"/>
              </w:rPr>
            </w:pPr>
            <w:r>
              <w:rPr>
                <w:rFonts w:ascii="Arial" w:cs="Arial" w:eastAsia="Arial" w:hAnsi="Arial"/>
                <w:sz w:val="22"/>
                <w:szCs w:val="22"/>
                <w:b w:val="1"/>
                <w:bCs w:val="1"/>
                <w:color w:val="auto"/>
                <w:w w:val="98"/>
              </w:rPr>
              <w:t>AT FINANCIAL RELATIONS BOARD</w:t>
            </w:r>
          </w:p>
        </w:tc>
      </w:tr>
      <w:tr>
        <w:trPr>
          <w:trHeight w:val="222"/>
        </w:trPr>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 Kelly</w:t>
            </w:r>
          </w:p>
        </w:tc>
        <w:tc>
          <w:tcPr>
            <w:tcW w:w="1940" w:type="dxa"/>
            <w:vAlign w:val="bottom"/>
          </w:tcPr>
          <w:p>
            <w:pPr>
              <w:spacing w:after="0"/>
              <w:rPr>
                <w:sz w:val="19"/>
                <w:szCs w:val="19"/>
                <w:color w:val="auto"/>
              </w:rPr>
            </w:pPr>
          </w:p>
        </w:tc>
        <w:tc>
          <w:tcPr>
            <w:tcW w:w="370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Marilynn Meek</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Vice President and Chief Administrative Officer</w:t>
            </w:r>
          </w:p>
        </w:tc>
        <w:tc>
          <w:tcPr>
            <w:tcW w:w="3700" w:type="dxa"/>
            <w:vAlign w:val="bottom"/>
          </w:tcPr>
          <w:p>
            <w:pPr>
              <w:ind w:left="460"/>
              <w:spacing w:after="0"/>
              <w:rPr>
                <w:sz w:val="20"/>
                <w:szCs w:val="20"/>
                <w:color w:val="auto"/>
              </w:rPr>
            </w:pPr>
            <w:r>
              <w:rPr>
                <w:rFonts w:ascii="Arial" w:cs="Arial" w:eastAsia="Arial" w:hAnsi="Arial"/>
                <w:sz w:val="18"/>
                <w:szCs w:val="18"/>
                <w:color w:val="auto"/>
              </w:rPr>
              <w:t>(General info)</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(423) 743-9151</w:t>
            </w:r>
          </w:p>
        </w:tc>
        <w:tc>
          <w:tcPr>
            <w:tcW w:w="1940" w:type="dxa"/>
            <w:vAlign w:val="bottom"/>
          </w:tcPr>
          <w:p>
            <w:pPr>
              <w:spacing w:after="0"/>
              <w:rPr>
                <w:sz w:val="20"/>
                <w:szCs w:val="20"/>
                <w:color w:val="auto"/>
              </w:rPr>
            </w:pPr>
          </w:p>
        </w:tc>
        <w:tc>
          <w:tcPr>
            <w:tcW w:w="3700" w:type="dxa"/>
            <w:vAlign w:val="bottom"/>
          </w:tcPr>
          <w:p>
            <w:pPr>
              <w:ind w:left="460"/>
              <w:spacing w:after="0"/>
              <w:rPr>
                <w:sz w:val="20"/>
                <w:szCs w:val="20"/>
                <w:color w:val="auto"/>
              </w:rPr>
            </w:pPr>
            <w:r>
              <w:rPr>
                <w:rFonts w:ascii="Arial" w:cs="Arial" w:eastAsia="Arial" w:hAnsi="Arial"/>
                <w:sz w:val="18"/>
                <w:szCs w:val="18"/>
                <w:color w:val="auto"/>
              </w:rPr>
              <w:t>(212) 827-3773</w:t>
            </w:r>
          </w:p>
        </w:tc>
      </w:tr>
    </w:tbl>
    <w:p>
      <w:pPr>
        <w:spacing w:after="0" w:line="20" w:lineRule="exact"/>
        <w:rPr>
          <w:sz w:val="20"/>
          <w:szCs w:val="20"/>
          <w:color w:val="auto"/>
        </w:rPr>
      </w:pPr>
      <w:r>
        <w:rPr>
          <w:sz w:val="20"/>
          <w:szCs w:val="20"/>
          <w:color w:val="auto"/>
        </w:rPr>
        <w:br w:type="column"/>
      </w:r>
    </w:p>
    <w:p>
      <w:pPr>
        <w:ind w:left="920"/>
        <w:spacing w:after="0"/>
        <w:rPr>
          <w:sz w:val="20"/>
          <w:szCs w:val="20"/>
          <w:color w:val="auto"/>
        </w:rPr>
      </w:pPr>
      <w:r>
        <w:rPr>
          <w:rFonts w:ascii="Arial" w:cs="Arial" w:eastAsia="Arial" w:hAnsi="Arial"/>
          <w:sz w:val="22"/>
          <w:szCs w:val="22"/>
          <w:b w:val="1"/>
          <w:bCs w:val="1"/>
          <w:color w:val="auto"/>
        </w:rPr>
        <w:t>EXHIBIT 99.1</w:t>
      </w:r>
    </w:p>
    <w:p>
      <w:pPr>
        <w:spacing w:after="0" w:line="26" w:lineRule="exact"/>
        <w:rPr>
          <w:sz w:val="20"/>
          <w:szCs w:val="20"/>
          <w:color w:val="auto"/>
        </w:rPr>
      </w:pPr>
    </w:p>
    <w:p>
      <w:pPr>
        <w:spacing w:after="0"/>
        <w:rPr>
          <w:sz w:val="20"/>
          <w:szCs w:val="20"/>
          <w:color w:val="auto"/>
        </w:rPr>
      </w:pPr>
      <w:r>
        <w:rPr>
          <w:rFonts w:ascii="Arial" w:cs="Arial" w:eastAsia="Arial" w:hAnsi="Arial"/>
          <w:sz w:val="61"/>
          <w:szCs w:val="61"/>
          <w:color w:val="auto"/>
        </w:rPr>
        <w:t>n e w s</w:t>
      </w:r>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2000 Waters Edge Drive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Johnson City, TN 37604</w:t>
      </w:r>
    </w:p>
    <w:p>
      <w:pPr>
        <w:spacing w:after="0" w:line="2318" w:lineRule="exact"/>
        <w:rPr>
          <w:sz w:val="20"/>
          <w:szCs w:val="20"/>
          <w:color w:val="auto"/>
        </w:rPr>
      </w:pPr>
    </w:p>
    <w:p>
      <w:pPr>
        <w:sectPr>
          <w:pgSz w:w="11900" w:h="16838" w:orient="portrait"/>
          <w:cols w:equalWidth="0" w:num="2">
            <w:col w:w="8420" w:space="720"/>
            <w:col w:w="2280"/>
          </w:cols>
          <w:pgMar w:left="240" w:top="112" w:right="239" w:bottom="1440" w:gutter="0" w:footer="0" w:header="0"/>
        </w:sect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March 26, 2012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APPOINTS ROBERT E. BRUNNER TO BOARD</w:t>
      </w:r>
    </w:p>
    <w:p>
      <w:pPr>
        <w:spacing w:after="0" w:line="200" w:lineRule="exact"/>
        <w:rPr>
          <w:sz w:val="20"/>
          <w:szCs w:val="20"/>
          <w:color w:val="auto"/>
        </w:rPr>
      </w:pPr>
    </w:p>
    <w:p>
      <w:pPr>
        <w:spacing w:after="0" w:line="295" w:lineRule="exact"/>
        <w:rPr>
          <w:sz w:val="20"/>
          <w:szCs w:val="20"/>
          <w:color w:val="auto"/>
        </w:rPr>
      </w:pPr>
    </w:p>
    <w:p>
      <w:pPr>
        <w:ind w:right="300"/>
        <w:spacing w:after="0" w:line="281" w:lineRule="auto"/>
        <w:rPr>
          <w:sz w:val="20"/>
          <w:szCs w:val="20"/>
          <w:color w:val="auto"/>
        </w:rPr>
      </w:pPr>
      <w:r>
        <w:rPr>
          <w:rFonts w:ascii="Arial" w:cs="Arial" w:eastAsia="Arial" w:hAnsi="Arial"/>
          <w:sz w:val="17"/>
          <w:szCs w:val="17"/>
          <w:b w:val="1"/>
          <w:bCs w:val="1"/>
          <w:color w:val="auto"/>
        </w:rPr>
        <w:t xml:space="preserve">Johnson City, Tenn, March 26, 2012 – NN, Inc. </w:t>
      </w:r>
      <w:r>
        <w:rPr>
          <w:rFonts w:ascii="Arial" w:cs="Arial" w:eastAsia="Arial" w:hAnsi="Arial"/>
          <w:sz w:val="17"/>
          <w:szCs w:val="17"/>
          <w:color w:val="auto"/>
        </w:rPr>
        <w:t>(Nasdaq: NNBR) today announced the appointment of Robert E. Brunner to its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March 22, 2012. Mr. Brunner, whom is retiring at the end of the year, most recently has served as Executive Vice President, responsible for Worldwide Construction Products, at Illinois Tool Works, Inc., (“ITW”). Prior to that position, Mr. Brunner was Executive Vice President, responsible for ITW’s Global Automotive Products Businesses. He currently serves on the board of Leggett &amp; Platt, Incorporated.</w:t>
      </w:r>
    </w:p>
    <w:p>
      <w:pPr>
        <w:spacing w:after="0" w:line="1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Roderick R. Baty, Chairman of the Board and Chief Executive Officer said, “We are pleased to announce the appointment of Bob Brunner to the NN, Inc. Board of Directors. Bob’s experience and accomplishments while serving in various executive management positions in a global, multibillion dollar manufacturing business make him an outstanding addition to our Board. We look forward to the energy, leadership and perspective that Bob will bring to the boardroom as we continue to grow and execute our strategy.”</w:t>
      </w:r>
    </w:p>
    <w:p>
      <w:pPr>
        <w:spacing w:after="0" w:line="21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Mr. Brunner has spent his entire 32 year career at ITW, a global, diversified, international manufacturer of highly engineered fasteners and components, equipment and consumable systems and specialty products. While at ITW, Mr. Brunner obtained increasingly responsible positions in sales &amp; marketing, general, operational and executive management. Mr. Brunner is involved in various community and professional associations and has served since 2009 as a director for Leggett &amp; Platt (NYSE: LEG) a $3.4 billion, diversified designer and manufacturer of a broad variety of engineered components and products that are found in homes, offices, automobiles and retail stores. Mr. Brunner has a bachelor’s degree in finance from the University of Illinois and a master’s degree in business administration from Baldwin-Wallace College.</w:t>
      </w:r>
    </w:p>
    <w:p>
      <w:pPr>
        <w:spacing w:after="0" w:line="200" w:lineRule="exact"/>
        <w:rPr>
          <w:sz w:val="20"/>
          <w:szCs w:val="20"/>
          <w:color w:val="auto"/>
        </w:rPr>
      </w:pPr>
    </w:p>
    <w:p>
      <w:pPr>
        <w:spacing w:after="0" w:line="24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10 manufacturing plants in the United States, Western Europe, Eastern Europe and China. NN, Inc. had sales of US $425 million in 2011.</w:t>
      </w:r>
    </w:p>
    <w:sectPr>
      <w:pgSz w:w="11900" w:h="16838" w:orient="portrait"/>
      <w:cols w:equalWidth="0" w:num="1">
        <w:col w:w="11420"/>
      </w:cols>
      <w:pgMar w:left="240" w:top="11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2019-12-09T10:44:03Z</dcterms:created>
  <dcterms:modified xsi:type="dcterms:W3CDTF">2019-12-09T10:44:03Z</dcterms:modified>
</cp:coreProperties>
</file>