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74295</wp:posOffset>
            </wp:positionV>
            <wp:extent cx="677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169545</wp:posOffset>
            </wp:positionV>
            <wp:extent cx="62611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36"/>
          <w:szCs w:val="36"/>
          <w:b w:val="1"/>
          <w:bCs w:val="1"/>
          <w:u w:val="single" w:color="auto"/>
          <w:color w:val="auto"/>
        </w:rPr>
        <w:t>NN, INC.</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2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4"/>
              </w:rPr>
              <w:t>Delaware</w:t>
            </w:r>
          </w:p>
        </w:tc>
        <w:tc>
          <w:tcPr>
            <w:tcW w:w="1340" w:type="dxa"/>
            <w:vAlign w:val="bottom"/>
            <w:gridSpan w:val="3"/>
          </w:tcPr>
          <w:p>
            <w:pPr>
              <w:spacing w:after="0"/>
              <w:rPr>
                <w:sz w:val="17"/>
                <w:szCs w:val="17"/>
                <w:color w:val="auto"/>
              </w:rPr>
            </w:pPr>
          </w:p>
        </w:tc>
        <w:tc>
          <w:tcPr>
            <w:tcW w:w="2100" w:type="dxa"/>
            <w:vAlign w:val="bottom"/>
            <w:gridSpan w:val="2"/>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0-23486</w:t>
            </w:r>
          </w:p>
        </w:tc>
        <w:tc>
          <w:tcPr>
            <w:tcW w:w="1960" w:type="dxa"/>
            <w:vAlign w:val="bottom"/>
          </w:tcPr>
          <w:p>
            <w:pPr>
              <w:spacing w:after="0"/>
              <w:rPr>
                <w:sz w:val="17"/>
                <w:szCs w:val="17"/>
                <w:color w:val="auto"/>
              </w:rPr>
            </w:pPr>
          </w:p>
        </w:tc>
        <w:tc>
          <w:tcPr>
            <w:tcW w:w="2900" w:type="dxa"/>
            <w:vAlign w:val="bottom"/>
            <w:gridSpan w:val="5"/>
          </w:tcPr>
          <w:p>
            <w:pPr>
              <w:jc w:val="right"/>
              <w:ind w:right="880"/>
              <w:spacing w:after="0"/>
              <w:rPr>
                <w:sz w:val="20"/>
                <w:szCs w:val="20"/>
                <w:color w:val="auto"/>
              </w:rPr>
            </w:pPr>
            <w:r>
              <w:rPr>
                <w:rFonts w:ascii="Arial" w:cs="Arial" w:eastAsia="Arial" w:hAnsi="Arial"/>
                <w:sz w:val="18"/>
                <w:szCs w:val="18"/>
                <w:color w:val="auto"/>
              </w:rPr>
              <w:t>62-1096725</w:t>
            </w:r>
          </w:p>
        </w:tc>
      </w:tr>
      <w:tr>
        <w:trPr>
          <w:trHeight w:val="20"/>
        </w:trPr>
        <w:tc>
          <w:tcPr>
            <w:tcW w:w="2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gridSpan w:val="5"/>
          </w:tcPr>
          <w:p>
            <w:pPr>
              <w:jc w:val="center"/>
              <w:ind w:right="340"/>
              <w:spacing w:after="0"/>
              <w:rPr>
                <w:sz w:val="20"/>
                <w:szCs w:val="20"/>
                <w:color w:val="auto"/>
              </w:rPr>
            </w:pPr>
            <w:r>
              <w:rPr>
                <w:rFonts w:ascii="Arial" w:cs="Arial" w:eastAsia="Arial" w:hAnsi="Arial"/>
                <w:sz w:val="18"/>
                <w:szCs w:val="18"/>
                <w:color w:val="auto"/>
                <w:w w:val="92"/>
              </w:rPr>
              <w:t>(State or Other Jurisdiction of</w:t>
            </w:r>
          </w:p>
        </w:tc>
        <w:tc>
          <w:tcPr>
            <w:tcW w:w="492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(Commission File Number)</w:t>
            </w:r>
          </w:p>
        </w:tc>
        <w:tc>
          <w:tcPr>
            <w:tcW w:w="2900" w:type="dxa"/>
            <w:vAlign w:val="bottom"/>
            <w:gridSpan w:val="5"/>
          </w:tcPr>
          <w:p>
            <w:pPr>
              <w:jc w:val="center"/>
              <w:ind w:left="1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0" w:type="dxa"/>
            <w:vAlign w:val="bottom"/>
          </w:tcPr>
          <w:p>
            <w:pPr>
              <w:spacing w:after="0"/>
              <w:rPr>
                <w:sz w:val="20"/>
                <w:szCs w:val="20"/>
                <w:color w:val="auto"/>
              </w:rPr>
            </w:pPr>
          </w:p>
        </w:tc>
        <w:tc>
          <w:tcPr>
            <w:tcW w:w="3020" w:type="dxa"/>
            <w:vAlign w:val="bottom"/>
            <w:gridSpan w:val="5"/>
          </w:tcPr>
          <w:p>
            <w:pPr>
              <w:jc w:val="center"/>
              <w:ind w:right="340"/>
              <w:spacing w:after="0"/>
              <w:rPr>
                <w:sz w:val="20"/>
                <w:szCs w:val="20"/>
                <w:color w:val="auto"/>
              </w:rPr>
            </w:pPr>
            <w:r>
              <w:rPr>
                <w:rFonts w:ascii="Arial" w:cs="Arial" w:eastAsia="Arial" w:hAnsi="Arial"/>
                <w:sz w:val="18"/>
                <w:szCs w:val="18"/>
                <w:color w:val="auto"/>
                <w:w w:val="93"/>
              </w:rPr>
              <w:t>Incorporation)</w:t>
            </w: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3040" w:type="dxa"/>
            <w:vAlign w:val="bottom"/>
            <w:gridSpan w:val="6"/>
          </w:tcPr>
          <w:p>
            <w:pPr>
              <w:jc w:val="center"/>
              <w:ind w:right="160"/>
              <w:spacing w:after="0"/>
              <w:rPr>
                <w:sz w:val="20"/>
                <w:szCs w:val="20"/>
                <w:color w:val="auto"/>
              </w:rPr>
            </w:pPr>
            <w:r>
              <w:rPr>
                <w:rFonts w:ascii="Arial" w:cs="Arial" w:eastAsia="Arial" w:hAnsi="Arial"/>
                <w:sz w:val="18"/>
                <w:szCs w:val="18"/>
                <w:color w:val="auto"/>
                <w:w w:val="90"/>
              </w:rPr>
              <w:t>2000 Waters Edge Drive, Johnson City,</w:t>
            </w: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20" w:type="dxa"/>
            <w:vAlign w:val="bottom"/>
            <w:gridSpan w:val="4"/>
          </w:tcPr>
          <w:p>
            <w:pPr>
              <w:jc w:val="right"/>
              <w:ind w:right="280"/>
              <w:spacing w:after="0"/>
              <w:rPr>
                <w:sz w:val="20"/>
                <w:szCs w:val="20"/>
                <w:color w:val="auto"/>
              </w:rPr>
            </w:pPr>
            <w:r>
              <w:rPr>
                <w:rFonts w:ascii="Arial" w:cs="Arial" w:eastAsia="Arial" w:hAnsi="Arial"/>
                <w:sz w:val="18"/>
                <w:szCs w:val="18"/>
                <w:color w:val="auto"/>
              </w:rPr>
              <w:t>37604</w:t>
            </w:r>
          </w:p>
        </w:tc>
        <w:tc>
          <w:tcPr>
            <w:tcW w:w="8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3"/>
          </w:tcPr>
          <w:p>
            <w:pPr>
              <w:jc w:val="center"/>
              <w:ind w:right="1060"/>
              <w:spacing w:after="0" w:line="196" w:lineRule="exact"/>
              <w:rPr>
                <w:sz w:val="20"/>
                <w:szCs w:val="20"/>
                <w:color w:val="auto"/>
              </w:rPr>
            </w:pPr>
            <w:r>
              <w:rPr>
                <w:rFonts w:ascii="Arial" w:cs="Arial" w:eastAsia="Arial" w:hAnsi="Arial"/>
                <w:sz w:val="18"/>
                <w:szCs w:val="18"/>
                <w:color w:val="auto"/>
                <w:w w:val="83"/>
              </w:rPr>
              <w:t>Tennessee</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06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237"/>
        </w:trPr>
        <w:tc>
          <w:tcPr>
            <w:tcW w:w="3040" w:type="dxa"/>
            <w:vAlign w:val="bottom"/>
            <w:gridSpan w:val="6"/>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900" w:type="dxa"/>
            <w:vAlign w:val="bottom"/>
            <w:gridSpan w:val="5"/>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39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(423) 743-9151</w:t>
            </w:r>
          </w:p>
        </w:tc>
        <w:tc>
          <w:tcPr>
            <w:tcW w:w="1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20" w:type="dxa"/>
            <w:vAlign w:val="bottom"/>
            <w:gridSpan w:val="5"/>
          </w:tcPr>
          <w:p>
            <w:pPr>
              <w:jc w:val="center"/>
              <w:ind w:right="10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20" w:type="dxa"/>
            <w:vAlign w:val="bottom"/>
            <w:gridSpan w:val="5"/>
          </w:tcPr>
          <w:p>
            <w:pPr>
              <w:jc w:val="center"/>
              <w:ind w:right="10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0" w:lineRule="exact"/>
        <w:rPr>
          <w:sz w:val="24"/>
          <w:szCs w:val="24"/>
          <w:color w:val="auto"/>
        </w:rPr>
      </w:pPr>
    </w:p>
    <w:p>
      <w:pPr>
        <w:spacing w:after="0" w:line="272"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20" w:type="dxa"/>
            <w:vAlign w:val="bottom"/>
            <w:gridSpan w:val="2"/>
          </w:tcPr>
          <w:p>
            <w:pPr>
              <w:jc w:val="right"/>
              <w:ind w:right="175"/>
              <w:spacing w:after="0" w:line="181" w:lineRule="exact"/>
              <w:rPr>
                <w:sz w:val="20"/>
                <w:szCs w:val="20"/>
                <w:color w:val="auto"/>
              </w:rPr>
            </w:pPr>
            <w:r>
              <w:rPr>
                <w:rFonts w:ascii="MS PGothic" w:cs="MS PGothic" w:eastAsia="MS PGothic" w:hAnsi="MS PGothic"/>
                <w:sz w:val="18"/>
                <w:szCs w:val="18"/>
                <w:color w:val="auto"/>
                <w:w w:val="77"/>
              </w:rPr>
              <w:t>☐</w:t>
            </w:r>
          </w:p>
        </w:tc>
        <w:tc>
          <w:tcPr>
            <w:tcW w:w="8060" w:type="dxa"/>
            <w:vAlign w:val="bottom"/>
          </w:tcPr>
          <w:p>
            <w:pPr>
              <w:ind w:left="240"/>
              <w:spacing w:after="0"/>
              <w:rPr>
                <w:sz w:val="20"/>
                <w:szCs w:val="20"/>
                <w:color w:val="auto"/>
              </w:rPr>
            </w:pPr>
            <w:r>
              <w:rPr>
                <w:rFonts w:ascii="Arial" w:cs="Arial" w:eastAsia="Arial" w:hAnsi="Arial"/>
                <w:sz w:val="18"/>
                <w:szCs w:val="18"/>
                <w:color w:val="auto"/>
                <w:w w:val="91"/>
              </w:rPr>
              <w:t>Pre-commencement communications pursuant to Rule 14d-2(b) under the Exchange Act (17 CFR 240.14d-</w:t>
            </w:r>
          </w:p>
        </w:tc>
        <w:tc>
          <w:tcPr>
            <w:tcW w:w="2940" w:type="dxa"/>
            <w:vAlign w:val="bottom"/>
            <w:gridSpan w:val="2"/>
          </w:tcPr>
          <w:p>
            <w:pPr>
              <w:ind w:left="120"/>
              <w:spacing w:after="0"/>
              <w:rPr>
                <w:sz w:val="20"/>
                <w:szCs w:val="20"/>
                <w:color w:val="auto"/>
              </w:rPr>
            </w:pPr>
            <w:r>
              <w:rPr>
                <w:rFonts w:ascii="Arial" w:cs="Arial" w:eastAsia="Arial" w:hAnsi="Arial"/>
                <w:sz w:val="18"/>
                <w:szCs w:val="18"/>
                <w:color w:val="auto"/>
              </w:rPr>
              <w:t>2(b))</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00" w:type="dxa"/>
            <w:vAlign w:val="bottom"/>
            <w:vMerge w:val="restart"/>
          </w:tcPr>
          <w:p>
            <w:pPr>
              <w:jc w:val="right"/>
              <w:ind w:right="175"/>
              <w:spacing w:after="0" w:line="171" w:lineRule="exact"/>
              <w:rPr>
                <w:sz w:val="20"/>
                <w:szCs w:val="20"/>
                <w:color w:val="auto"/>
              </w:rPr>
            </w:pPr>
            <w:r>
              <w:rPr>
                <w:rFonts w:ascii="MS PGothic" w:cs="MS PGothic" w:eastAsia="MS PGothic" w:hAnsi="MS PGothic"/>
                <w:sz w:val="17"/>
                <w:szCs w:val="17"/>
                <w:color w:val="auto"/>
                <w:w w:val="70"/>
              </w:rPr>
              <w:t>☐</w:t>
            </w:r>
          </w:p>
        </w:tc>
        <w:tc>
          <w:tcPr>
            <w:tcW w:w="8060" w:type="dxa"/>
            <w:vAlign w:val="bottom"/>
            <w:vMerge w:val="restart"/>
          </w:tcPr>
          <w:p>
            <w:pPr>
              <w:ind w:left="240"/>
              <w:spacing w:after="0"/>
              <w:rPr>
                <w:sz w:val="20"/>
                <w:szCs w:val="20"/>
                <w:color w:val="auto"/>
              </w:rPr>
            </w:pPr>
            <w:r>
              <w:rPr>
                <w:rFonts w:ascii="Arial" w:cs="Arial" w:eastAsia="Arial" w:hAnsi="Arial"/>
                <w:sz w:val="18"/>
                <w:szCs w:val="18"/>
                <w:color w:val="auto"/>
                <w:w w:val="91"/>
              </w:rPr>
              <w:t>Pre-commencement communications pursuant to Rule 13e-4(c) under the Exchange Act (17 CFR 240.13e-</w:t>
            </w:r>
          </w:p>
        </w:tc>
        <w:tc>
          <w:tcPr>
            <w:tcW w:w="2920" w:type="dxa"/>
            <w:vAlign w:val="bottom"/>
            <w:vMerge w:val="restart"/>
          </w:tcPr>
          <w:p>
            <w:pPr>
              <w:ind w:left="100"/>
              <w:spacing w:after="0"/>
              <w:rPr>
                <w:sz w:val="20"/>
                <w:szCs w:val="20"/>
                <w:color w:val="auto"/>
              </w:rPr>
            </w:pPr>
            <w:r>
              <w:rPr>
                <w:rFonts w:ascii="Arial" w:cs="Arial" w:eastAsia="Arial" w:hAnsi="Arial"/>
                <w:sz w:val="18"/>
                <w:szCs w:val="18"/>
                <w:color w:val="auto"/>
              </w:rPr>
              <w:t>4(c))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0" w:type="dxa"/>
            <w:vAlign w:val="bottom"/>
            <w:shd w:val="clear" w:color="auto" w:fill="808080"/>
          </w:tcPr>
          <w:p>
            <w:pPr>
              <w:spacing w:after="0"/>
              <w:rPr>
                <w:sz w:val="6"/>
                <w:szCs w:val="6"/>
                <w:color w:val="auto"/>
              </w:rPr>
            </w:pPr>
          </w:p>
        </w:tc>
        <w:tc>
          <w:tcPr>
            <w:tcW w:w="400" w:type="dxa"/>
            <w:vAlign w:val="bottom"/>
            <w:vMerge w:val="continue"/>
          </w:tcPr>
          <w:p>
            <w:pPr>
              <w:spacing w:after="0"/>
              <w:rPr>
                <w:sz w:val="6"/>
                <w:szCs w:val="6"/>
                <w:color w:val="auto"/>
              </w:rPr>
            </w:pPr>
          </w:p>
        </w:tc>
        <w:tc>
          <w:tcPr>
            <w:tcW w:w="8060" w:type="dxa"/>
            <w:vAlign w:val="bottom"/>
            <w:vMerge w:val="continue"/>
          </w:tcPr>
          <w:p>
            <w:pPr>
              <w:spacing w:after="0"/>
              <w:rPr>
                <w:sz w:val="6"/>
                <w:szCs w:val="6"/>
                <w:color w:val="auto"/>
              </w:rPr>
            </w:pPr>
          </w:p>
        </w:tc>
        <w:tc>
          <w:tcPr>
            <w:tcW w:w="2920" w:type="dxa"/>
            <w:vAlign w:val="bottom"/>
            <w:vMerge w:val="continue"/>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753"/>
        </w:trPr>
        <w:tc>
          <w:tcPr>
            <w:tcW w:w="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06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ind w:right="80"/>
        <w:spacing w:after="0" w:line="282" w:lineRule="auto"/>
        <w:rPr>
          <w:sz w:val="20"/>
          <w:szCs w:val="20"/>
          <w:color w:val="auto"/>
        </w:rPr>
      </w:pPr>
      <w:r>
        <w:rPr>
          <w:rFonts w:ascii="Arial" w:cs="Arial" w:eastAsia="Arial" w:hAnsi="Arial"/>
          <w:sz w:val="18"/>
          <w:szCs w:val="18"/>
          <w:b w:val="1"/>
          <w:bCs w:val="1"/>
          <w:color w:val="auto"/>
        </w:rPr>
        <w:t xml:space="preserve">Item 5.02 </w:t>
      </w:r>
      <w:r>
        <w:rPr>
          <w:rFonts w:ascii="Arial" w:cs="Arial" w:eastAsia="Arial" w:hAnsi="Arial"/>
          <w:sz w:val="18"/>
          <w:szCs w:val="18"/>
          <w:b w:val="1"/>
          <w:bCs w:val="1"/>
          <w:u w:val="single" w:color="auto"/>
          <w:color w:val="auto"/>
        </w:rPr>
        <w:t>Departure of Directors or Certain Officers; Election of Directors; Appointment of Certain Officers; Compensatory Arrangements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Certain Officers</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September 4, 2012, NN, Inc., (the “Company”) announced that Roderick R. Baty, Chairman and Chief Executive Officer, will retire from the Company before the Company's next annual meeting of Stockholders to be held in May of 2013. The Company’s press release announcing Mr. Baty's retirement is attached to this report as Exhibit 99.1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5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NN, Inc. dated September 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972" w:right="4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NN, Inc.</w:t>
      </w:r>
    </w:p>
    <w:p>
      <w:pPr>
        <w:spacing w:after="0" w:line="200" w:lineRule="exact"/>
        <w:rPr>
          <w:sz w:val="20"/>
          <w:szCs w:val="20"/>
          <w:color w:val="auto"/>
        </w:rPr>
      </w:pPr>
    </w:p>
    <w:p>
      <w:pPr>
        <w:spacing w:after="0" w:line="29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13036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William C. Kelly, Jr.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Vice President and Chief</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Administrative Officer</w:t>
      </w:r>
    </w:p>
    <w:p>
      <w:pPr>
        <w:sectPr>
          <w:pgSz w:w="11900" w:h="16838" w:orient="portrait"/>
          <w:cols w:equalWidth="0" w:num="1">
            <w:col w:w="11220"/>
          </w:cols>
          <w:pgMar w:left="240" w:top="513" w:right="439" w:bottom="1440" w:gutter="0" w:footer="0" w:header="0"/>
        </w:sectPr>
      </w:pPr>
    </w:p>
    <w:bookmarkStart w:id="3" w:name="page4"/>
    <w:bookmarkEnd w:id="3"/>
    <w:p>
      <w:pPr>
        <w:ind w:left="10060"/>
        <w:spacing w:after="0"/>
        <w:rPr>
          <w:sz w:val="20"/>
          <w:szCs w:val="20"/>
          <w:color w:val="auto"/>
        </w:rPr>
      </w:pPr>
      <w:r>
        <w:rPr>
          <w:rFonts w:ascii="Arial" w:cs="Arial" w:eastAsia="Arial" w:hAnsi="Arial"/>
          <w:sz w:val="22"/>
          <w:szCs w:val="22"/>
          <w:b w:val="1"/>
          <w:bCs w:val="1"/>
          <w:color w:val="auto"/>
        </w:rPr>
        <w:t>EXHIBIT 99.1</w:t>
      </w:r>
    </w:p>
    <w:p>
      <w:pPr>
        <w:sectPr>
          <w:pgSz w:w="11900" w:h="16838" w:orient="portrait"/>
          <w:cols w:equalWidth="0" w:num="1">
            <w:col w:w="11420"/>
          </w:cols>
          <w:pgMar w:left="240" w:top="112" w:right="239" w:bottom="1440" w:gutter="0" w:footer="0" w:header="0"/>
        </w:sectPr>
      </w:pPr>
    </w:p>
    <w:p>
      <w:pPr>
        <w:spacing w:after="0" w:line="359" w:lineRule="exact"/>
        <w:rPr>
          <w:sz w:val="20"/>
          <w:szCs w:val="20"/>
          <w:color w:val="auto"/>
        </w:rPr>
      </w:pPr>
    </w:p>
    <w:p>
      <w:pPr>
        <w:spacing w:after="0"/>
        <w:rPr>
          <w:sz w:val="20"/>
          <w:szCs w:val="20"/>
          <w:color w:val="auto"/>
        </w:rPr>
      </w:pPr>
      <w:r>
        <w:rPr>
          <w:rFonts w:ascii="Arial" w:cs="Arial" w:eastAsia="Arial" w:hAnsi="Arial"/>
          <w:sz w:val="28"/>
          <w:szCs w:val="28"/>
          <w:color w:val="auto"/>
        </w:rPr>
        <w:t>F I N A N C I A L</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63"/>
          <w:szCs w:val="63"/>
          <w:color w:val="auto"/>
        </w:rPr>
        <w:t>n e w s</w:t>
      </w:r>
    </w:p>
    <w:p>
      <w:pPr>
        <w:spacing w:after="0" w:line="228" w:lineRule="exact"/>
        <w:rPr>
          <w:sz w:val="20"/>
          <w:szCs w:val="20"/>
          <w:color w:val="auto"/>
        </w:rPr>
      </w:pPr>
    </w:p>
    <w:p>
      <w:pPr>
        <w:sectPr>
          <w:pgSz w:w="11900" w:h="16838" w:orient="portrait"/>
          <w:cols w:equalWidth="0" w:num="2">
            <w:col w:w="8420" w:space="720"/>
            <w:col w:w="2280"/>
          </w:cols>
          <w:pgMar w:left="240" w:top="112" w:right="239" w:bottom="1440" w:gutter="0" w:footer="0" w:header="0"/>
          <w:type w:val="continuous"/>
        </w:sectPr>
      </w:pPr>
    </w:p>
    <w:p>
      <w:pPr>
        <w:spacing w:after="0" w:line="400"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38" w:lineRule="exact"/>
        <w:rPr>
          <w:sz w:val="20"/>
          <w:szCs w:val="20"/>
          <w:color w:val="auto"/>
        </w:rPr>
      </w:pPr>
    </w:p>
    <w:p>
      <w:pPr>
        <w:spacing w:after="0"/>
        <w:tabs>
          <w:tab w:leader="none" w:pos="4340" w:val="left"/>
        </w:tabs>
        <w:rPr>
          <w:sz w:val="20"/>
          <w:szCs w:val="20"/>
          <w:color w:val="auto"/>
        </w:rPr>
      </w:pPr>
      <w:r>
        <w:rPr>
          <w:rFonts w:ascii="Arial" w:cs="Arial" w:eastAsia="Arial" w:hAnsi="Arial"/>
          <w:sz w:val="22"/>
          <w:szCs w:val="22"/>
          <w:color w:val="auto"/>
        </w:rPr>
        <w:t>AT THE COMPANY</w:t>
      </w:r>
      <w:r>
        <w:rPr>
          <w:sz w:val="20"/>
          <w:szCs w:val="20"/>
          <w:color w:val="auto"/>
        </w:rPr>
        <w:tab/>
      </w:r>
      <w:r>
        <w:rPr>
          <w:rFonts w:ascii="Arial" w:cs="Arial" w:eastAsia="Arial" w:hAnsi="Arial"/>
          <w:sz w:val="21"/>
          <w:szCs w:val="21"/>
          <w:color w:val="auto"/>
        </w:rPr>
        <w:t>AT FINANCIAL RELATIONS BOARD</w:t>
      </w:r>
    </w:p>
    <w:p>
      <w:pPr>
        <w:spacing w:after="0" w:line="13"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Will Kelly</w:t>
      </w:r>
      <w:r>
        <w:rPr>
          <w:sz w:val="20"/>
          <w:szCs w:val="20"/>
          <w:color w:val="auto"/>
        </w:rPr>
        <w:tab/>
      </w:r>
      <w:r>
        <w:rPr>
          <w:rFonts w:ascii="Arial" w:cs="Arial" w:eastAsia="Arial" w:hAnsi="Arial"/>
          <w:sz w:val="17"/>
          <w:szCs w:val="17"/>
          <w:color w:val="auto"/>
        </w:rPr>
        <w:t>Marilynn Meek</w:t>
      </w:r>
    </w:p>
    <w:p>
      <w:pPr>
        <w:spacing w:after="0" w:line="7"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Vice President and Chief Administrative Officer</w:t>
      </w:r>
      <w:r>
        <w:rPr>
          <w:sz w:val="20"/>
          <w:szCs w:val="20"/>
          <w:color w:val="auto"/>
        </w:rPr>
        <w:tab/>
      </w:r>
      <w:r>
        <w:rPr>
          <w:rFonts w:ascii="Arial" w:cs="Arial" w:eastAsia="Arial" w:hAnsi="Arial"/>
          <w:sz w:val="16"/>
          <w:szCs w:val="16"/>
          <w:color w:val="auto"/>
        </w:rPr>
        <w:t>(General info)</w:t>
      </w:r>
    </w:p>
    <w:p>
      <w:pPr>
        <w:spacing w:after="0" w:line="9"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(423) 743-9151</w:t>
      </w:r>
      <w:r>
        <w:rPr>
          <w:sz w:val="20"/>
          <w:szCs w:val="20"/>
          <w:color w:val="auto"/>
        </w:rPr>
        <w:tab/>
      </w:r>
      <w:r>
        <w:rPr>
          <w:rFonts w:ascii="Arial" w:cs="Arial" w:eastAsia="Arial" w:hAnsi="Arial"/>
          <w:sz w:val="16"/>
          <w:szCs w:val="16"/>
          <w:color w:val="auto"/>
        </w:rPr>
        <w:t>(212) 827-3773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2012</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RODERICK R. BATY, CHAIRMAN AND CEO OF NN, INC. ANNOUNCES PLAN FOR RETIREMENT</w:t>
      </w:r>
    </w:p>
    <w:p>
      <w:pPr>
        <w:spacing w:after="0" w:line="252"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Johnson City, Tenn., September 4, 2012 –</w:t>
      </w:r>
      <w:r>
        <w:rPr>
          <w:rFonts w:ascii="Arial" w:cs="Arial" w:eastAsia="Arial" w:hAnsi="Arial"/>
          <w:sz w:val="18"/>
          <w:szCs w:val="18"/>
          <w:color w:val="auto"/>
        </w:rPr>
        <w:t>The Board of Directors of NN, Inc. (NASDAQ: NNBR) today announced that Chairman and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Roderick R. Baty has informed the Board that he will retire by the Company’s next annual meeting of stockholders to be held in May of 2013. Mr. Baty will also step down from the Board at that time.</w:t>
      </w:r>
    </w:p>
    <w:p>
      <w:pPr>
        <w:spacing w:after="0" w:line="20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On behalf of the Board of Directors, Ron Morris, Director and Audit Committee Chairman said, “We would like to extend our gratitude to Rock for his outstanding leadership during his tenure as CEO and Chairman of the Board of NN. Under his guidance and strategic vision, NN has grown from a small domestic company with three manufacturing locations, 400 employees and $75 million in sales to a multinational Company with 10 global manufacturing locations, over 2,000 employees and sales in excess of $424 million. Despite sometimes trying economic times, NN has emerged strong and well positioned to continue to grow and provide exceptional service and products to our global customers.”</w:t>
      </w:r>
    </w:p>
    <w:p>
      <w:pPr>
        <w:spacing w:after="0" w:line="20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Mr. Baty commented, “My decision to retire is solely based upon my desire to spend more time with my family and to further pursue my work with charitable causes. I feel blessed to have been a part of this wonderful organization and to have been afforded the opportunity to play a leadership role in the success NN has enjoyed over the last 15 years. The expansion and operational success we have achieved would not have been possible without the strong leadership from our board of directors and management team, as well as the unwavering dedication of our more than 2,000 employees.”</w:t>
      </w:r>
    </w:p>
    <w:p>
      <w:pPr>
        <w:spacing w:after="0" w:line="19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 part of an existing written succession plan, the Board has formed a search committee and has engaged a firm to assist the committee in leading a comprehensive search to determine Mr. Baty’s successor. Both internal and external candidates will be considered. Mr. Baty will work with the Board to assure a smooth and successful transition.</w:t>
      </w:r>
    </w:p>
    <w:p>
      <w:pPr>
        <w:spacing w:after="0" w:line="2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Mr. Baty has served as President and Chief Executive Officer since July 1997. In September of 2001 he was elected Chairman of the Board. He joined NN in July 1995 as Vice President and Chief Financial Officer and was elected to the Board of Directors in 1995. Prior to joining NN, Mr. Baty served as President and Chief Operating Officer of Hoover Precision Products from 1990 until January 1995, and as Vice President and General Manager of Hoover Group from 1985 to 1990.</w:t>
      </w:r>
    </w:p>
    <w:p>
      <w:pPr>
        <w:spacing w:after="0" w:line="21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$425 million in 2011.</w:t>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2019-12-09T11:12:55Z</dcterms:created>
  <dcterms:modified xsi:type="dcterms:W3CDTF">2019-12-09T11:12:55Z</dcterms:modified>
</cp:coreProperties>
</file>