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(Amendment No. _)</w:t>
      </w:r>
      <w:r>
        <w:rPr>
          <w:rFonts w:ascii="Times New Roman" w:cs="Times New Roman" w:eastAsia="Times New Roman" w:hAnsi="Times New Roman"/>
          <w:sz w:val="36"/>
          <w:szCs w:val="36"/>
          <w:b w:val="1"/>
          <w:bCs w:val="1"/>
          <w:color w:val="auto"/>
          <w:vertAlign w:val="superscript"/>
        </w:rPr>
        <w:t>*</w:t>
      </w:r>
    </w:p>
    <w:p>
      <w:pPr>
        <w:spacing w:after="0" w:line="200" w:lineRule="exact"/>
        <w:rPr>
          <w:sz w:val="24"/>
          <w:szCs w:val="24"/>
          <w:color w:val="auto"/>
        </w:rPr>
      </w:pPr>
    </w:p>
    <w:p>
      <w:pPr>
        <w:spacing w:after="0" w:line="38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color w:val="auto"/>
        </w:rPr>
        <w:t>December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48" w:lineRule="auto"/>
        <w:tabs>
          <w:tab w:leader="none" w:pos="479"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36"/>
          <w:szCs w:val="36"/>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8" w:lineRule="exact"/>
        <w:rPr>
          <w:sz w:val="24"/>
          <w:szCs w:val="24"/>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16"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173990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283"/>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I.R.S. IDENTIFICATION NO. OF ABOVE PERSONS (ENTITIES ONLY)</w:t>
            </w:r>
          </w:p>
        </w:tc>
      </w:tr>
      <w:tr>
        <w:trPr>
          <w:trHeight w:val="447"/>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Trust Company, NA</w:t>
            </w:r>
          </w:p>
        </w:tc>
      </w:tr>
      <w:tr>
        <w:trPr>
          <w:trHeight w:val="283"/>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22-2859704</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r>
      <w:tr>
        <w:trPr>
          <w:trHeight w:val="447"/>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3"/>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United States</w:t>
            </w:r>
          </w:p>
        </w:tc>
      </w:tr>
    </w:tbl>
    <w:p>
      <w:pPr>
        <w:spacing w:after="0" w:line="177" w:lineRule="exact"/>
        <w:rPr>
          <w:sz w:val="20"/>
          <w:szCs w:val="20"/>
          <w:color w:val="auto"/>
        </w:rPr>
      </w:pPr>
    </w:p>
    <w:tbl>
      <w:tblPr>
        <w:tblLayout w:type="fixed"/>
        <w:tblInd w:w="80" w:type="dxa"/>
        <w:tblCellMar>
          <w:top w:w="0" w:type="dxa"/>
          <w:left w:w="0" w:type="dxa"/>
          <w:bottom w:w="0" w:type="dxa"/>
          <w:right w:w="0" w:type="dxa"/>
        </w:tblCellMar>
      </w:tblP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42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 SOLE VOTING POWER</w:t>
            </w:r>
          </w:p>
        </w:tc>
        <w:tc>
          <w:tcPr>
            <w:tcW w:w="272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6. SHARED VOTING POWER</w:t>
            </w:r>
          </w:p>
        </w:tc>
        <w:tc>
          <w:tcPr>
            <w:tcW w:w="2720" w:type="dxa"/>
            <w:vAlign w:val="bottom"/>
            <w:vMerge w:val="restart"/>
          </w:tcPr>
          <w:p>
            <w:pPr>
              <w:ind w:left="1840"/>
              <w:spacing w:after="0"/>
              <w:rPr>
                <w:sz w:val="20"/>
                <w:szCs w:val="20"/>
                <w:color w:val="auto"/>
              </w:rPr>
            </w:pPr>
            <w:r>
              <w:rPr>
                <w:rFonts w:ascii="Times New Roman" w:cs="Times New Roman" w:eastAsia="Times New Roman" w:hAnsi="Times New Roman"/>
                <w:sz w:val="22"/>
                <w:szCs w:val="22"/>
                <w:color w:val="auto"/>
                <w:w w:val="97"/>
              </w:rPr>
              <w:t>1,069,270</w:t>
            </w:r>
          </w:p>
        </w:tc>
        <w:tc>
          <w:tcPr>
            <w:tcW w:w="0" w:type="dxa"/>
            <w:vAlign w:val="bottom"/>
          </w:tcPr>
          <w:p>
            <w:pPr>
              <w:spacing w:after="0"/>
              <w:rPr>
                <w:sz w:val="1"/>
                <w:szCs w:val="1"/>
                <w:color w:val="auto"/>
              </w:rPr>
            </w:pPr>
          </w:p>
        </w:tc>
      </w:tr>
      <w:tr>
        <w:trPr>
          <w:trHeight w:val="174"/>
        </w:trPr>
        <w:tc>
          <w:tcPr>
            <w:tcW w:w="16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420" w:type="dxa"/>
            <w:vAlign w:val="bottom"/>
          </w:tcPr>
          <w:p>
            <w:pPr>
              <w:spacing w:after="0"/>
              <w:rPr>
                <w:sz w:val="15"/>
                <w:szCs w:val="15"/>
                <w:color w:val="auto"/>
              </w:rPr>
            </w:pPr>
          </w:p>
        </w:tc>
        <w:tc>
          <w:tcPr>
            <w:tcW w:w="5320" w:type="dxa"/>
            <w:vAlign w:val="bottom"/>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6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53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53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20" w:type="dxa"/>
            <w:vAlign w:val="bottom"/>
            <w:vMerge w:val="restart"/>
          </w:tcPr>
          <w:p>
            <w:pPr>
              <w:ind w:left="18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6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6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PERSON WITH</w:t>
            </w:r>
          </w:p>
        </w:tc>
        <w:tc>
          <w:tcPr>
            <w:tcW w:w="420" w:type="dxa"/>
            <w:vAlign w:val="bottom"/>
          </w:tcPr>
          <w:p>
            <w:pPr>
              <w:spacing w:after="0"/>
              <w:rPr>
                <w:sz w:val="24"/>
                <w:szCs w:val="24"/>
                <w:color w:val="auto"/>
              </w:rPr>
            </w:pPr>
          </w:p>
        </w:tc>
        <w:tc>
          <w:tcPr>
            <w:tcW w:w="53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Times New Roman" w:cs="Times New Roman" w:eastAsia="Times New Roman" w:hAnsi="Times New Roman"/>
                <w:sz w:val="22"/>
                <w:szCs w:val="22"/>
                <w:color w:val="auto"/>
                <w:w w:val="97"/>
              </w:rPr>
              <w:t>1,069,270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9.</w:t>
            </w:r>
          </w:p>
        </w:tc>
        <w:tc>
          <w:tcPr>
            <w:tcW w:w="84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1,069,270</w:t>
      </w:r>
    </w:p>
    <w:p>
      <w:pPr>
        <w:spacing w:after="0" w:line="206"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IF THE AGGREGATE AMOUNT IN ROW (9) EXCLUDES CERTAIN SHARES</w:t>
      </w:r>
    </w:p>
    <w:p>
      <w:pPr>
        <w:spacing w:after="0" w:line="23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6.27%</w:t>
      </w:r>
    </w:p>
    <w:p>
      <w:pPr>
        <w:spacing w:after="0" w:line="206"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BK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80010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2" w:right="1440" w:bottom="1440" w:gutter="0" w:footer="0" w:header="0"/>
        </w:sectPr>
      </w:pPr>
    </w:p>
    <w:bookmarkStart w:id="2" w:name="page3"/>
    <w:bookmarkEnd w:id="2"/>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80" w:right="8080" w:hanging="407"/>
        <w:spacing w:after="0" w:line="262" w:lineRule="auto"/>
        <w:tabs>
          <w:tab w:leader="none" w:pos="17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Name of Issuer </w:t>
      </w:r>
      <w:r>
        <w:rPr>
          <w:rFonts w:ascii="Times New Roman" w:cs="Times New Roman" w:eastAsia="Times New Roman" w:hAnsi="Times New Roman"/>
          <w:sz w:val="22"/>
          <w:szCs w:val="22"/>
          <w:color w:val="auto"/>
        </w:rPr>
        <w:t>NN, Inc.</w:t>
      </w:r>
    </w:p>
    <w:p>
      <w:pPr>
        <w:spacing w:after="0" w:line="68" w:lineRule="exact"/>
        <w:rPr>
          <w:rFonts w:ascii="Times New Roman" w:cs="Times New Roman" w:eastAsia="Times New Roman" w:hAnsi="Times New Roman"/>
          <w:sz w:val="22"/>
          <w:szCs w:val="22"/>
          <w:b w:val="1"/>
          <w:bCs w:val="1"/>
          <w:color w:val="auto"/>
        </w:rPr>
      </w:pPr>
    </w:p>
    <w:p>
      <w:pPr>
        <w:ind w:left="1780" w:right="5180" w:hanging="407"/>
        <w:spacing w:after="0" w:line="243" w:lineRule="auto"/>
        <w:tabs>
          <w:tab w:leader="none" w:pos="17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2000 Waters Edge Drive</w:t>
      </w:r>
    </w:p>
    <w:p>
      <w:pPr>
        <w:spacing w:after="0" w:line="1" w:lineRule="exact"/>
        <w:rPr>
          <w:rFonts w:ascii="Times New Roman" w:cs="Times New Roman" w:eastAsia="Times New Roman" w:hAnsi="Times New Roman"/>
          <w:sz w:val="22"/>
          <w:szCs w:val="22"/>
          <w:b w:val="1"/>
          <w:bCs w:val="1"/>
          <w:color w:val="auto"/>
        </w:rPr>
      </w:pPr>
    </w:p>
    <w:p>
      <w:pPr>
        <w:ind w:left="1780" w:right="738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Building C, Suite 12 Johnson City, TN 37604</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Trust Company, NA (''Wellington Trust'')</w:t>
      </w:r>
    </w:p>
    <w:p>
      <w:pPr>
        <w:spacing w:after="0" w:line="97" w:lineRule="exact"/>
        <w:rPr>
          <w:rFonts w:ascii="Times New Roman" w:cs="Times New Roman" w:eastAsia="Times New Roman" w:hAnsi="Times New Roman"/>
          <w:sz w:val="22"/>
          <w:szCs w:val="22"/>
          <w:b w:val="1"/>
          <w:bCs w:val="1"/>
          <w:color w:val="auto"/>
        </w:rPr>
      </w:pPr>
    </w:p>
    <w:p>
      <w:pPr>
        <w:ind w:left="1780" w:right="4080" w:hanging="407"/>
        <w:spacing w:after="0" w:line="243" w:lineRule="auto"/>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80" w:right="77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4" w:lineRule="exact"/>
        <w:rPr>
          <w:rFonts w:ascii="Times New Roman" w:cs="Times New Roman" w:eastAsia="Times New Roman" w:hAnsi="Times New Roman"/>
          <w:sz w:val="22"/>
          <w:szCs w:val="22"/>
          <w:b w:val="1"/>
          <w:bCs w:val="1"/>
          <w:color w:val="auto"/>
        </w:rPr>
      </w:pPr>
    </w:p>
    <w:p>
      <w:pPr>
        <w:ind w:left="1780" w:right="8320" w:hanging="407"/>
        <w:spacing w:after="0" w:line="286" w:lineRule="auto"/>
        <w:tabs>
          <w:tab w:leader="none" w:pos="17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United States</w:t>
      </w:r>
    </w:p>
    <w:p>
      <w:pPr>
        <w:spacing w:after="0" w:line="45" w:lineRule="exact"/>
        <w:rPr>
          <w:rFonts w:ascii="Times New Roman" w:cs="Times New Roman" w:eastAsia="Times New Roman" w:hAnsi="Times New Roman"/>
          <w:sz w:val="21"/>
          <w:szCs w:val="21"/>
          <w:b w:val="1"/>
          <w:bCs w:val="1"/>
          <w:color w:val="auto"/>
        </w:rPr>
      </w:pPr>
    </w:p>
    <w:p>
      <w:pPr>
        <w:ind w:left="1780" w:right="7080" w:hanging="407"/>
        <w:spacing w:after="0" w:line="262" w:lineRule="auto"/>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80" w:right="8020" w:hanging="407"/>
        <w:spacing w:after="0" w:line="286" w:lineRule="auto"/>
        <w:tabs>
          <w:tab w:leader="none" w:pos="17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629337106</w:t>
      </w:r>
    </w:p>
    <w:p>
      <w:pPr>
        <w:spacing w:after="0" w:line="46" w:lineRule="exact"/>
        <w:rPr>
          <w:sz w:val="20"/>
          <w:szCs w:val="20"/>
          <w:color w:val="auto"/>
        </w:rPr>
      </w:pPr>
    </w:p>
    <w:p>
      <w:pPr>
        <w:ind w:left="1380" w:hanging="1363"/>
        <w:spacing w:after="0" w:line="262" w:lineRule="auto"/>
        <w:tabs>
          <w:tab w:leader="none" w:pos="136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40" w:right="320" w:hanging="867"/>
        <w:spacing w:after="0" w:line="258" w:lineRule="auto"/>
        <w:tabs>
          <w:tab w:leader="none" w:pos="178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investment adviser in accordance with Rule 240.13d-1(b)(1)(ii)(E);</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A savings association as defined in Section 3(b) of the Federal Deposit Insurance Act (12 U.S.C. 1813);</w:t>
      </w:r>
    </w:p>
    <w:p>
      <w:pPr>
        <w:spacing w:after="0" w:line="136" w:lineRule="exact"/>
        <w:rPr>
          <w:rFonts w:ascii="Times New Roman" w:cs="Times New Roman" w:eastAsia="Times New Roman" w:hAnsi="Times New Roman"/>
          <w:sz w:val="21"/>
          <w:szCs w:val="21"/>
          <w:color w:val="auto"/>
        </w:rPr>
      </w:pPr>
    </w:p>
    <w:p>
      <w:pPr>
        <w:ind w:left="2240" w:right="120" w:hanging="867"/>
        <w:spacing w:after="0" w:line="258" w:lineRule="auto"/>
        <w:tabs>
          <w:tab w:leader="none" w:pos="178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80" w:right="12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Wellington Trust, in its capacity as investment adviser, may be deemed to beneficially own 1,069,270 shares of the Issuer which are held of record by clients of Wellington Trust.</w:t>
      </w:r>
    </w:p>
    <w:p>
      <w:pPr>
        <w:spacing w:after="0" w:line="77"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6.27%</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6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power to vote or to direct the vote</w:t>
            </w:r>
          </w:p>
        </w:tc>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0</w:t>
            </w:r>
          </w:p>
        </w:tc>
      </w:tr>
      <w:tr>
        <w:trPr>
          <w:trHeight w:val="378"/>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(ii)</w:t>
            </w:r>
          </w:p>
        </w:tc>
        <w:tc>
          <w:tcPr>
            <w:tcW w:w="6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power to vote or to direct the vote</w:t>
            </w:r>
          </w:p>
        </w:tc>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5"/>
              </w:rPr>
              <w:t>1,069,270</w:t>
            </w:r>
          </w:p>
        </w:tc>
      </w:tr>
      <w:tr>
        <w:trPr>
          <w:trHeight w:val="378"/>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(iii)</w:t>
            </w:r>
          </w:p>
        </w:tc>
        <w:tc>
          <w:tcPr>
            <w:tcW w:w="6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power to dispose or to direct the disposition of</w:t>
            </w:r>
          </w:p>
        </w:tc>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0</w:t>
            </w:r>
          </w:p>
        </w:tc>
      </w:tr>
      <w:tr>
        <w:trPr>
          <w:trHeight w:val="378"/>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(iv)</w:t>
            </w:r>
          </w:p>
        </w:tc>
        <w:tc>
          <w:tcPr>
            <w:tcW w:w="6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power to dispose or to direct the disposition of</w:t>
            </w:r>
          </w:p>
        </w:tc>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5"/>
              </w:rPr>
              <w:t>1,069,270</w:t>
            </w:r>
          </w:p>
        </w:tc>
      </w:tr>
    </w:tbl>
    <w:p>
      <w:pPr>
        <w:spacing w:after="0" w:line="9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ectPr>
          <w:pgSz w:w="11900" w:h="16849" w:orient="portrait"/>
          <w:cols w:equalWidth="0" w:num="1">
            <w:col w:w="11260"/>
          </w:cols>
          <w:pgMar w:left="320" w:top="405" w:right="319" w:bottom="0" w:gutter="0" w:footer="0" w:header="0"/>
        </w:sectPr>
      </w:pPr>
    </w:p>
    <w:bookmarkStart w:id="3" w:name="page4"/>
    <w:bookmarkEnd w:id="3"/>
    <w:p>
      <w:pPr>
        <w:ind w:left="1380" w:right="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00"/>
          </w:cols>
          <w:pgMar w:left="320" w:top="207" w:right="379" w:bottom="1440" w:gutter="0" w:footer="0" w:header="0"/>
        </w:sectPr>
      </w:pP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6.</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Ownership of More than Five Percent on Behalf of Another Person.</w:t>
      </w:r>
    </w:p>
    <w:p>
      <w:pPr>
        <w:spacing w:after="0" w:line="141" w:lineRule="exact"/>
        <w:rPr>
          <w:sz w:val="20"/>
          <w:szCs w:val="20"/>
          <w:color w:val="auto"/>
        </w:rPr>
      </w:pPr>
    </w:p>
    <w:p>
      <w:pPr>
        <w:sectPr>
          <w:pgSz w:w="11900" w:h="16838" w:orient="portrait"/>
          <w:cols w:equalWidth="0" w:num="2">
            <w:col w:w="660" w:space="720"/>
            <w:col w:w="9820"/>
          </w:cols>
          <w:pgMar w:left="320" w:top="207" w:right="379" w:bottom="1440" w:gutter="0" w:footer="0" w:header="0"/>
          <w:type w:val="continuous"/>
        </w:sectPr>
      </w:pPr>
    </w:p>
    <w:p>
      <w:pPr>
        <w:ind w:left="1380" w:right="40"/>
        <w:spacing w:after="0" w:line="239"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Trust, in its capacity as investment adviser, are owned of record by clients of Wellington Trust.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200"/>
          </w:cols>
          <w:pgMar w:left="320" w:top="207" w:right="37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7.</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20"/>
          </w:cols>
          <w:pgMar w:left="320" w:top="207" w:right="379" w:bottom="1440" w:gutter="0" w:footer="0" w:header="0"/>
          <w:type w:val="continuous"/>
        </w:sectPr>
      </w:pPr>
    </w:p>
    <w:p>
      <w:pPr>
        <w:spacing w:after="0" w:line="11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200"/>
          </w:cols>
          <w:pgMar w:left="320" w:top="207" w:right="37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8.</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20"/>
          </w:cols>
          <w:pgMar w:left="320" w:top="207" w:right="379" w:bottom="1440" w:gutter="0" w:footer="0" w:header="0"/>
          <w:type w:val="continuous"/>
        </w:sectPr>
      </w:pPr>
    </w:p>
    <w:p>
      <w:pPr>
        <w:spacing w:after="0" w:line="4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200"/>
          </w:cols>
          <w:pgMar w:left="320" w:top="207" w:right="37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9.</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20"/>
          </w:cols>
          <w:pgMar w:left="320" w:top="207" w:right="379" w:bottom="1440" w:gutter="0" w:footer="0" w:header="0"/>
          <w:type w:val="continuous"/>
        </w:sectPr>
      </w:pPr>
    </w:p>
    <w:p>
      <w:pPr>
        <w:spacing w:after="0" w:line="4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200"/>
          </w:cols>
          <w:pgMar w:left="320" w:top="207" w:right="37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10.</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20"/>
          </w:cols>
          <w:pgMar w:left="320" w:top="207" w:right="379" w:bottom="1440" w:gutter="0" w:footer="0" w:header="0"/>
          <w:type w:val="continuous"/>
        </w:sectPr>
      </w:pPr>
    </w:p>
    <w:p>
      <w:pPr>
        <w:spacing w:after="0" w:line="49" w:lineRule="exact"/>
        <w:rPr>
          <w:sz w:val="20"/>
          <w:szCs w:val="20"/>
          <w:color w:val="auto"/>
        </w:rPr>
      </w:pPr>
    </w:p>
    <w:p>
      <w:pPr>
        <w:ind w:left="138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332" w:lineRule="exact"/>
        <w:rPr>
          <w:sz w:val="20"/>
          <w:szCs w:val="20"/>
          <w:color w:val="auto"/>
        </w:rPr>
      </w:pPr>
    </w:p>
    <w:p>
      <w:pPr>
        <w:ind w:left="1120" w:right="13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By: /s/ Steven M. Hoffman</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Name: Steven M. Hoffman</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Date: February 14, 2013</w:t>
      </w:r>
    </w:p>
    <w:sectPr>
      <w:pgSz w:w="11900" w:h="16838" w:orient="portrait"/>
      <w:cols w:equalWidth="0" w:num="1">
        <w:col w:w="11200"/>
      </w:cols>
      <w:pgMar w:left="320" w:top="207"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2019-12-06T10:26:58Z</dcterms:created>
  <dcterms:modified xsi:type="dcterms:W3CDTF">2019-12-06T10:26:58Z</dcterms:modified>
</cp:coreProperties>
</file>