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Date of Report (Date of earliest event reported): May 4, 2017 (May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444500</wp:posOffset>
            </wp:positionV>
            <wp:extent cx="892175" cy="892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120"/>
          </w:cols>
          <w:pgMar w:left="240" w:top="368" w:right="37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40"/>
          </w:cols>
          <w:pgMar w:left="240" w:top="368" w:right="379" w:bottom="1440" w:gutter="0" w:footer="0" w:header="0"/>
          <w:type w:val="continuous"/>
        </w:sectPr>
      </w:pPr>
    </w:p>
    <w:p>
      <w:pPr>
        <w:spacing w:after="0" w:line="33"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8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6800" w:space="720"/>
            <w:col w:w="3760"/>
          </w:cols>
          <w:pgMar w:left="240" w:top="368" w:right="379" w:bottom="1440" w:gutter="0" w:footer="0" w:header="0"/>
          <w:type w:val="continuous"/>
        </w:sectPr>
      </w:pPr>
    </w:p>
    <w:p>
      <w:pPr>
        <w:jc w:val="center"/>
        <w:ind w:left="7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700" w:space="720"/>
            <w:col w:w="3860"/>
          </w:cols>
          <w:pgMar w:left="240" w:top="368"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80"/>
          </w:cols>
          <w:pgMar w:left="240" w:top="368" w:right="379" w:bottom="1440" w:gutter="0" w:footer="0" w:header="0"/>
          <w:type w:val="continuous"/>
        </w:sect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12b-2 under the Exchange Act (17 CFR 240.12b-2).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May 3, 2017, NN, Inc. (the “Company”) issued a press release announcing the Company’s financial results for the quarter March 31, 2017. The full text of the press release is furnished as Exhibit 99.1 and is incorporated herein by reference.</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3, 2017.</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3, 2017.</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23595"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172085</wp:posOffset>
            </wp:positionV>
            <wp:extent cx="184404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Strategy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434-8301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Caitlin Petrakis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FIRST QUARTER 2017 RESULTS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Johnson City, Tenn., May 3, 2017 –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sales for the first quarter of 2017 increased $14.1 million, or 7%, to $226.3 million, compared to $212.2 million for the first quarter of 2016. Organic growth in our medical, aerospace and CAFE end markets accounted for the increase.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 GAAP basis, income from operations for the first quarter of 2017 was $22.2 million, compared to $11.9 million for the same period in 2016. Net income on a GAAP basis for first quarter of 2017 was $7.4 million, or $0.27 per diluted share. This compares to a net loss of $1.3 million, or ($0.05) per diluted share in the first quarter of 2016.</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 GAAP basis, income from operations for first quarter 2017 in the Autocam Precision Components Group was $10.6 million compared to $6.5 million for the same period in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 GAAP basis, income from operations for first quarter 2017 in the Precision Bearing Components Group was $8.4 million compared to $6.3 million for the same period in 2016.</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 GAAP basis, income from operations for first quarter 2017 in the Precision Engineered Products Group was $10.9 million compared to $5.4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Adjusted income from operations for the first quarter of 2017 was $28.9 million, an increase of 20%, compared to $24.0 million for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was $12.9 million, or $0.47 per diluted share, compared to $7.1 million, or $0.27 per diluted share for the same period in 2016.</w:t>
      </w:r>
    </w:p>
    <w:p>
      <w:pPr>
        <w:spacing w:after="0" w:line="22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Richard Holder, President and Chief Executive Officer, commented, “We are pleased with our first quarter performance. Sales grew organically in all three groups for the second consecutive quarter, driven largely by new programs in our medical and aerospace end markets. Additionally, we saw our industrial markets continue to normalize. Finally, we continue to see improvements in our operating performance year over year driven by the NN Operating System.”</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first quarter of 2017 were $86.5 million, compared to $84.0 million in the first quarter of 2016, an increase of 3% or $2.5 million. Growth related to our CAFE automotive business accounted for the increase. Adjusted income from operations for the quarter increased $1.8 million to $11.5 million, compared to $9.7 million in the first quarter of 2016.</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Mr. Holder commented, “The APC Group continues to perform well. Our CAFE technology platform continues to drive growth and margins continue to expand as we reap the benefits of the NN Operating System.”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sales for the first quarter of 2017 were $68.8 million, compared to $64.7 million in the first quarter of 2016, an increase of $4.1 million or 6%. Adjusted income from operations for the first quarter was $8.6 million, compared to $7.1 million in the first quarter of 2016.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Holder commented, “This marks the second consecutive quarter of organic growth in our PBC business. Additionally, the margin improvement driven by the NN Operating System continues to meet our expectations.”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for the first quarter of 2017 were $71.1 million, compared to $63.5 million in the first quarter of 2016, an increase of $7.6 million, or 12%. Volume increases related to our medical and aerospace end markets were the primary drivers. Adjusted income from operations for the quarter was $16.0 million, compared to $13.2 million in 2016.</w:t>
      </w:r>
    </w:p>
    <w:p>
      <w:pPr>
        <w:spacing w:after="0" w:line="18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Mr. Holder commented, “We continue to be pleased with the operating improvements that we are driving through our PEP business. Additionally, the investments we made in the sales force during 2016 are starting to pay dividends as we continue to win new business.”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Holder concluded, “During the first quarter, we saw continued growth from our three businesses, margins expanded and we were able to execute on a key strategic initiative by refinancing our Senior Notes following the quarter end. I am very proud of our first quarter performance, as we continue to execute on our strategic plan.”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full set of financial guidance for the second quarter and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60" w:firstLine="8"/>
        <w:spacing w:after="0" w:line="312"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1-800-279-9534 or 1-719-325-2142 Conference ID: 4725872. For those who are unavailable to listen to the live broadcast, a replay will be available shortly after the call for 90 days.</w:t>
      </w:r>
    </w:p>
    <w:p>
      <w:pPr>
        <w:spacing w:after="0" w:line="147" w:lineRule="exact"/>
        <w:rPr>
          <w:sz w:val="20"/>
          <w:szCs w:val="20"/>
          <w:color w:val="auto"/>
        </w:rPr>
      </w:pPr>
    </w:p>
    <w:p>
      <w:pPr>
        <w:ind w:right="160" w:firstLine="8"/>
        <w:spacing w:after="0" w:line="264"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and adjusted diluted earnings per share. Each of adjusted income from operations and adjusted net income provide supplementary information about the impacts of acquisition related expenses, foreign-exchange and other non-operating impacts on our business.</w:t>
      </w:r>
    </w:p>
    <w:p>
      <w:pPr>
        <w:sectPr>
          <w:pgSz w:w="11900" w:h="16838" w:orient="portrait"/>
          <w:cols w:equalWidth="0" w:num="1">
            <w:col w:w="11380"/>
          </w:cols>
          <w:pgMar w:left="240" w:top="270" w:right="279" w:bottom="1440" w:gutter="0" w:footer="0" w:header="0"/>
        </w:sectPr>
      </w:pPr>
    </w:p>
    <w:bookmarkStart w:id="6" w:name="page7"/>
    <w:bookmarkEnd w:id="6"/>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tables found later in this press release include a reconciliation of adjusted income from operations, adjusted net income and adjusted diluted earnings per share to the U.S. GAAP financial measures of income from operations, net income and diluted earnings per share.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40 manufacturing plants in North America, Western Europe, Eastern Europe, South America and China.</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96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8"/>
        </w:trPr>
        <w:tc>
          <w:tcPr>
            <w:tcW w:w="96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7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226,314</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212,226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166,954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15,568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Income (loss) before provision (benefit) for income taxes and share of net income from joint venture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Basic income per share: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Arial" w:cs="Arial" w:eastAsia="Arial" w:hAnsi="Arial"/>
                <w:sz w:val="18"/>
                <w:szCs w:val="18"/>
                <w:color w:val="auto"/>
              </w:rPr>
              <w:t>Cash dividends per common share</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34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72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$ 19,583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3960" w:type="dxa"/>
            <w:vAlign w:val="bottom"/>
            <w:gridSpan w:val="3"/>
          </w:tcPr>
          <w:p>
            <w:pPr>
              <w:jc w:val="right"/>
              <w:ind w:right="500"/>
              <w:spacing w:after="0"/>
              <w:rPr>
                <w:sz w:val="20"/>
                <w:szCs w:val="20"/>
                <w:color w:val="auto"/>
              </w:rPr>
            </w:pPr>
            <w:r>
              <w:rPr>
                <w:rFonts w:ascii="Arial" w:cs="Arial" w:eastAsia="Arial" w:hAnsi="Arial"/>
                <w:sz w:val="18"/>
                <w:szCs w:val="18"/>
                <w:color w:val="auto"/>
              </w:rPr>
              <w:t>10,753</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obligation under capital lease</w:t>
            </w:r>
          </w:p>
        </w:tc>
        <w:tc>
          <w:tcPr>
            <w:tcW w:w="3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3960" w:type="dxa"/>
            <w:vAlign w:val="bottom"/>
            <w:gridSpan w:val="3"/>
          </w:tcPr>
          <w:p>
            <w:pPr>
              <w:jc w:val="right"/>
              <w:ind w:right="500"/>
              <w:spacing w:after="0"/>
              <w:rPr>
                <w:sz w:val="20"/>
                <w:szCs w:val="20"/>
                <w:color w:val="auto"/>
              </w:rPr>
            </w:pPr>
            <w:r>
              <w:rPr>
                <w:rFonts w:ascii="Arial" w:cs="Arial" w:eastAsia="Arial" w:hAnsi="Arial"/>
                <w:sz w:val="18"/>
                <w:szCs w:val="18"/>
                <w:color w:val="auto"/>
              </w:rPr>
              <w:t>799,450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785,713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3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NN, Inc. Consolidated</w:t>
            </w: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22,158</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Operations(a)</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 Margin</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226,314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212,226</w:t>
            </w: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Autocam Precision Components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10,601</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Operations(a)</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China JV Contribution</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Non-GAAP Adjusted Operating Margin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Precision Bearing Components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Operations(a)</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 Margin</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Restructuring &amp; impairment charges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Acquisition &amp; integration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intangibles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Income from Operations(a)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Operating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GAAP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Adjusted Net Income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Net Income to Adjusted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integration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loss on inter-company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reorganization and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interest rate swap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Pre-tax amortization of intangibles &amp;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all adjustment reflected above(c)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acquisition and integration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loss on inter-company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reorganization and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interest rate swap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Pre-tax amortization of intangibles &amp;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all adjustment reflected above(c)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Shares Outstanding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$10,914</w:t>
            </w:r>
          </w:p>
        </w:tc>
        <w:tc>
          <w:tcPr>
            <w:tcW w:w="52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$ 5,421</w:t>
            </w:r>
          </w:p>
        </w:tc>
        <w:tc>
          <w:tcPr>
            <w:tcW w:w="20" w:type="dxa"/>
            <w:vAlign w:val="bottom"/>
          </w:tcPr>
          <w:p>
            <w:pPr>
              <w:spacing w:after="0"/>
              <w:rPr>
                <w:sz w:val="16"/>
                <w:szCs w:val="16"/>
                <w:color w:val="auto"/>
              </w:rPr>
            </w:pPr>
          </w:p>
        </w:tc>
      </w:tr>
      <w:tr>
        <w:trPr>
          <w:trHeight w:val="230"/>
        </w:trPr>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2,777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4,966</w:t>
      </w:r>
      <w:r>
        <w:rPr>
          <w:rFonts w:ascii="Arial" w:cs="Arial" w:eastAsia="Arial" w:hAnsi="Arial"/>
          <w:sz w:val="15"/>
          <w:szCs w:val="15"/>
          <w:color w:val="auto"/>
        </w:rPr>
        <w:t>4,983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377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5715</wp:posOffset>
            </wp:positionV>
            <wp:extent cx="377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$15,980</w:t>
      </w:r>
      <w:r>
        <w:rPr>
          <w:sz w:val="20"/>
          <w:szCs w:val="20"/>
          <w:color w:val="auto"/>
        </w:rPr>
        <w:tab/>
      </w:r>
      <w:r>
        <w:rPr>
          <w:rFonts w:ascii="Arial" w:cs="Arial" w:eastAsia="Arial" w:hAnsi="Arial"/>
          <w:sz w:val="16"/>
          <w:szCs w:val="16"/>
          <w:u w:val="single" w:color="auto"/>
          <w:color w:val="auto"/>
        </w:rPr>
        <w:t>$13,181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3771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31750</wp:posOffset>
            </wp:positionV>
            <wp:extent cx="3771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3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20.8%</w:t>
      </w:r>
    </w:p>
    <w:p>
      <w:pPr>
        <w:spacing w:after="0" w:line="23"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18"/>
          <w:szCs w:val="18"/>
          <w:color w:val="auto"/>
        </w:rPr>
        <w:t>71,109</w:t>
      </w:r>
      <w:r>
        <w:rPr>
          <w:sz w:val="20"/>
          <w:szCs w:val="20"/>
          <w:color w:val="auto"/>
        </w:rPr>
        <w:tab/>
      </w:r>
      <w:r>
        <w:rPr>
          <w:rFonts w:ascii="Arial" w:cs="Arial" w:eastAsia="Arial" w:hAnsi="Arial"/>
          <w:sz w:val="18"/>
          <w:szCs w:val="18"/>
          <w:color w:val="auto"/>
        </w:rPr>
        <w:t>63,491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Three Months Ended</w:t>
      </w:r>
    </w:p>
    <w:p>
      <w:pPr>
        <w:spacing w:after="0" w:line="5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March 31,</w:t>
      </w:r>
    </w:p>
    <w:tbl>
      <w:tblPr>
        <w:tblLayout w:type="fixed"/>
        <w:tblInd w:w="300" w:type="dxa"/>
        <w:tblCellMar>
          <w:top w:w="0" w:type="dxa"/>
          <w:left w:w="0" w:type="dxa"/>
          <w:bottom w:w="0" w:type="dxa"/>
          <w:right w:w="0" w:type="dxa"/>
        </w:tblCellMar>
      </w:tblPr>
      <w:tr>
        <w:trPr>
          <w:trHeight w:val="159"/>
        </w:trPr>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2"/>
              <w:spacing w:after="0" w:line="159"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2"/>
              <w:spacing w:after="0" w:line="15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9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7,407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4"/>
              </w:rPr>
              <w:t>(1,299)</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3,245</w:t>
            </w:r>
          </w:p>
        </w:tc>
      </w:tr>
      <w:tr>
        <w:trPr>
          <w:trHeight w:val="216"/>
        </w:trPr>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2,945</w:t>
            </w:r>
          </w:p>
        </w:tc>
      </w:tr>
      <w:tr>
        <w:trPr>
          <w:trHeight w:val="216"/>
        </w:trPr>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6,952</w:t>
            </w:r>
          </w:p>
        </w:tc>
      </w:tr>
      <w:tr>
        <w:trPr>
          <w:trHeight w:val="230"/>
        </w:trPr>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(2,166)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(3,842)</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12,869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6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4"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5" w:lineRule="exact"/>
        <w:rPr>
          <w:sz w:val="20"/>
          <w:szCs w:val="20"/>
          <w:color w:val="auto"/>
        </w:rPr>
      </w:pPr>
    </w:p>
    <w:p>
      <w:pPr>
        <w:ind w:left="580" w:hanging="281"/>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0.27    $  (0.05)</w:t>
      </w:r>
    </w:p>
    <w:p>
      <w:pPr>
        <w:spacing w:after="0" w:line="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0.02</w:t>
      </w:r>
      <w:r>
        <w:rPr>
          <w:rFonts w:ascii="Arial" w:cs="Arial" w:eastAsia="Arial" w:hAnsi="Arial"/>
          <w:sz w:val="16"/>
          <w:szCs w:val="16"/>
          <w:color w:val="auto"/>
        </w:rPr>
        <w:t>0.12</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6"/>
          <w:szCs w:val="16"/>
          <w:color w:val="auto"/>
        </w:rPr>
        <w:t>(0.03)</w:t>
      </w:r>
    </w:p>
    <w:p>
      <w:pPr>
        <w:spacing w:after="0" w:line="9"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0.01</w:t>
      </w:r>
      <w:r>
        <w:rPr>
          <w:sz w:val="20"/>
          <w:szCs w:val="20"/>
          <w:color w:val="auto"/>
        </w:rPr>
        <w:tab/>
      </w:r>
      <w:r>
        <w:rPr>
          <w:rFonts w:ascii="Arial" w:cs="Arial" w:eastAsia="Arial" w:hAnsi="Arial"/>
          <w:sz w:val="16"/>
          <w:szCs w:val="16"/>
          <w:color w:val="auto"/>
        </w:rPr>
        <w:t>0.11</w:t>
      </w:r>
    </w:p>
    <w:p>
      <w:pPr>
        <w:spacing w:after="0" w:line="9"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0.26</w:t>
      </w:r>
      <w:r>
        <w:rPr>
          <w:sz w:val="20"/>
          <w:szCs w:val="20"/>
          <w:color w:val="auto"/>
        </w:rPr>
        <w:tab/>
      </w:r>
      <w:r>
        <w:rPr>
          <w:rFonts w:ascii="Arial" w:cs="Arial" w:eastAsia="Arial" w:hAnsi="Arial"/>
          <w:sz w:val="16"/>
          <w:szCs w:val="16"/>
          <w:color w:val="auto"/>
        </w:rPr>
        <w:t>0.26</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(0.08)</w:t>
      </w:r>
      <w:r>
        <w:rPr>
          <w:sz w:val="20"/>
          <w:szCs w:val="20"/>
          <w:color w:val="auto"/>
        </w:rPr>
        <w:tab/>
      </w:r>
      <w:r>
        <w:rPr>
          <w:rFonts w:ascii="Arial" w:cs="Arial" w:eastAsia="Arial" w:hAnsi="Arial"/>
          <w:sz w:val="16"/>
          <w:szCs w:val="16"/>
          <w:color w:val="auto"/>
        </w:rPr>
        <w:t>(0.14)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5715</wp:posOffset>
            </wp:positionV>
            <wp:extent cx="960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580" w:hanging="281"/>
        <w:spacing w:after="0"/>
        <w:tabs>
          <w:tab w:leader="none" w:pos="580"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0.47    $  0.27</w:t>
      </w:r>
    </w:p>
    <w:p>
      <w:pPr>
        <w:spacing w:after="0" w:line="59" w:lineRule="exact"/>
        <w:rPr>
          <w:rFonts w:ascii="Arial" w:cs="Arial" w:eastAsia="Arial" w:hAnsi="Arial"/>
          <w:sz w:val="18"/>
          <w:szCs w:val="18"/>
          <w:u w:val="single" w:color="auto"/>
          <w:color w:val="auto"/>
        </w:rPr>
      </w:pPr>
    </w:p>
    <w:p>
      <w:pPr>
        <w:ind w:left="400"/>
        <w:spacing w:after="0"/>
        <w:rPr>
          <w:rFonts w:ascii="Arial" w:cs="Arial" w:eastAsia="Arial" w:hAnsi="Arial"/>
          <w:sz w:val="18"/>
          <w:szCs w:val="18"/>
          <w:u w:val="single" w:color="auto"/>
          <w:color w:val="auto"/>
        </w:rPr>
      </w:pPr>
      <w:r>
        <w:rPr>
          <w:rFonts w:ascii="Arial" w:cs="Arial" w:eastAsia="Arial" w:hAnsi="Arial"/>
          <w:sz w:val="18"/>
          <w:szCs w:val="18"/>
          <w:b w:val="1"/>
          <w:bCs w:val="1"/>
          <w:color w:val="auto"/>
        </w:rPr>
        <w:t>27,634</w:t>
      </w:r>
      <w:r>
        <w:rPr>
          <w:rFonts w:ascii="Arial" w:cs="Arial" w:eastAsia="Arial" w:hAnsi="Arial"/>
          <w:sz w:val="16"/>
          <w:szCs w:val="16"/>
          <w:b w:val="1"/>
          <w:bCs w:val="1"/>
          <w:color w:val="auto"/>
        </w:rPr>
        <w:t>26,869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-136525</wp:posOffset>
            </wp:positionV>
            <wp:extent cx="960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ectPr>
          <w:pgSz w:w="11900" w:h="16838" w:orient="portrait"/>
          <w:cols w:equalWidth="0" w:num="2">
            <w:col w:w="8780" w:space="720"/>
            <w:col w:w="1880"/>
          </w:cols>
          <w:pgMar w:left="240" w:top="270" w:right="279" w:bottom="1440" w:gutter="0" w:footer="0" w:header="0"/>
        </w:sectPr>
      </w:pPr>
    </w:p>
    <w:bookmarkStart w:id="11" w:name="page12"/>
    <w:bookmarkEnd w:id="11"/>
    <w:p>
      <w:pPr>
        <w:ind w:right="80"/>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net income and adjusted diluted earnings per share. Each of these non-GAAP financial measures provide supplementary information about the impacts of acquisition and integration related expenses, foreign-exchange impacts on inter-company loans reorganizational and impairment charges.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adjusted net income and adjusted diluted earnings per share provide useful information in assessing our underlying business trends and facilitates comparison of our long-term performance over given periods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160" w:firstLine="8"/>
        <w:spacing w:after="0" w:line="291"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non-cash impairment charges (related to plant closures and other charges incurred to implement our strategic goals, that do not necessarily represent a major strategic shift in operations), one-time charges related to acquisition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7" w:lineRule="exact"/>
        <w:rPr>
          <w:rFonts w:ascii="Arial" w:cs="Arial" w:eastAsia="Arial" w:hAnsi="Arial"/>
          <w:sz w:val="16"/>
          <w:szCs w:val="16"/>
          <w:color w:val="auto"/>
        </w:rPr>
      </w:pPr>
    </w:p>
    <w:p>
      <w:pPr>
        <w:ind w:firstLine="8"/>
        <w:spacing w:after="0" w:line="271"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Non-GAAP adjusted net income and adjusted diluted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net income and Non-GAAP adjusted diluted earnings per share, is not a measure of financial performance under GAAP and should not be considered as a measure of liquidity or as an alternative to GAAP net income.</w:t>
      </w:r>
    </w:p>
    <w:p>
      <w:pPr>
        <w:spacing w:after="0" w:line="178" w:lineRule="exact"/>
        <w:rPr>
          <w:rFonts w:ascii="Arial" w:cs="Arial" w:eastAsia="Arial" w:hAnsi="Arial"/>
          <w:sz w:val="17"/>
          <w:szCs w:val="17"/>
          <w:color w:val="auto"/>
        </w:rPr>
      </w:pPr>
    </w:p>
    <w:p>
      <w:pPr>
        <w:ind w:right="60" w:firstLine="8"/>
        <w:spacing w:after="0" w:line="259"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40"/>
    </w:lvl>
  </w:abstractNum>
  <w:abstractNum w:abstractNumId="2">
    <w:nsid w:val="46E87CCD"/>
    <w:multiLevelType w:val="hybridMultilevel"/>
    <w:lvl w:ilvl="0">
      <w:lvlJc w:val="left"/>
      <w:lvlText w:val="%1"/>
      <w:numFmt w:val="upperLetter"/>
      <w:start w:val="40"/>
    </w:lvl>
  </w:abstractNum>
  <w:abstractNum w:abstractNumId="3">
    <w:nsid w:val="3D1B58BA"/>
    <w:multiLevelType w:val="hybridMultilevel"/>
    <w:lvl w:ilvl="0">
      <w:lvlJc w:val="left"/>
      <w:lvlText w:val="\emdash "/>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2019-12-05T23:43:46Z</dcterms:created>
  <dcterms:modified xsi:type="dcterms:W3CDTF">2019-12-05T23:43:46Z</dcterms:modified>
</cp:coreProperties>
</file>