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ind w:left="46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72"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FORM SD</w:t>
      </w:r>
    </w:p>
    <w:p>
      <w:pPr>
        <w:spacing w:after="0" w:line="112" w:lineRule="exact"/>
        <w:rPr>
          <w:sz w:val="24"/>
          <w:szCs w:val="24"/>
          <w:color w:val="auto"/>
        </w:rPr>
      </w:pPr>
    </w:p>
    <w:p>
      <w:pPr>
        <w:jc w:val="center"/>
        <w:ind w:right="-499"/>
        <w:spacing w:after="0"/>
        <w:rPr>
          <w:sz w:val="20"/>
          <w:szCs w:val="20"/>
          <w:color w:val="auto"/>
        </w:rPr>
      </w:pPr>
      <w:r>
        <w:rPr>
          <w:rFonts w:ascii="Arial" w:cs="Arial" w:eastAsia="Arial" w:hAnsi="Arial"/>
          <w:sz w:val="29"/>
          <w:szCs w:val="29"/>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74295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160020</wp:posOffset>
            </wp:positionV>
            <wp:extent cx="394335"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52070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0740"/>
          </w:cols>
          <w:pgMar w:left="320" w:top="1295" w:right="839" w:bottom="1440" w:gutter="0" w:footer="0" w:header="0"/>
        </w:sectPr>
      </w:pPr>
    </w:p>
    <w:p>
      <w:pPr>
        <w:spacing w:after="0" w:line="217"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40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000-23486</w:t>
      </w:r>
    </w:p>
    <w:p>
      <w:pPr>
        <w:spacing w:after="0" w:line="36" w:lineRule="exact"/>
        <w:rPr>
          <w:sz w:val="24"/>
          <w:szCs w:val="24"/>
          <w:color w:val="auto"/>
        </w:rPr>
      </w:pPr>
    </w:p>
    <w:p>
      <w:pPr>
        <w:jc w:val="center"/>
        <w:ind w:right="92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16"/>
          <w:szCs w:val="16"/>
          <w:i w:val="1"/>
          <w:iCs w:val="1"/>
          <w:color w:val="auto"/>
        </w:rPr>
        <w:t>(I.R.S. Employer</w:t>
      </w:r>
    </w:p>
    <w:p>
      <w:pPr>
        <w:jc w:val="center"/>
        <w:ind w:right="1100"/>
        <w:spacing w:after="0"/>
        <w:rPr>
          <w:sz w:val="20"/>
          <w:szCs w:val="20"/>
          <w:color w:val="auto"/>
        </w:rPr>
      </w:pPr>
      <w:r>
        <w:rPr>
          <w:rFonts w:ascii="Arial" w:cs="Arial" w:eastAsia="Arial" w:hAnsi="Arial"/>
          <w:sz w:val="15"/>
          <w:szCs w:val="15"/>
          <w:i w:val="1"/>
          <w:iCs w:val="1"/>
          <w:color w:val="auto"/>
        </w:rPr>
        <w:t>Identification Number)</w:t>
      </w:r>
    </w:p>
    <w:p>
      <w:pPr>
        <w:spacing w:after="0" w:line="200" w:lineRule="exact"/>
        <w:rPr>
          <w:sz w:val="24"/>
          <w:szCs w:val="24"/>
          <w:color w:val="auto"/>
        </w:rPr>
      </w:pPr>
    </w:p>
    <w:p>
      <w:pPr>
        <w:sectPr>
          <w:pgSz w:w="11900" w:h="16838" w:orient="portrait"/>
          <w:cols w:equalWidth="0" w:num="3">
            <w:col w:w="4020" w:space="720"/>
            <w:col w:w="2700" w:space="720"/>
            <w:col w:w="2580"/>
          </w:cols>
          <w:pgMar w:left="320" w:top="1295" w:right="839" w:bottom="1440" w:gutter="0" w:footer="0" w:header="0"/>
          <w:type w:val="continuous"/>
        </w:sectPr>
      </w:pPr>
    </w:p>
    <w:p>
      <w:pPr>
        <w:spacing w:after="0" w:line="177" w:lineRule="exact"/>
        <w:rPr>
          <w:sz w:val="24"/>
          <w:szCs w:val="24"/>
          <w:color w:val="auto"/>
        </w:rPr>
      </w:pPr>
    </w:p>
    <w:p>
      <w:pPr>
        <w:jc w:val="center"/>
        <w:ind w:left="1940"/>
        <w:spacing w:after="0"/>
        <w:rPr>
          <w:sz w:val="20"/>
          <w:szCs w:val="20"/>
          <w:color w:val="auto"/>
        </w:rPr>
      </w:pPr>
      <w:r>
        <w:rPr>
          <w:rFonts w:ascii="Arial" w:cs="Arial" w:eastAsia="Arial" w:hAnsi="Arial"/>
          <w:sz w:val="16"/>
          <w:szCs w:val="16"/>
          <w:b w:val="1"/>
          <w:bCs w:val="1"/>
          <w:color w:val="auto"/>
        </w:rPr>
        <w:t>6210 Ardrey Kell Road, Suite 600</w:t>
      </w:r>
    </w:p>
    <w:p>
      <w:pPr>
        <w:spacing w:after="0" w:line="32" w:lineRule="exact"/>
        <w:rPr>
          <w:sz w:val="24"/>
          <w:szCs w:val="24"/>
          <w:color w:val="auto"/>
        </w:rPr>
      </w:pPr>
    </w:p>
    <w:p>
      <w:pPr>
        <w:jc w:val="center"/>
        <w:ind w:left="1940"/>
        <w:spacing w:after="0"/>
        <w:rPr>
          <w:sz w:val="20"/>
          <w:szCs w:val="20"/>
          <w:color w:val="auto"/>
        </w:rPr>
      </w:pPr>
      <w:r>
        <w:rPr>
          <w:rFonts w:ascii="Arial" w:cs="Arial" w:eastAsia="Arial" w:hAnsi="Arial"/>
          <w:sz w:val="16"/>
          <w:szCs w:val="16"/>
          <w:b w:val="1"/>
          <w:bCs w:val="1"/>
          <w:color w:val="auto"/>
        </w:rPr>
        <w:t>Charlotte, North Carolina</w:t>
      </w:r>
    </w:p>
    <w:p>
      <w:pPr>
        <w:spacing w:after="0" w:line="36" w:lineRule="exact"/>
        <w:rPr>
          <w:sz w:val="24"/>
          <w:szCs w:val="24"/>
          <w:color w:val="auto"/>
        </w:rPr>
      </w:pPr>
    </w:p>
    <w:p>
      <w:pPr>
        <w:jc w:val="center"/>
        <w:ind w:left="19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3" w:lineRule="exact"/>
        <w:rPr>
          <w:sz w:val="24"/>
          <w:szCs w:val="24"/>
          <w:color w:val="auto"/>
        </w:rPr>
      </w:pPr>
    </w:p>
    <w:p>
      <w:pPr>
        <w:jc w:val="center"/>
        <w:ind w:right="2760"/>
        <w:spacing w:after="0"/>
        <w:rPr>
          <w:sz w:val="20"/>
          <w:szCs w:val="20"/>
          <w:color w:val="auto"/>
        </w:rPr>
      </w:pPr>
      <w:r>
        <w:rPr>
          <w:rFonts w:ascii="Arial" w:cs="Arial" w:eastAsia="Arial" w:hAnsi="Arial"/>
          <w:sz w:val="16"/>
          <w:szCs w:val="16"/>
          <w:b w:val="1"/>
          <w:bCs w:val="1"/>
          <w:color w:val="auto"/>
        </w:rPr>
        <w:t>28277</w:t>
      </w:r>
    </w:p>
    <w:p>
      <w:pPr>
        <w:spacing w:after="0" w:line="36" w:lineRule="exact"/>
        <w:rPr>
          <w:sz w:val="24"/>
          <w:szCs w:val="24"/>
          <w:color w:val="auto"/>
        </w:rPr>
      </w:pPr>
    </w:p>
    <w:p>
      <w:pPr>
        <w:jc w:val="center"/>
        <w:ind w:right="276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ectPr>
          <w:pgSz w:w="11900" w:h="16838" w:orient="portrait"/>
          <w:cols w:equalWidth="0" w:num="2">
            <w:col w:w="6560" w:space="720"/>
            <w:col w:w="3460"/>
          </w:cols>
          <w:pgMar w:left="320" w:top="1295" w:right="839" w:bottom="1440" w:gutter="0" w:footer="0" w:header="0"/>
          <w:type w:val="continuous"/>
        </w:sectPr>
      </w:pPr>
    </w:p>
    <w:p>
      <w:pPr>
        <w:spacing w:after="0" w:line="229"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45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289560</wp:posOffset>
            </wp:positionV>
            <wp:extent cx="2125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ectPr>
          <w:pgSz w:w="11900" w:h="16838" w:orient="portrait"/>
          <w:cols w:equalWidth="0" w:num="1">
            <w:col w:w="10740"/>
          </w:cols>
          <w:pgMar w:left="320" w:top="1295" w:right="8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40"/>
          </w:cols>
          <w:pgMar w:left="320" w:top="1295" w:right="839" w:bottom="1440" w:gutter="0" w:footer="0" w:header="0"/>
          <w:type w:val="continuous"/>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period of January 1, 2020 through December 31, 2020,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and Rule 13p-1 and Form SD promulgated thereunder. The Company conducted this evaluation by implementing existing processes and procedures, which are a part of the Company’s overall compliance program.</w:t>
      </w:r>
    </w:p>
    <w:p>
      <w:pPr>
        <w:spacing w:after="0" w:line="21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w:t>
      </w:r>
    </w:p>
    <w:p>
      <w:pPr>
        <w:spacing w:after="0" w:line="20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Based on this review, the Company determined that gold, tin, tantalum and tungsten are the only conflict minerals necessary to the functionality or production of the products manufactured by it or contracted to be manufactured on its behalf. The Company has determined, based on written or oral representations received from its suppliers, (i) that it has no reason to believe that gold, tin, tungsten, tantalum or any other conflict minerals that might appear in its products originated in any Covered Country, or (ii) that any such conflict minerals originated from recycled or scrap materials.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this Form SD is publicly available at the Investor Relations section of the Company’s website at www.nninc.com.</w:t>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24, 2021</w:t>
      </w:r>
    </w:p>
    <w:p>
      <w:pPr>
        <w:spacing w:after="0" w:line="397"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720" w:type="dxa"/>
            <w:vAlign w:val="bottom"/>
          </w:tcPr>
          <w:p>
            <w:pPr>
              <w:spacing w:after="0"/>
              <w:rPr>
                <w:sz w:val="20"/>
                <w:szCs w:val="20"/>
                <w:color w:val="auto"/>
              </w:rPr>
            </w:pPr>
          </w:p>
        </w:tc>
      </w:tr>
      <w:tr>
        <w:trPr>
          <w:trHeight w:val="499"/>
        </w:trPr>
        <w:tc>
          <w:tcPr>
            <w:tcW w:w="206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S. Heiter</w:t>
            </w:r>
          </w:p>
        </w:tc>
      </w:tr>
      <w:tr>
        <w:trPr>
          <w:trHeight w:val="222"/>
        </w:trPr>
        <w:tc>
          <w:tcPr>
            <w:tcW w:w="2060" w:type="dxa"/>
            <w:vAlign w:val="bottom"/>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ind w:left="20"/>
              <w:spacing w:after="0"/>
              <w:rPr>
                <w:sz w:val="20"/>
                <w:szCs w:val="20"/>
                <w:color w:val="auto"/>
              </w:rPr>
            </w:pPr>
            <w:r>
              <w:rPr>
                <w:rFonts w:ascii="Arial" w:cs="Arial" w:eastAsia="Arial" w:hAnsi="Arial"/>
                <w:sz w:val="18"/>
                <w:szCs w:val="18"/>
                <w:color w:val="auto"/>
              </w:rPr>
              <w:t>Matthew S. Heiter</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ind w:left="20"/>
              <w:spacing w:after="0"/>
              <w:rPr>
                <w:sz w:val="20"/>
                <w:szCs w:val="20"/>
                <w:color w:val="auto"/>
              </w:rPr>
            </w:pPr>
            <w:r>
              <w:rPr>
                <w:rFonts w:ascii="Arial" w:cs="Arial" w:eastAsia="Arial" w:hAnsi="Arial"/>
                <w:sz w:val="18"/>
                <w:szCs w:val="18"/>
                <w:color w:val="auto"/>
              </w:rPr>
              <w:t>Senior Vice President, General Counsel</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2021-05-24T10:37:04Z</dcterms:created>
  <dcterms:modified xsi:type="dcterms:W3CDTF">2021-05-24T10:37:04Z</dcterms:modified>
</cp:coreProperties>
</file>