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SECURITIES AND EXCHANGE COMMISSION</w:t>
      </w:r>
    </w:p>
    <w:p>
      <w:pPr>
        <w:ind w:left="8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_____________</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w:t>
      </w:r>
    </w:p>
    <w:p>
      <w:pPr>
        <w:ind w:left="860"/>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spacing w:after="0" w:line="4" w:lineRule="exact"/>
        <w:rPr>
          <w:sz w:val="24"/>
          <w:szCs w:val="24"/>
          <w:color w:val="auto"/>
        </w:rPr>
      </w:pPr>
    </w:p>
    <w:p>
      <w:pPr>
        <w:ind w:left="860" w:right="3259"/>
        <w:spacing w:after="0" w:line="235" w:lineRule="auto"/>
        <w:rPr>
          <w:sz w:val="20"/>
          <w:szCs w:val="20"/>
          <w:color w:val="auto"/>
        </w:rPr>
      </w:pPr>
      <w:r>
        <w:rPr>
          <w:rFonts w:ascii="Courier New" w:cs="Courier New" w:eastAsia="Courier New" w:hAnsi="Courier New"/>
          <w:sz w:val="18"/>
          <w:szCs w:val="18"/>
          <w:color w:val="auto"/>
        </w:rPr>
        <w:t>TO RULES 13d-1(b)(c), AND (d) AND AMENDMENTS THERETO FILED PURSUANT TO RULE 13d-2(b)</w:t>
      </w:r>
    </w:p>
    <w:p>
      <w:pPr>
        <w:ind w:left="860"/>
        <w:spacing w:after="0"/>
        <w:rPr>
          <w:sz w:val="20"/>
          <w:szCs w:val="20"/>
          <w:color w:val="auto"/>
        </w:rPr>
      </w:pPr>
      <w:r>
        <w:rPr>
          <w:rFonts w:ascii="Courier New" w:cs="Courier New" w:eastAsia="Courier New" w:hAnsi="Courier New"/>
          <w:sz w:val="18"/>
          <w:szCs w:val="18"/>
          <w:color w:val="auto"/>
        </w:rPr>
        <w:t>(Amendment No. ____________)</w:t>
      </w:r>
    </w:p>
    <w:p>
      <w:pPr>
        <w:spacing w:after="0" w:line="200" w:lineRule="exact"/>
        <w:rPr>
          <w:sz w:val="24"/>
          <w:szCs w:val="24"/>
          <w:color w:val="auto"/>
        </w:rPr>
      </w:pPr>
    </w:p>
    <w:p>
      <w:pPr>
        <w:spacing w:after="0" w:line="204"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NN INC.</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629337106</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jc w:val="center"/>
        <w:ind w:right="-20"/>
        <w:spacing w:after="0"/>
        <w:rPr>
          <w:sz w:val="20"/>
          <w:szCs w:val="20"/>
          <w:color w:val="auto"/>
        </w:rPr>
      </w:pPr>
      <w:r>
        <w:rPr>
          <w:rFonts w:ascii="Courier New" w:cs="Courier New" w:eastAsia="Courier New" w:hAnsi="Courier New"/>
          <w:sz w:val="18"/>
          <w:szCs w:val="18"/>
          <w:color w:val="auto"/>
        </w:rPr>
        <w:t>December 31, 2014</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860" w:right="7999" w:hanging="536"/>
        <w:spacing w:after="0" w:line="279" w:lineRule="auto"/>
        <w:tabs>
          <w:tab w:leader="none" w:pos="86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Rule 13d-1(c) Rule 13d-1(d)</w:t>
      </w:r>
    </w:p>
    <w:p>
      <w:pPr>
        <w:spacing w:after="0" w:line="200" w:lineRule="exact"/>
        <w:rPr>
          <w:sz w:val="24"/>
          <w:szCs w:val="24"/>
          <w:color w:val="auto"/>
        </w:rPr>
      </w:pPr>
    </w:p>
    <w:p>
      <w:pPr>
        <w:spacing w:after="0" w:line="378"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629337106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4"/>
          <w:szCs w:val="24"/>
          <w:color w:val="auto"/>
        </w:rPr>
      </w:pPr>
    </w:p>
    <w:p>
      <w:pPr>
        <w:spacing w:after="0"/>
        <w:tabs>
          <w:tab w:leader="none" w:pos="620" w:val="left"/>
          <w:tab w:leader="none" w:pos="1460" w:val="left"/>
        </w:tabs>
        <w:rPr>
          <w:sz w:val="20"/>
          <w:szCs w:val="20"/>
          <w:color w:val="auto"/>
        </w:rPr>
      </w:pPr>
      <w:r>
        <w:rPr>
          <w:rFonts w:ascii="Courier New" w:cs="Courier New" w:eastAsia="Courier New" w:hAnsi="Courier New"/>
          <w:sz w:val="18"/>
          <w:szCs w:val="18"/>
          <w:color w:val="auto"/>
        </w:rPr>
        <w:t>Page</w:t>
        <w:tab/>
        <w:t>2 of 6</w:t>
      </w:r>
      <w:r>
        <w:rPr>
          <w:sz w:val="20"/>
          <w:szCs w:val="20"/>
          <w:color w:val="auto"/>
        </w:rPr>
        <w:tab/>
      </w:r>
      <w:r>
        <w:rPr>
          <w:rFonts w:ascii="Courier New" w:cs="Courier New" w:eastAsia="Courier New" w:hAnsi="Courier New"/>
          <w:sz w:val="16"/>
          <w:szCs w:val="16"/>
          <w:color w:val="auto"/>
        </w:rPr>
        <w:t>Pages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spacing w:after="0"/>
        <w:tabs>
          <w:tab w:leader="none" w:pos="2940" w:val="left"/>
        </w:tabs>
        <w:rPr>
          <w:sz w:val="20"/>
          <w:szCs w:val="20"/>
          <w:color w:val="auto"/>
        </w:rPr>
      </w:pPr>
      <w:r>
        <w:rPr>
          <w:rFonts w:ascii="Courier New" w:cs="Courier New" w:eastAsia="Courier New" w:hAnsi="Courier New"/>
          <w:sz w:val="18"/>
          <w:szCs w:val="18"/>
          <w:color w:val="auto"/>
        </w:rPr>
        <w:t>NAMES OF REPORTING PERSONS</w:t>
      </w:r>
      <w:r>
        <w:rPr>
          <w:sz w:val="20"/>
          <w:szCs w:val="20"/>
          <w:color w:val="auto"/>
        </w:rPr>
        <w:tab/>
      </w:r>
      <w:r>
        <w:rPr>
          <w:rFonts w:ascii="Courier New" w:cs="Courier New" w:eastAsia="Courier New" w:hAnsi="Courier New"/>
          <w:sz w:val="16"/>
          <w:szCs w:val="16"/>
          <w:color w:val="auto"/>
        </w:rPr>
        <w:t>Systematic Financial Management, L.P.</w:t>
      </w:r>
    </w:p>
    <w:p>
      <w:pPr>
        <w:spacing w:after="0" w:line="238" w:lineRule="auto"/>
        <w:rPr>
          <w:sz w:val="20"/>
          <w:szCs w:val="20"/>
          <w:color w:val="auto"/>
        </w:rPr>
      </w:pPr>
      <w:r>
        <w:rPr>
          <w:rFonts w:ascii="Courier New" w:cs="Courier New" w:eastAsia="Courier New" w:hAnsi="Courier New"/>
          <w:sz w:val="18"/>
          <w:szCs w:val="18"/>
          <w:color w:val="auto"/>
        </w:rPr>
        <w:t>I.R.S. IDENTIFICATION NO. OF ABOVE PERSONS (ENTITIES ONLY)</w:t>
      </w:r>
    </w:p>
    <w:p>
      <w:pPr>
        <w:spacing w:after="0" w:line="202" w:lineRule="exact"/>
        <w:rPr>
          <w:sz w:val="24"/>
          <w:szCs w:val="24"/>
          <w:color w:val="auto"/>
        </w:rPr>
      </w:pPr>
    </w:p>
    <w:p>
      <w:pPr>
        <w:jc w:val="center"/>
        <w:ind w:right="-320"/>
        <w:spacing w:after="0"/>
        <w:rPr>
          <w:sz w:val="20"/>
          <w:szCs w:val="20"/>
          <w:color w:val="auto"/>
        </w:rPr>
      </w:pPr>
      <w:r>
        <w:rPr>
          <w:rFonts w:ascii="Courier New" w:cs="Courier New" w:eastAsia="Courier New" w:hAnsi="Courier New"/>
          <w:sz w:val="18"/>
          <w:szCs w:val="18"/>
          <w:color w:val="auto"/>
        </w:rPr>
        <w:t>22-3367558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4"/>
          <w:szCs w:val="24"/>
          <w:color w:val="auto"/>
        </w:rPr>
      </w:pPr>
    </w:p>
    <w:p>
      <w:pPr>
        <w:spacing w:after="0"/>
        <w:tabs>
          <w:tab w:leader="none" w:pos="5360" w:val="left"/>
        </w:tabs>
        <w:rPr>
          <w:sz w:val="20"/>
          <w:szCs w:val="20"/>
          <w:color w:val="auto"/>
        </w:rPr>
      </w:pP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6"/>
          <w:szCs w:val="16"/>
          <w:color w:val="auto"/>
        </w:rPr>
        <w:t>N/A</w:t>
      </w:r>
    </w:p>
    <w:p>
      <w:pPr>
        <w:spacing w:after="0" w:line="238" w:lineRule="auto"/>
        <w:rPr>
          <w:sz w:val="20"/>
          <w:szCs w:val="20"/>
          <w:color w:val="auto"/>
        </w:rPr>
      </w:pPr>
      <w:r>
        <w:rPr>
          <w:rFonts w:ascii="Courier New" w:cs="Courier New" w:eastAsia="Courier New" w:hAnsi="Courier New"/>
          <w:sz w:val="18"/>
          <w:szCs w:val="18"/>
          <w:color w:val="auto"/>
        </w:rPr>
        <w:t>(a)</w:t>
      </w:r>
    </w:p>
    <w:p>
      <w:pPr>
        <w:spacing w:after="0"/>
        <w:rPr>
          <w:sz w:val="20"/>
          <w:szCs w:val="20"/>
          <w:color w:val="auto"/>
        </w:rPr>
      </w:pPr>
      <w:r>
        <w:rPr>
          <w:rFonts w:ascii="Courier New" w:cs="Courier New" w:eastAsia="Courier New" w:hAnsi="Courier New"/>
          <w:sz w:val="18"/>
          <w:szCs w:val="18"/>
          <w:color w:val="auto"/>
        </w:rPr>
        <w:t>(b)</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CITIZENSHIP OR PLACE OF ORGANIZATION: Teaneck, New Jersey</w:t>
      </w:r>
    </w:p>
    <w:p>
      <w:pPr>
        <w:spacing w:after="0" w:line="200" w:lineRule="exact"/>
        <w:rPr>
          <w:sz w:val="24"/>
          <w:szCs w:val="24"/>
          <w:color w:val="auto"/>
        </w:rPr>
      </w:pPr>
    </w:p>
    <w:p>
      <w:pPr>
        <w:spacing w:after="0" w:line="209" w:lineRule="exact"/>
        <w:rPr>
          <w:sz w:val="24"/>
          <w:szCs w:val="24"/>
          <w:color w:val="auto"/>
        </w:rPr>
      </w:pPr>
    </w:p>
    <w:p>
      <w:pPr>
        <w:ind w:right="4619"/>
        <w:spacing w:after="0" w:line="235"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SOLE VOTING POWER</w:t>
      </w:r>
    </w:p>
    <w:p>
      <w:pPr>
        <w:jc w:val="center"/>
        <w:ind w:right="-220"/>
        <w:spacing w:after="0" w:line="238" w:lineRule="auto"/>
        <w:rPr>
          <w:sz w:val="20"/>
          <w:szCs w:val="20"/>
          <w:color w:val="auto"/>
        </w:rPr>
      </w:pPr>
      <w:r>
        <w:rPr>
          <w:rFonts w:ascii="Courier New" w:cs="Courier New" w:eastAsia="Courier New" w:hAnsi="Courier New"/>
          <w:sz w:val="18"/>
          <w:szCs w:val="18"/>
          <w:color w:val="auto"/>
        </w:rPr>
        <w:t>711,495</w:t>
      </w:r>
    </w:p>
    <w:p>
      <w:pPr>
        <w:sectPr>
          <w:pgSz w:w="11900" w:h="1685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w:t>
      </w:r>
    </w:p>
    <w:p>
      <w:pPr>
        <w:sectPr>
          <w:pgSz w:w="11900" w:h="16855" w:orient="portrait"/>
          <w:cols w:equalWidth="0" w:num="1">
            <w:col w:w="1021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SHARED VOTING POWER</w:t>
      </w:r>
    </w:p>
    <w:p>
      <w:pPr>
        <w:jc w:val="center"/>
        <w:ind w:right="399"/>
        <w:spacing w:after="0" w:line="238" w:lineRule="auto"/>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DISPOSITIVE POWER</w:t>
      </w:r>
    </w:p>
    <w:p>
      <w:pPr>
        <w:jc w:val="center"/>
        <w:ind w:right="-240"/>
        <w:spacing w:after="0" w:line="238" w:lineRule="auto"/>
        <w:rPr>
          <w:sz w:val="20"/>
          <w:szCs w:val="20"/>
          <w:color w:val="auto"/>
        </w:rPr>
      </w:pPr>
      <w:r>
        <w:rPr>
          <w:rFonts w:ascii="Courier New" w:cs="Courier New" w:eastAsia="Courier New" w:hAnsi="Courier New"/>
          <w:sz w:val="18"/>
          <w:szCs w:val="18"/>
          <w:color w:val="auto"/>
        </w:rPr>
        <w:t>822,253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DISPOSITIVE POWER</w:t>
      </w:r>
    </w:p>
    <w:p>
      <w:pPr>
        <w:jc w:val="center"/>
        <w:ind w:right="399"/>
        <w:spacing w:after="0" w:line="238" w:lineRule="auto"/>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07" w:lineRule="exact"/>
        <w:rPr>
          <w:sz w:val="20"/>
          <w:szCs w:val="20"/>
          <w:color w:val="auto"/>
        </w:rPr>
      </w:pPr>
    </w:p>
    <w:p>
      <w:pPr>
        <w:ind w:left="4740" w:right="3899" w:hanging="4739"/>
        <w:spacing w:after="0" w:line="235" w:lineRule="auto"/>
        <w:rPr>
          <w:sz w:val="20"/>
          <w:szCs w:val="20"/>
          <w:color w:val="auto"/>
        </w:rPr>
      </w:pPr>
      <w:r>
        <w:rPr>
          <w:rFonts w:ascii="Courier New" w:cs="Courier New" w:eastAsia="Courier New" w:hAnsi="Courier New"/>
          <w:sz w:val="18"/>
          <w:szCs w:val="18"/>
          <w:color w:val="auto"/>
        </w:rPr>
        <w:t>AGGREGATE AMOUNT BENEFICIALLY OWNED BY EACH REPORTING PERSON 822,253</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207"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CHECK BOX IF THE AGGREGATE AMOUNT IN ROW (9) EXCLUDES CERTAIN SHARES*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 REPRESENTED BY AMOUNT IN ROW 9: 4.36%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w:t>
      </w:r>
    </w:p>
    <w:p>
      <w:pPr>
        <w:ind w:left="220"/>
        <w:spacing w:after="0" w:line="238" w:lineRule="auto"/>
        <w:rPr>
          <w:sz w:val="20"/>
          <w:szCs w:val="20"/>
          <w:color w:val="auto"/>
        </w:rPr>
      </w:pPr>
      <w:r>
        <w:rPr>
          <w:rFonts w:ascii="Courier New" w:cs="Courier New" w:eastAsia="Courier New" w:hAnsi="Courier New"/>
          <w:sz w:val="18"/>
          <w:szCs w:val="18"/>
          <w:color w:val="auto"/>
        </w:rPr>
        <w:t>IA</w:t>
      </w:r>
    </w:p>
    <w:p>
      <w:pPr>
        <w:ind w:left="86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2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629337106</w:t>
            </w:r>
          </w:p>
        </w:tc>
        <w:tc>
          <w:tcPr>
            <w:tcW w:w="4600" w:type="dxa"/>
            <w:vAlign w:val="bottom"/>
          </w:tcPr>
          <w:p>
            <w:pPr>
              <w:spacing w:after="0"/>
              <w:rPr>
                <w:sz w:val="17"/>
                <w:szCs w:val="17"/>
                <w:color w:val="auto"/>
              </w:rPr>
            </w:pP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13G</w:t>
            </w:r>
          </w:p>
        </w:tc>
        <w:tc>
          <w:tcPr>
            <w:tcW w:w="104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Page  3 of</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6  Pages</w:t>
            </w:r>
          </w:p>
        </w:tc>
        <w:tc>
          <w:tcPr>
            <w:tcW w:w="4600" w:type="dxa"/>
            <w:vAlign w:val="bottom"/>
          </w:tcPr>
          <w:p>
            <w:pPr>
              <w:spacing w:after="0"/>
              <w:rPr>
                <w:sz w:val="24"/>
                <w:szCs w:val="24"/>
                <w:color w:val="auto"/>
              </w:rPr>
            </w:pP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564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Name of Issuer:</w:t>
            </w:r>
          </w:p>
        </w:tc>
      </w:tr>
      <w:tr>
        <w:trPr>
          <w:trHeight w:val="405"/>
        </w:trPr>
        <w:tc>
          <w:tcPr>
            <w:tcW w:w="1120" w:type="dxa"/>
            <w:vAlign w:val="bottom"/>
          </w:tcPr>
          <w:p>
            <w:pPr>
              <w:spacing w:after="0"/>
              <w:rPr>
                <w:sz w:val="24"/>
                <w:szCs w:val="24"/>
                <w:color w:val="auto"/>
              </w:rPr>
            </w:pPr>
          </w:p>
        </w:tc>
        <w:tc>
          <w:tcPr>
            <w:tcW w:w="564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NN INC.</w:t>
            </w: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5640" w:type="dxa"/>
            <w:vAlign w:val="bottom"/>
            <w:gridSpan w:val="2"/>
          </w:tcPr>
          <w:p>
            <w:pPr>
              <w:ind w:left="580"/>
              <w:spacing w:after="0"/>
              <w:rPr>
                <w:sz w:val="20"/>
                <w:szCs w:val="20"/>
                <w:color w:val="auto"/>
              </w:rPr>
            </w:pPr>
            <w:r>
              <w:rPr>
                <w:rFonts w:ascii="Courier New" w:cs="Courier New" w:eastAsia="Courier New" w:hAnsi="Courier New"/>
                <w:sz w:val="18"/>
                <w:szCs w:val="18"/>
                <w:color w:val="auto"/>
                <w:w w:val="97"/>
              </w:rPr>
              <w:t>Address of Issuer's Principal Executive Offices:</w:t>
            </w:r>
          </w:p>
        </w:tc>
      </w:tr>
      <w:tr>
        <w:trPr>
          <w:trHeight w:val="405"/>
        </w:trPr>
        <w:tc>
          <w:tcPr>
            <w:tcW w:w="1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2000</w:t>
            </w:r>
          </w:p>
        </w:tc>
        <w:tc>
          <w:tcPr>
            <w:tcW w:w="4600" w:type="dxa"/>
            <w:vAlign w:val="bottom"/>
          </w:tcPr>
          <w:p>
            <w:pPr>
              <w:ind w:left="60"/>
              <w:spacing w:after="0"/>
              <w:rPr>
                <w:sz w:val="20"/>
                <w:szCs w:val="20"/>
                <w:color w:val="auto"/>
              </w:rPr>
            </w:pPr>
            <w:r>
              <w:rPr>
                <w:rFonts w:ascii="Courier New" w:cs="Courier New" w:eastAsia="Courier New" w:hAnsi="Courier New"/>
                <w:sz w:val="18"/>
                <w:szCs w:val="18"/>
                <w:color w:val="auto"/>
              </w:rPr>
              <w:t>WATERS EDGE DRIVE, JOHNSON CITY, TN 37604</w:t>
            </w: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1040" w:type="dxa"/>
            <w:vAlign w:val="bottom"/>
          </w:tcPr>
          <w:p>
            <w:pPr>
              <w:ind w:left="580"/>
              <w:spacing w:after="0"/>
              <w:rPr>
                <w:sz w:val="20"/>
                <w:szCs w:val="20"/>
                <w:color w:val="auto"/>
              </w:rPr>
            </w:pPr>
            <w:r>
              <w:rPr>
                <w:rFonts w:ascii="Courier New" w:cs="Courier New" w:eastAsia="Courier New" w:hAnsi="Courier New"/>
                <w:sz w:val="18"/>
                <w:szCs w:val="18"/>
                <w:color w:val="auto"/>
              </w:rPr>
              <w:t>Name</w:t>
            </w:r>
          </w:p>
        </w:tc>
        <w:tc>
          <w:tcPr>
            <w:tcW w:w="4600" w:type="dxa"/>
            <w:vAlign w:val="bottom"/>
          </w:tcPr>
          <w:p>
            <w:pPr>
              <w:ind w:left="60"/>
              <w:spacing w:after="0"/>
              <w:rPr>
                <w:sz w:val="20"/>
                <w:szCs w:val="20"/>
                <w:color w:val="auto"/>
              </w:rPr>
            </w:pPr>
            <w:r>
              <w:rPr>
                <w:rFonts w:ascii="Courier New" w:cs="Courier New" w:eastAsia="Courier New" w:hAnsi="Courier New"/>
                <w:sz w:val="18"/>
                <w:szCs w:val="18"/>
                <w:color w:val="auto"/>
              </w:rPr>
              <w:t>of Person Filing:</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Michele Egeberg, Compliance Officer &amp; Manager</w:t>
      </w:r>
    </w:p>
    <w:p>
      <w:pPr>
        <w:spacing w:after="0" w:line="238" w:lineRule="auto"/>
        <w:rPr>
          <w:sz w:val="20"/>
          <w:szCs w:val="20"/>
          <w:color w:val="auto"/>
        </w:rPr>
      </w:pPr>
      <w:r>
        <w:rPr>
          <w:rFonts w:ascii="Courier New" w:cs="Courier New" w:eastAsia="Courier New" w:hAnsi="Courier New"/>
          <w:sz w:val="18"/>
          <w:szCs w:val="18"/>
          <w:color w:val="auto"/>
        </w:rPr>
        <w:t>on behalf of SYSTEMATIC FINANCIAL MANAGEMENT, LP</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300 FRANK W. BURR BLVD., GLENPOINTE EAST, 7TH FLOOR, TEANECK, NJ 07666</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 U.S.A.</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 Common Stock</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 629337106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w:t>
      </w:r>
    </w:p>
    <w:p>
      <w:pPr>
        <w:sectPr>
          <w:pgSz w:w="11900" w:h="16838" w:orient="portrait"/>
          <w:cols w:equalWidth="0" w:num="1">
            <w:col w:w="10219"/>
          </w:cols>
          <w:pgMar w:left="240" w:top="339"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or 13d-2(b) or (c), Check Whether the Person Filing is a:</w:t>
      </w:r>
    </w:p>
    <w:p>
      <w:pPr>
        <w:spacing w:after="0" w:line="201" w:lineRule="exact"/>
        <w:rPr>
          <w:sz w:val="20"/>
          <w:szCs w:val="20"/>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Broker or dealer registered under Section 15 of the Exchange Act.</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 as defined in Section 3(a)(6) of the Exchange Act.</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company as defined in Section 3(a)(19) of the Exchange Act.</w:t>
      </w:r>
    </w:p>
    <w:p>
      <w:pPr>
        <w:spacing w:after="0" w:line="206" w:lineRule="exact"/>
        <w:rPr>
          <w:rFonts w:ascii="Courier New" w:cs="Courier New" w:eastAsia="Courier New" w:hAnsi="Courier New"/>
          <w:sz w:val="18"/>
          <w:szCs w:val="18"/>
          <w:color w:val="auto"/>
        </w:rPr>
      </w:pPr>
    </w:p>
    <w:p>
      <w:pPr>
        <w:ind w:left="860" w:right="1879" w:hanging="852"/>
        <w:spacing w:after="0" w:line="235"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registered under Section 8 of the Investment Company Act.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629337106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tabs>
          <w:tab w:leader="none" w:pos="620" w:val="left"/>
          <w:tab w:leader="none" w:pos="1460" w:val="left"/>
        </w:tabs>
        <w:rPr>
          <w:sz w:val="20"/>
          <w:szCs w:val="20"/>
          <w:color w:val="auto"/>
        </w:rPr>
      </w:pPr>
      <w:r>
        <w:rPr>
          <w:rFonts w:ascii="Courier New" w:cs="Courier New" w:eastAsia="Courier New" w:hAnsi="Courier New"/>
          <w:sz w:val="18"/>
          <w:szCs w:val="18"/>
          <w:color w:val="auto"/>
        </w:rPr>
        <w:t>Page</w:t>
        <w:tab/>
        <w:t>4 of 6</w:t>
      </w:r>
      <w:r>
        <w:rPr>
          <w:sz w:val="20"/>
          <w:szCs w:val="20"/>
          <w:color w:val="auto"/>
        </w:rPr>
        <w:tab/>
      </w:r>
      <w:r>
        <w:rPr>
          <w:rFonts w:ascii="Courier New" w:cs="Courier New" w:eastAsia="Courier New" w:hAnsi="Courier New"/>
          <w:sz w:val="16"/>
          <w:szCs w:val="16"/>
          <w:color w:val="auto"/>
        </w:rPr>
        <w:t>Pages</w:t>
      </w:r>
    </w:p>
    <w:p>
      <w:pPr>
        <w:spacing w:after="0" w:line="201" w:lineRule="exact"/>
        <w:rPr>
          <w:sz w:val="20"/>
          <w:szCs w:val="20"/>
          <w:color w:val="auto"/>
        </w:rPr>
      </w:pPr>
    </w:p>
    <w:p>
      <w:pPr>
        <w:ind w:left="640" w:hanging="632"/>
        <w:spacing w:after="0"/>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Rule 13d-1(b)(1)(ii)(E);</w:t>
      </w:r>
    </w:p>
    <w:p>
      <w:pPr>
        <w:spacing w:after="0" w:line="206" w:lineRule="exact"/>
        <w:rPr>
          <w:rFonts w:ascii="Courier New" w:cs="Courier New" w:eastAsia="Courier New" w:hAnsi="Courier New"/>
          <w:sz w:val="18"/>
          <w:szCs w:val="18"/>
          <w:color w:val="auto"/>
        </w:rPr>
      </w:pPr>
    </w:p>
    <w:p>
      <w:pPr>
        <w:ind w:left="1060" w:right="4619" w:hanging="1052"/>
        <w:spacing w:after="0" w:line="290" w:lineRule="auto"/>
        <w:tabs>
          <w:tab w:leader="none" w:pos="10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employee benefit plan or endowment fund in accordance with Rule 13d-1(b)(1)(ii)(F);</w:t>
      </w:r>
    </w:p>
    <w:p>
      <w:pPr>
        <w:spacing w:after="0" w:line="169" w:lineRule="exact"/>
        <w:rPr>
          <w:rFonts w:ascii="Courier New" w:cs="Courier New" w:eastAsia="Courier New" w:hAnsi="Courier New"/>
          <w:sz w:val="16"/>
          <w:szCs w:val="16"/>
          <w:color w:val="auto"/>
        </w:rPr>
      </w:pPr>
    </w:p>
    <w:p>
      <w:pPr>
        <w:ind w:left="1060" w:right="4619" w:hanging="1052"/>
        <w:spacing w:after="0" w:line="290" w:lineRule="auto"/>
        <w:tabs>
          <w:tab w:leader="none" w:pos="10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parent holding company or control person in accordance with Rule 13d-1(b)(1)(ii)(G);</w:t>
      </w:r>
    </w:p>
    <w:p>
      <w:pPr>
        <w:spacing w:after="0" w:line="164" w:lineRule="exact"/>
        <w:rPr>
          <w:rFonts w:ascii="Courier New" w:cs="Courier New" w:eastAsia="Courier New" w:hAnsi="Courier New"/>
          <w:sz w:val="16"/>
          <w:szCs w:val="16"/>
          <w:color w:val="auto"/>
        </w:rPr>
      </w:pPr>
    </w:p>
    <w:p>
      <w:pPr>
        <w:ind w:left="1060" w:hanging="1052"/>
        <w:spacing w:after="0"/>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savings association as defined in</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Section 3(b) of the Federal Deposit Insurance Act;</w:t>
      </w:r>
    </w:p>
    <w:p>
      <w:pPr>
        <w:spacing w:after="0" w:line="207" w:lineRule="exact"/>
        <w:rPr>
          <w:rFonts w:ascii="Courier New" w:cs="Courier New" w:eastAsia="Courier New" w:hAnsi="Courier New"/>
          <w:sz w:val="18"/>
          <w:szCs w:val="18"/>
          <w:color w:val="auto"/>
        </w:rPr>
      </w:pPr>
    </w:p>
    <w:p>
      <w:pPr>
        <w:ind w:left="1060" w:right="4199" w:hanging="1052"/>
        <w:spacing w:after="0" w:line="279" w:lineRule="auto"/>
        <w:tabs>
          <w:tab w:leader="none" w:pos="10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church plan that is excluded from the definition of an investment company under Section 3(c)(14) of the Investment Company Act;</w:t>
      </w:r>
    </w:p>
    <w:p>
      <w:pPr>
        <w:spacing w:after="0" w:line="172" w:lineRule="exact"/>
        <w:rPr>
          <w:rFonts w:ascii="Courier New" w:cs="Courier New" w:eastAsia="Courier New" w:hAnsi="Courier New"/>
          <w:sz w:val="16"/>
          <w:szCs w:val="16"/>
          <w:color w:val="auto"/>
        </w:rPr>
      </w:pPr>
    </w:p>
    <w:p>
      <w:pPr>
        <w:ind w:left="1060" w:hanging="1052"/>
        <w:spacing w:after="0"/>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Group, in accordance with Rule 13d-1(b)(1)(ii)(J).</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0" w:lineRule="exact"/>
        <w:rPr>
          <w:sz w:val="20"/>
          <w:szCs w:val="20"/>
          <w:color w:val="auto"/>
        </w:rPr>
      </w:pPr>
    </w:p>
    <w:p>
      <w:pPr>
        <w:spacing w:after="0" w:line="204" w:lineRule="exact"/>
        <w:rPr>
          <w:sz w:val="20"/>
          <w:szCs w:val="20"/>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822,253</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4.36%</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(i)</w:t>
            </w:r>
          </w:p>
        </w:tc>
        <w:tc>
          <w:tcPr>
            <w:tcW w:w="620" w:type="dxa"/>
            <w:vAlign w:val="bottom"/>
          </w:tcPr>
          <w:p>
            <w:pPr>
              <w:ind w:left="160"/>
              <w:spacing w:after="0"/>
              <w:rPr>
                <w:sz w:val="20"/>
                <w:szCs w:val="20"/>
                <w:color w:val="auto"/>
              </w:rPr>
            </w:pPr>
            <w:r>
              <w:rPr>
                <w:rFonts w:ascii="Courier New" w:cs="Courier New" w:eastAsia="Courier New" w:hAnsi="Courier New"/>
                <w:sz w:val="18"/>
                <w:szCs w:val="18"/>
                <w:color w:val="auto"/>
              </w:rPr>
              <w:t>Sole</w:t>
            </w:r>
          </w:p>
        </w:tc>
        <w:tc>
          <w:tcPr>
            <w:tcW w:w="428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power to vote or to direct the vote</w:t>
            </w:r>
          </w:p>
        </w:tc>
        <w:tc>
          <w:tcPr>
            <w:tcW w:w="1100" w:type="dxa"/>
            <w:vAlign w:val="bottom"/>
          </w:tcPr>
          <w:p>
            <w:pPr>
              <w:ind w:left="300"/>
              <w:spacing w:after="0"/>
              <w:rPr>
                <w:sz w:val="20"/>
                <w:szCs w:val="20"/>
                <w:color w:val="auto"/>
              </w:rPr>
            </w:pPr>
            <w:r>
              <w:rPr>
                <w:rFonts w:ascii="Courier New" w:cs="Courier New" w:eastAsia="Courier New" w:hAnsi="Courier New"/>
                <w:sz w:val="18"/>
                <w:szCs w:val="18"/>
                <w:color w:val="auto"/>
              </w:rPr>
              <w:t>711,495</w:t>
            </w:r>
          </w:p>
        </w:tc>
        <w:tc>
          <w:tcPr>
            <w:tcW w:w="780" w:type="dxa"/>
            <w:vAlign w:val="bottom"/>
          </w:tcPr>
          <w:p>
            <w:pPr>
              <w:spacing w:after="0"/>
              <w:rPr>
                <w:sz w:val="17"/>
                <w:szCs w:val="17"/>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(ii)</w:t>
            </w:r>
          </w:p>
        </w:tc>
        <w:tc>
          <w:tcPr>
            <w:tcW w:w="146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8"/>
              </w:rPr>
              <w:t>Shared power</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to</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w w:val="99"/>
              </w:rPr>
              <w:t>vote or to</w:t>
            </w:r>
          </w:p>
        </w:tc>
        <w:tc>
          <w:tcPr>
            <w:tcW w:w="1960" w:type="dxa"/>
            <w:vAlign w:val="bottom"/>
          </w:tcPr>
          <w:p>
            <w:pPr>
              <w:ind w:left="60"/>
              <w:spacing w:after="0"/>
              <w:rPr>
                <w:sz w:val="20"/>
                <w:szCs w:val="20"/>
                <w:color w:val="auto"/>
              </w:rPr>
            </w:pPr>
            <w:r>
              <w:rPr>
                <w:rFonts w:ascii="Courier New" w:cs="Courier New" w:eastAsia="Courier New" w:hAnsi="Courier New"/>
                <w:sz w:val="18"/>
                <w:szCs w:val="18"/>
                <w:color w:val="auto"/>
              </w:rPr>
              <w:t>direct the vote</w:t>
            </w:r>
          </w:p>
        </w:tc>
        <w:tc>
          <w:tcPr>
            <w:tcW w:w="1100" w:type="dxa"/>
            <w:vAlign w:val="bottom"/>
          </w:tcPr>
          <w:p>
            <w:pPr>
              <w:ind w:left="300"/>
              <w:spacing w:after="0"/>
              <w:rPr>
                <w:sz w:val="20"/>
                <w:szCs w:val="20"/>
                <w:color w:val="auto"/>
              </w:rPr>
            </w:pPr>
            <w:r>
              <w:rPr>
                <w:rFonts w:ascii="Courier New" w:cs="Courier New" w:eastAsia="Courier New" w:hAnsi="Courier New"/>
                <w:sz w:val="18"/>
                <w:szCs w:val="18"/>
                <w:color w:val="auto"/>
              </w:rPr>
              <w:t>0</w:t>
            </w:r>
          </w:p>
        </w:tc>
        <w:tc>
          <w:tcPr>
            <w:tcW w:w="780" w:type="dxa"/>
            <w:vAlign w:val="bottom"/>
          </w:tcPr>
          <w:p>
            <w:pPr>
              <w:spacing w:after="0"/>
              <w:rPr>
                <w:sz w:val="24"/>
                <w:szCs w:val="24"/>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(iii)</w:t>
            </w:r>
          </w:p>
        </w:tc>
        <w:tc>
          <w:tcPr>
            <w:tcW w:w="620" w:type="dxa"/>
            <w:vAlign w:val="bottom"/>
          </w:tcPr>
          <w:p>
            <w:pPr>
              <w:ind w:left="160"/>
              <w:spacing w:after="0"/>
              <w:rPr>
                <w:sz w:val="20"/>
                <w:szCs w:val="20"/>
                <w:color w:val="auto"/>
              </w:rPr>
            </w:pPr>
            <w:r>
              <w:rPr>
                <w:rFonts w:ascii="Courier New" w:cs="Courier New" w:eastAsia="Courier New" w:hAnsi="Courier New"/>
                <w:sz w:val="18"/>
                <w:szCs w:val="18"/>
                <w:color w:val="auto"/>
              </w:rPr>
              <w:t>Sole</w:t>
            </w:r>
          </w:p>
        </w:tc>
        <w:tc>
          <w:tcPr>
            <w:tcW w:w="5380" w:type="dxa"/>
            <w:vAlign w:val="bottom"/>
            <w:gridSpan w:val="5"/>
          </w:tcPr>
          <w:p>
            <w:pPr>
              <w:ind w:left="60"/>
              <w:spacing w:after="0"/>
              <w:rPr>
                <w:sz w:val="20"/>
                <w:szCs w:val="20"/>
                <w:color w:val="auto"/>
              </w:rPr>
            </w:pPr>
            <w:r>
              <w:rPr>
                <w:rFonts w:ascii="Courier New" w:cs="Courier New" w:eastAsia="Courier New" w:hAnsi="Courier New"/>
                <w:sz w:val="18"/>
                <w:szCs w:val="18"/>
                <w:color w:val="auto"/>
              </w:rPr>
              <w:t>power to dispose or to direct the disposition of</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822,253</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(iv)</w:t>
            </w:r>
          </w:p>
        </w:tc>
        <w:tc>
          <w:tcPr>
            <w:tcW w:w="146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8"/>
              </w:rPr>
              <w:t>Shared power</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to</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w w:val="99"/>
              </w:rPr>
              <w:t>dispose or</w:t>
            </w:r>
          </w:p>
        </w:tc>
        <w:tc>
          <w:tcPr>
            <w:tcW w:w="30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to direct the disposition of</w:t>
            </w:r>
          </w:p>
        </w:tc>
        <w:tc>
          <w:tcPr>
            <w:tcW w:w="7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629337106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tabs>
          <w:tab w:leader="none" w:pos="620" w:val="left"/>
          <w:tab w:leader="none" w:pos="1460" w:val="left"/>
        </w:tabs>
        <w:rPr>
          <w:sz w:val="20"/>
          <w:szCs w:val="20"/>
          <w:color w:val="auto"/>
        </w:rPr>
      </w:pPr>
      <w:r>
        <w:rPr>
          <w:rFonts w:ascii="Courier New" w:cs="Courier New" w:eastAsia="Courier New" w:hAnsi="Courier New"/>
          <w:sz w:val="18"/>
          <w:szCs w:val="18"/>
          <w:color w:val="auto"/>
        </w:rPr>
        <w:t>Page</w:t>
        <w:tab/>
        <w:t>5 of 6</w:t>
      </w:r>
      <w:r>
        <w:rPr>
          <w:sz w:val="20"/>
          <w:szCs w:val="20"/>
          <w:color w:val="auto"/>
        </w:rPr>
        <w:tab/>
      </w:r>
      <w:r>
        <w:rPr>
          <w:rFonts w:ascii="Courier New" w:cs="Courier New" w:eastAsia="Courier New" w:hAnsi="Courier New"/>
          <w:sz w:val="16"/>
          <w:szCs w:val="16"/>
          <w:color w:val="auto"/>
        </w:rPr>
        <w:t>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X ]</w:t>
      </w:r>
    </w:p>
    <w:p>
      <w:pPr>
        <w:spacing w:after="0" w:line="200" w:lineRule="exact"/>
        <w:rPr>
          <w:sz w:val="20"/>
          <w:szCs w:val="20"/>
          <w:color w:val="auto"/>
        </w:rPr>
      </w:pPr>
    </w:p>
    <w:p>
      <w:pPr>
        <w:spacing w:after="0" w:line="206" w:lineRule="exact"/>
        <w:rPr>
          <w:sz w:val="20"/>
          <w:szCs w:val="20"/>
          <w:color w:val="auto"/>
        </w:rPr>
      </w:pPr>
    </w:p>
    <w:p>
      <w:pPr>
        <w:spacing w:after="0"/>
        <w:tabs>
          <w:tab w:leader="none" w:pos="7680" w:val="left"/>
        </w:tabs>
        <w:rPr>
          <w:sz w:val="20"/>
          <w:szCs w:val="20"/>
          <w:color w:val="auto"/>
        </w:rPr>
      </w:pPr>
      <w:r>
        <w:rPr>
          <w:rFonts w:ascii="Courier New" w:cs="Courier New" w:eastAsia="Courier New" w:hAnsi="Courier New"/>
          <w:sz w:val="18"/>
          <w:szCs w:val="18"/>
          <w:color w:val="auto"/>
        </w:rPr>
        <w:t>Item 6. Ownership of More than Five Percent on Behalf of Another Person</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9" w:lineRule="exact"/>
        <w:rPr>
          <w:sz w:val="20"/>
          <w:szCs w:val="20"/>
          <w:color w:val="auto"/>
        </w:rPr>
      </w:pPr>
    </w:p>
    <w:p>
      <w:pPr>
        <w:ind w:right="2419"/>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 N/A</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 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 N/A</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[If filed pursuant to Rule 13d-1(b)]:</w:t>
      </w:r>
    </w:p>
    <w:p>
      <w:pPr>
        <w:spacing w:after="0" w:line="207" w:lineRule="exact"/>
        <w:rPr>
          <w:sz w:val="20"/>
          <w:szCs w:val="20"/>
          <w:color w:val="auto"/>
        </w:rPr>
      </w:pPr>
    </w:p>
    <w:p>
      <w:pPr>
        <w:ind w:right="35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w:t>
      </w:r>
    </w:p>
    <w:p>
      <w:pPr>
        <w:spacing w:after="0" w:line="1" w:lineRule="exact"/>
        <w:rPr>
          <w:sz w:val="20"/>
          <w:szCs w:val="20"/>
          <w:color w:val="auto"/>
        </w:rPr>
      </w:pPr>
    </w:p>
    <w:p>
      <w:pPr>
        <w:ind w:right="2839"/>
        <w:spacing w:after="0" w:line="279" w:lineRule="auto"/>
        <w:rPr>
          <w:sz w:val="20"/>
          <w:szCs w:val="20"/>
          <w:color w:val="auto"/>
        </w:rPr>
      </w:pPr>
      <w:r>
        <w:rPr>
          <w:rFonts w:ascii="Courier New" w:cs="Courier New" w:eastAsia="Courier New" w:hAnsi="Courier New"/>
          <w:sz w:val="16"/>
          <w:szCs w:val="16"/>
          <w:color w:val="auto"/>
        </w:rPr>
        <w:t>of changing or influencing the control of the issuer of the securities and were not acquired and are not held in connection with or as a participant in any transaction having that purpose or effect.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filed pursuant to Rule 13d-1(c)]:</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629337106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tabs>
          <w:tab w:leader="none" w:pos="620" w:val="left"/>
          <w:tab w:leader="none" w:pos="1460" w:val="left"/>
        </w:tabs>
        <w:rPr>
          <w:sz w:val="20"/>
          <w:szCs w:val="20"/>
          <w:color w:val="auto"/>
        </w:rPr>
      </w:pPr>
      <w:r>
        <w:rPr>
          <w:rFonts w:ascii="Courier New" w:cs="Courier New" w:eastAsia="Courier New" w:hAnsi="Courier New"/>
          <w:sz w:val="18"/>
          <w:szCs w:val="18"/>
          <w:color w:val="auto"/>
        </w:rPr>
        <w:t>Page</w:t>
        <w:tab/>
        <w:t>6 of 6</w:t>
      </w:r>
      <w:r>
        <w:rPr>
          <w:sz w:val="20"/>
          <w:szCs w:val="20"/>
          <w:color w:val="auto"/>
        </w:rPr>
        <w:tab/>
      </w:r>
      <w:r>
        <w:rPr>
          <w:rFonts w:ascii="Courier New" w:cs="Courier New" w:eastAsia="Courier New" w:hAnsi="Courier New"/>
          <w:sz w:val="16"/>
          <w:szCs w:val="16"/>
          <w:color w:val="auto"/>
        </w:rPr>
        <w:t>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February 10, 2015</w:t>
      </w:r>
    </w:p>
    <w:p>
      <w:pPr>
        <w:ind w:left="2540"/>
        <w:spacing w:after="0" w:line="238" w:lineRule="auto"/>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Michele Egeberg, Compliance Officer &amp; Manager</w:t>
      </w:r>
    </w:p>
    <w:p>
      <w:pPr>
        <w:ind w:left="2640"/>
        <w:spacing w:after="0" w:line="238" w:lineRule="auto"/>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5"/>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2019-12-16T20:20:54Z</dcterms:created>
  <dcterms:modified xsi:type="dcterms:W3CDTF">2019-12-16T20:20:54Z</dcterms:modified>
</cp:coreProperties>
</file>