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421005</wp:posOffset>
            </wp:positionV>
            <wp:extent cx="7250430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DC 20549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CURRENT REPORT</w:t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Date of Report (Date of earliest event reported): May 20, 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3349625</wp:posOffset>
            </wp:positionH>
            <wp:positionV relativeFrom="paragraph">
              <wp:posOffset>165735</wp:posOffset>
            </wp:positionV>
            <wp:extent cx="565785" cy="5575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NN,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99695</wp:posOffset>
            </wp:positionV>
            <wp:extent cx="7263765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37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(Exact name of registrant as specified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9" w:lineRule="exact"/>
        <w:rPr>
          <w:sz w:val="24"/>
          <w:szCs w:val="24"/>
          <w:color w:val="auto"/>
        </w:rPr>
      </w:pPr>
    </w:p>
    <w:tbl>
      <w:tblPr>
        <w:tblLayout w:type="fixed"/>
        <w:tblInd w:w="3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3800" w:type="dxa"/>
            <w:vAlign w:val="bottom"/>
          </w:tcPr>
          <w:p>
            <w:pPr>
              <w:jc w:val="center"/>
              <w:ind w:righ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3"/>
              </w:rPr>
              <w:t>Delaware</w:t>
            </w:r>
          </w:p>
        </w:tc>
        <w:tc>
          <w:tcPr>
            <w:tcW w:w="3400" w:type="dxa"/>
            <w:vAlign w:val="bottom"/>
          </w:tcPr>
          <w:p>
            <w:pPr>
              <w:jc w:val="right"/>
              <w:ind w:right="1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0-23486</w:t>
            </w:r>
          </w:p>
        </w:tc>
        <w:tc>
          <w:tcPr>
            <w:tcW w:w="3260" w:type="dxa"/>
            <w:vAlign w:val="bottom"/>
          </w:tcPr>
          <w:p>
            <w:pPr>
              <w:jc w:val="right"/>
              <w:ind w:righ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62-1096725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3800" w:type="dxa"/>
            <w:vAlign w:val="bottom"/>
          </w:tcPr>
          <w:p>
            <w:pPr>
              <w:jc w:val="center"/>
              <w:ind w:righ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(State or other jurisdiction of incorporation)</w:t>
            </w:r>
          </w:p>
        </w:tc>
        <w:tc>
          <w:tcPr>
            <w:tcW w:w="3400" w:type="dxa"/>
            <w:vAlign w:val="bottom"/>
          </w:tcPr>
          <w:p>
            <w:pPr>
              <w:jc w:val="center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(Commission File Number)</w:t>
            </w:r>
          </w:p>
        </w:tc>
        <w:tc>
          <w:tcPr>
            <w:tcW w:w="3260" w:type="dxa"/>
            <w:vAlign w:val="bottom"/>
          </w:tcPr>
          <w:p>
            <w:pPr>
              <w:jc w:val="center"/>
              <w:ind w:left="6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(IRS Employer Identification No.)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8"/>
        </w:trPr>
        <w:tc>
          <w:tcPr>
            <w:tcW w:w="3800" w:type="dxa"/>
            <w:vAlign w:val="bottom"/>
          </w:tcPr>
          <w:p>
            <w:pPr>
              <w:jc w:val="center"/>
              <w:ind w:righ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1"/>
              </w:rPr>
              <w:t>2000 Waters Edge Drive</w:t>
            </w: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vMerge w:val="restart"/>
          </w:tcPr>
          <w:p>
            <w:pPr>
              <w:jc w:val="right"/>
              <w:ind w:right="9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800" w:type="dxa"/>
            <w:vAlign w:val="bottom"/>
          </w:tcPr>
          <w:p>
            <w:pPr>
              <w:jc w:val="center"/>
              <w:ind w:righ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3"/>
              </w:rPr>
              <w:t>Johnson City, Tennessee</w:t>
            </w: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3800" w:type="dxa"/>
            <w:vAlign w:val="bottom"/>
          </w:tcPr>
          <w:p>
            <w:pPr>
              <w:jc w:val="center"/>
              <w:ind w:righ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(Address of principal executive offices)</w:t>
            </w: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jc w:val="center"/>
              <w:ind w:left="6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(Zip Code)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Registrant's telephone number, including area code: (423)743-9151</w:t>
      </w: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Check the appropriate box below if the Form 8-K filing is intended to simultaneously satisfy the obligation of the registrant under any of the following provisions: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Written communications pursuant to Rule 425 under the Securities Act (17CFT 230.425)</w:t>
      </w:r>
    </w:p>
    <w:p>
      <w:pPr>
        <w:spacing w:after="0" w:line="233" w:lineRule="exact"/>
        <w:rPr>
          <w:rFonts w:ascii="Arial" w:cs="Arial" w:eastAsia="Arial" w:hAnsi="Arial"/>
          <w:sz w:val="22"/>
          <w:szCs w:val="22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Soliciting material pursuant to Rule 14a-12 under the Exchange Act (17CFT 240.14a-12)</w:t>
      </w:r>
    </w:p>
    <w:p>
      <w:pPr>
        <w:spacing w:after="0" w:line="233" w:lineRule="exact"/>
        <w:rPr>
          <w:rFonts w:ascii="Arial" w:cs="Arial" w:eastAsia="Arial" w:hAnsi="Arial"/>
          <w:sz w:val="22"/>
          <w:szCs w:val="22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Pre-commencement communications pursuant to Rule 14d-2(b) under the Exchange Act (17CFT 240.14d-2(b))</w:t>
      </w:r>
    </w:p>
    <w:p>
      <w:pPr>
        <w:spacing w:after="0" w:line="233" w:lineRule="exact"/>
        <w:rPr>
          <w:rFonts w:ascii="Arial" w:cs="Arial" w:eastAsia="Arial" w:hAnsi="Arial"/>
          <w:sz w:val="22"/>
          <w:szCs w:val="22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Pre-commencement communications pursuant to Rule 13c-4(c) under the Exchange Act (17CFT 240.13c-4(c))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236855</wp:posOffset>
            </wp:positionV>
            <wp:extent cx="7250430" cy="45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45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1025525</wp:posOffset>
            </wp:positionV>
            <wp:extent cx="7250430" cy="21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240" w:top="786" w:right="41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ITEM 5.07 Submissions of Matters to a Vote of Security Holders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right="620" w:firstLine="698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The annual meeting of shareholders of NN, Inc. was held on Thursday. May 20, 2010. At the meeting, shareholders elected the following Class III directors for a term of three years: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left="1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ELECTION OF DIRECTORS</w:t>
      </w: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1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3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FOR</w:t>
            </w:r>
          </w:p>
        </w:tc>
        <w:tc>
          <w:tcPr>
            <w:tcW w:w="31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WITHHELD</w:t>
            </w:r>
          </w:p>
        </w:tc>
      </w:tr>
      <w:tr>
        <w:trPr>
          <w:trHeight w:val="202"/>
        </w:trPr>
        <w:tc>
          <w:tcPr>
            <w:tcW w:w="3040" w:type="dxa"/>
            <w:vAlign w:val="bottom"/>
          </w:tcPr>
          <w:p>
            <w:pPr>
              <w:ind w:left="4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RICHARD G. FANELLI</w:t>
            </w:r>
          </w:p>
        </w:tc>
        <w:tc>
          <w:tcPr>
            <w:tcW w:w="3080" w:type="dxa"/>
            <w:vAlign w:val="bottom"/>
          </w:tcPr>
          <w:p>
            <w:pPr>
              <w:jc w:val="right"/>
              <w:ind w:right="101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9,905,538</w:t>
            </w:r>
          </w:p>
        </w:tc>
        <w:tc>
          <w:tcPr>
            <w:tcW w:w="3120" w:type="dxa"/>
            <w:vAlign w:val="bottom"/>
          </w:tcPr>
          <w:p>
            <w:pPr>
              <w:jc w:val="center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862,824</w:t>
            </w:r>
          </w:p>
        </w:tc>
      </w:tr>
      <w:tr>
        <w:trPr>
          <w:trHeight w:val="230"/>
        </w:trPr>
        <w:tc>
          <w:tcPr>
            <w:tcW w:w="3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MICHAEL E. WERNER</w:t>
            </w:r>
          </w:p>
        </w:tc>
        <w:tc>
          <w:tcPr>
            <w:tcW w:w="3080" w:type="dxa"/>
            <w:vAlign w:val="bottom"/>
          </w:tcPr>
          <w:p>
            <w:pPr>
              <w:jc w:val="right"/>
              <w:ind w:right="10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10,253,472</w:t>
            </w:r>
          </w:p>
        </w:tc>
        <w:tc>
          <w:tcPr>
            <w:tcW w:w="3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514,890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ind w:right="960" w:firstLine="69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Additionally, the shareholders ratified the selection of PriceWaterhouseCooper LLP as the Company's registered independent public accounting firm for fiscal year ending December 31, 2010.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RATIFY PRICEWATERHOUSECOOPERS LLP AS REGISTERED INDEPENDENT PUBLIC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ACCOUNTANTS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FOR</w:t>
            </w:r>
          </w:p>
        </w:tc>
        <w:tc>
          <w:tcPr>
            <w:tcW w:w="30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AGAINST</w:t>
            </w:r>
          </w:p>
        </w:tc>
        <w:tc>
          <w:tcPr>
            <w:tcW w:w="3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ABSTAIN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0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jc w:val="right"/>
              <w:ind w:right="10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13,603,645</w:t>
            </w:r>
          </w:p>
        </w:tc>
        <w:tc>
          <w:tcPr>
            <w:tcW w:w="3080" w:type="dxa"/>
            <w:vAlign w:val="bottom"/>
          </w:tcPr>
          <w:p>
            <w:pPr>
              <w:jc w:val="right"/>
              <w:ind w:right="1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63,034</w:t>
            </w:r>
          </w:p>
        </w:tc>
        <w:tc>
          <w:tcPr>
            <w:tcW w:w="3020" w:type="dxa"/>
            <w:vAlign w:val="bottom"/>
          </w:tcPr>
          <w:p>
            <w:pPr>
              <w:jc w:val="right"/>
              <w:ind w:right="1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94,556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778"/>
        </w:trPr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-14605</wp:posOffset>
            </wp:positionV>
            <wp:extent cx="127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-14605</wp:posOffset>
            </wp:positionV>
            <wp:extent cx="127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598" w:right="239" w:bottom="1440" w:gutter="0" w:footer="0" w:header="0"/>
        </w:sectPr>
      </w:pPr>
    </w:p>
    <w:bookmarkStart w:id="2" w:name="page3"/>
    <w:bookmarkEnd w:id="2"/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SIGNATURES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NN, INC.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May 21, 2010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By: /s/ William C. Kelly,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3855720</wp:posOffset>
            </wp:positionH>
            <wp:positionV relativeFrom="paragraph">
              <wp:posOffset>23495</wp:posOffset>
            </wp:positionV>
            <wp:extent cx="2529840" cy="171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84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 : William C. Kelly, Jr.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 : Vice President and Chief Administrative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Officer</w:t>
      </w:r>
    </w:p>
    <w:sectPr>
      <w:pgSz w:w="11900" w:h="16838" w:orient="portrait"/>
      <w:cols w:equalWidth="0" w:num="1">
        <w:col w:w="11160"/>
      </w:cols>
      <w:pgMar w:left="240" w:top="604" w:right="4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o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2019-12-10T12:20:18Z</dcterms:created>
  <dcterms:modified xsi:type="dcterms:W3CDTF">2019-12-10T12:20:18Z</dcterms:modified>
</cp:coreProperties>
</file>