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UNITED STATES SECURITIES AND EXCHANGE COMMISSION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342"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b w:val="1"/>
          <w:bCs w:val="1"/>
          <w:color w:val="auto"/>
        </w:rPr>
        <w:t>FORM 10-Q</w:t>
      </w:r>
    </w:p>
    <w:p>
      <w:pPr>
        <w:spacing w:after="0" w:line="174" w:lineRule="exact"/>
        <w:rPr>
          <w:sz w:val="24"/>
          <w:szCs w:val="24"/>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|X| QUARTERLY REPORT PURSUANT TO SECTION 13 OR 15(d) OF THE SECURITIES EXCHANGE ACT OF 1934</w:t>
      </w:r>
    </w:p>
    <w:p>
      <w:pPr>
        <w:spacing w:after="0" w:line="17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 xml:space="preserve">For the quarterly period ended </w:t>
      </w:r>
      <w:r>
        <w:rPr>
          <w:rFonts w:ascii="Courier New" w:cs="Courier New" w:eastAsia="Courier New" w:hAnsi="Courier New"/>
          <w:sz w:val="15"/>
          <w:szCs w:val="15"/>
          <w:b w:val="1"/>
          <w:bCs w:val="1"/>
          <w:u w:val="single" w:color="auto"/>
          <w:color w:val="auto"/>
        </w:rPr>
        <w:t>September 30, 2003</w:t>
      </w:r>
    </w:p>
    <w:p>
      <w:pPr>
        <w:spacing w:after="0" w:line="171"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|_| TRANSITION REPORT PURSUANT TO SECTION 13 OR 15(d) OF THE SECURITIES EXCHANGE ACT OF 1934</w:t>
      </w:r>
    </w:p>
    <w:p>
      <w:pPr>
        <w:spacing w:after="0" w:line="172"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For the transition period from _________ to _________</w:t>
      </w:r>
    </w:p>
    <w:p>
      <w:pPr>
        <w:spacing w:after="0" w:line="342"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 xml:space="preserve">Commission File Number </w:t>
      </w:r>
      <w:r>
        <w:rPr>
          <w:rFonts w:ascii="Courier New" w:cs="Courier New" w:eastAsia="Courier New" w:hAnsi="Courier New"/>
          <w:sz w:val="15"/>
          <w:szCs w:val="15"/>
          <w:u w:val="single" w:color="auto"/>
          <w:color w:val="auto"/>
        </w:rPr>
        <w:t>0-23486</w:t>
      </w:r>
    </w:p>
    <w:p>
      <w:pPr>
        <w:spacing w:after="0" w:line="342"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b w:val="1"/>
          <w:bCs w:val="1"/>
          <w:color w:val="auto"/>
        </w:rPr>
        <w:t>NN, Inc.</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74" w:right="1440" w:bottom="0" w:gutter="0" w:footer="0" w:header="0"/>
        </w:sectPr>
      </w:pPr>
    </w:p>
    <w:p>
      <w:pPr>
        <w:spacing w:after="0" w:line="342"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b w:val="1"/>
          <w:bCs w:val="1"/>
          <w:color w:val="auto"/>
        </w:rPr>
        <w:t>Delaware</w:t>
      </w:r>
    </w:p>
    <w:p>
      <w:pPr>
        <w:spacing w:after="0" w:line="3"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b w:val="1"/>
          <w:bCs w:val="1"/>
          <w:color w:val="auto"/>
        </w:rPr>
        <w:t>62-1096725</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80" w:lineRule="exact"/>
        <w:rPr>
          <w:sz w:val="24"/>
          <w:szCs w:val="24"/>
          <w:color w:val="auto"/>
        </w:rPr>
      </w:pPr>
    </w:p>
    <w:p>
      <w:pPr>
        <w:sectPr>
          <w:pgSz w:w="11900" w:h="16838" w:orient="portrait"/>
          <w:cols w:equalWidth="0" w:num="2">
            <w:col w:w="3980" w:space="720"/>
            <w:col w:w="5519"/>
          </w:cols>
          <w:pgMar w:left="240" w:top="574" w:right="1440" w:bottom="0" w:gutter="0" w:footer="0" w:header="0"/>
          <w:type w:val="continuous"/>
        </w:sectPr>
      </w:pPr>
    </w:p>
    <w:p>
      <w:pPr>
        <w:ind w:left="2560"/>
        <w:spacing w:after="0"/>
        <w:rPr>
          <w:sz w:val="20"/>
          <w:szCs w:val="20"/>
          <w:color w:val="auto"/>
        </w:rPr>
      </w:pPr>
      <w:r>
        <w:rPr>
          <w:rFonts w:ascii="Courier New" w:cs="Courier New" w:eastAsia="Courier New" w:hAnsi="Courier New"/>
          <w:sz w:val="15"/>
          <w:szCs w:val="15"/>
          <w:b w:val="1"/>
          <w:bCs w:val="1"/>
          <w:color w:val="auto"/>
        </w:rPr>
        <w:t>2000 Waters Edge Drive</w:t>
      </w:r>
    </w:p>
    <w:p>
      <w:pPr>
        <w:spacing w:after="0" w:line="1"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b w:val="1"/>
          <w:bCs w:val="1"/>
          <w:color w:val="auto"/>
        </w:rPr>
        <w:t>Building C, Suite 12</w:t>
      </w:r>
    </w:p>
    <w:p>
      <w:pPr>
        <w:spacing w:after="0" w:line="1"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b w:val="1"/>
          <w:bCs w:val="1"/>
          <w:color w:val="auto"/>
        </w:rPr>
        <w:t>Johnson City, Tennessee 37604</w:t>
      </w:r>
    </w:p>
    <w:p>
      <w:pPr>
        <w:spacing w:after="0" w:line="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b w:val="1"/>
          <w:bCs w:val="1"/>
          <w:color w:val="auto"/>
        </w:rPr>
        <w:t>(423) 743-9151</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45" w:lineRule="exact"/>
        <w:rPr>
          <w:sz w:val="24"/>
          <w:szCs w:val="24"/>
          <w:color w:val="auto"/>
        </w:rPr>
      </w:pPr>
    </w:p>
    <w:p>
      <w:pPr>
        <w:ind w:right="3119"/>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No |X|</w:t>
      </w:r>
    </w:p>
    <w:p>
      <w:pPr>
        <w:spacing w:after="0" w:line="174" w:lineRule="exact"/>
        <w:rPr>
          <w:sz w:val="24"/>
          <w:szCs w:val="24"/>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Exchange Act). Yes |X| No |_|</w:t>
      </w:r>
    </w:p>
    <w:p>
      <w:pPr>
        <w:sectPr>
          <w:pgSz w:w="11900" w:h="16838" w:orient="portrait"/>
          <w:cols w:equalWidth="0" w:num="1">
            <w:col w:w="10219"/>
          </w:cols>
          <w:pgMar w:left="240" w:top="574" w:right="1440" w:bottom="0" w:gutter="0" w:footer="0" w:header="0"/>
          <w:type w:val="continuous"/>
        </w:sectPr>
      </w:pPr>
    </w:p>
    <w:p>
      <w:pPr>
        <w:spacing w:after="0" w:line="175" w:lineRule="exact"/>
        <w:rPr>
          <w:sz w:val="24"/>
          <w:szCs w:val="24"/>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As of January 30, 2004 there were 16,711,590 shares of the registrant's common stock, par value $0.01 per share, outstanding.</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304165</wp:posOffset>
            </wp:positionV>
            <wp:extent cx="72936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b w:val="1"/>
          <w:bCs w:val="1"/>
          <w:color w:val="auto"/>
        </w:rPr>
        <w:t>NN, Inc.</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6080" w:type="dxa"/>
            <w:vAlign w:val="bottom"/>
            <w:gridSpan w:val="2"/>
          </w:tcPr>
          <w:p>
            <w:pPr>
              <w:ind w:left="2620"/>
              <w:spacing w:after="0"/>
              <w:rPr>
                <w:sz w:val="20"/>
                <w:szCs w:val="20"/>
                <w:color w:val="auto"/>
              </w:rPr>
            </w:pPr>
            <w:r>
              <w:rPr>
                <w:rFonts w:ascii="Courier New" w:cs="Courier New" w:eastAsia="Courier New" w:hAnsi="Courier New"/>
                <w:sz w:val="15"/>
                <w:szCs w:val="15"/>
                <w:b w:val="1"/>
                <w:bCs w:val="1"/>
                <w:color w:val="auto"/>
              </w:rPr>
              <w:t>INDEX</w:t>
            </w:r>
          </w:p>
        </w:tc>
        <w:tc>
          <w:tcPr>
            <w:tcW w:w="280" w:type="dxa"/>
            <w:vAlign w:val="bottom"/>
          </w:tcPr>
          <w:p>
            <w:pPr>
              <w:spacing w:after="0"/>
              <w:rPr>
                <w:sz w:val="14"/>
                <w:szCs w:val="14"/>
                <w:color w:val="auto"/>
              </w:rPr>
            </w:pPr>
          </w:p>
        </w:tc>
      </w:tr>
      <w:tr>
        <w:trPr>
          <w:trHeight w:val="479"/>
        </w:trPr>
        <w:tc>
          <w:tcPr>
            <w:tcW w:w="7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Courier New" w:cs="Courier New" w:eastAsia="Courier New" w:hAnsi="Courier New"/>
                <w:sz w:val="15"/>
                <w:szCs w:val="15"/>
                <w:color w:val="auto"/>
                <w:w w:val="97"/>
              </w:rPr>
              <w:t>Page No.</w:t>
            </w:r>
          </w:p>
        </w:tc>
      </w:tr>
      <w:tr>
        <w:trPr>
          <w:trHeight w:val="183"/>
        </w:trPr>
        <w:tc>
          <w:tcPr>
            <w:tcW w:w="6820" w:type="dxa"/>
            <w:vAlign w:val="bottom"/>
            <w:gridSpan w:val="3"/>
          </w:tcPr>
          <w:p>
            <w:pPr>
              <w:spacing w:after="0"/>
              <w:rPr>
                <w:sz w:val="20"/>
                <w:szCs w:val="20"/>
                <w:color w:val="auto"/>
              </w:rPr>
            </w:pPr>
            <w:r>
              <w:rPr>
                <w:rFonts w:ascii="Courier New" w:cs="Courier New" w:eastAsia="Courier New" w:hAnsi="Courier New"/>
                <w:sz w:val="15"/>
                <w:szCs w:val="15"/>
                <w:b w:val="1"/>
                <w:bCs w:val="1"/>
                <w:color w:val="auto"/>
              </w:rPr>
              <w:t>Part I. Financial Information</w:t>
            </w:r>
          </w:p>
        </w:tc>
        <w:tc>
          <w:tcPr>
            <w:tcW w:w="280" w:type="dxa"/>
            <w:vAlign w:val="bottom"/>
          </w:tcPr>
          <w:p>
            <w:pPr>
              <w:spacing w:after="0"/>
              <w:rPr>
                <w:sz w:val="15"/>
                <w:szCs w:val="15"/>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280" w:type="dxa"/>
            <w:vAlign w:val="bottom"/>
          </w:tcPr>
          <w:p>
            <w:pPr>
              <w:spacing w:after="0"/>
              <w:rPr>
                <w:sz w:val="24"/>
                <w:szCs w:val="24"/>
                <w:color w:val="auto"/>
              </w:rPr>
            </w:pPr>
          </w:p>
        </w:tc>
      </w:tr>
      <w:tr>
        <w:trPr>
          <w:trHeight w:val="341"/>
        </w:trPr>
        <w:tc>
          <w:tcPr>
            <w:tcW w:w="740" w:type="dxa"/>
            <w:vAlign w:val="bottom"/>
          </w:tcPr>
          <w:p>
            <w:pPr>
              <w:spacing w:after="0"/>
              <w:rPr>
                <w:sz w:val="24"/>
                <w:szCs w:val="24"/>
                <w:color w:val="auto"/>
              </w:rPr>
            </w:pPr>
          </w:p>
        </w:tc>
        <w:tc>
          <w:tcPr>
            <w:tcW w:w="6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Consolidated Statements of Income and Comprehensive Income</w:t>
            </w:r>
          </w:p>
        </w:tc>
        <w:tc>
          <w:tcPr>
            <w:tcW w:w="28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60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for the three and nine months ended September 30, 2003 and</w:t>
            </w:r>
          </w:p>
        </w:tc>
        <w:tc>
          <w:tcPr>
            <w:tcW w:w="28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60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2002 (unaudited)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41"/>
        </w:trPr>
        <w:tc>
          <w:tcPr>
            <w:tcW w:w="740" w:type="dxa"/>
            <w:vAlign w:val="bottom"/>
          </w:tcPr>
          <w:p>
            <w:pPr>
              <w:spacing w:after="0"/>
              <w:rPr>
                <w:sz w:val="24"/>
                <w:szCs w:val="24"/>
                <w:color w:val="auto"/>
              </w:rPr>
            </w:pPr>
          </w:p>
        </w:tc>
        <w:tc>
          <w:tcPr>
            <w:tcW w:w="6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Condensed Consolidated Balance Sheets at September 30, 2003 and</w:t>
            </w:r>
          </w:p>
        </w:tc>
        <w:tc>
          <w:tcPr>
            <w:tcW w:w="28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60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 2002 (unaudited)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41"/>
        </w:trPr>
        <w:tc>
          <w:tcPr>
            <w:tcW w:w="740" w:type="dxa"/>
            <w:vAlign w:val="bottom"/>
          </w:tcPr>
          <w:p>
            <w:pPr>
              <w:spacing w:after="0"/>
              <w:rPr>
                <w:sz w:val="24"/>
                <w:szCs w:val="24"/>
                <w:color w:val="auto"/>
              </w:rPr>
            </w:pPr>
          </w:p>
        </w:tc>
        <w:tc>
          <w:tcPr>
            <w:tcW w:w="6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Consolidated Statements of Changes in Stockholders' Equity</w:t>
            </w:r>
          </w:p>
        </w:tc>
        <w:tc>
          <w:tcPr>
            <w:tcW w:w="28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60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for the nine months ended September 30, 2003 and 2002 (unaudited)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41"/>
        </w:trPr>
        <w:tc>
          <w:tcPr>
            <w:tcW w:w="740" w:type="dxa"/>
            <w:vAlign w:val="bottom"/>
          </w:tcPr>
          <w:p>
            <w:pPr>
              <w:spacing w:after="0"/>
              <w:rPr>
                <w:sz w:val="24"/>
                <w:szCs w:val="24"/>
                <w:color w:val="auto"/>
              </w:rPr>
            </w:pPr>
          </w:p>
        </w:tc>
        <w:tc>
          <w:tcPr>
            <w:tcW w:w="6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Consolidated Statements of Cash Flows for the nine months ended</w:t>
            </w:r>
          </w:p>
        </w:tc>
        <w:tc>
          <w:tcPr>
            <w:tcW w:w="28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60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September 30, 2003 and 2002 (unaudited)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41"/>
        </w:trPr>
        <w:tc>
          <w:tcPr>
            <w:tcW w:w="740" w:type="dxa"/>
            <w:vAlign w:val="bottom"/>
          </w:tcPr>
          <w:p>
            <w:pPr>
              <w:spacing w:after="0"/>
              <w:rPr>
                <w:sz w:val="24"/>
                <w:szCs w:val="24"/>
                <w:color w:val="auto"/>
              </w:rPr>
            </w:pPr>
          </w:p>
        </w:tc>
        <w:tc>
          <w:tcPr>
            <w:tcW w:w="6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Notes to Consolidated Financial Statements (unaudited)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28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60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Condition and Results of Operations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6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6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Controls and Procedures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b w:val="1"/>
                <w:bCs w:val="1"/>
                <w:color w:val="auto"/>
                <w:w w:val="99"/>
              </w:rPr>
              <w:t>Part II.</w:t>
            </w:r>
          </w:p>
        </w:tc>
        <w:tc>
          <w:tcPr>
            <w:tcW w:w="6080" w:type="dxa"/>
            <w:vAlign w:val="bottom"/>
            <w:gridSpan w:val="2"/>
          </w:tcPr>
          <w:p>
            <w:pPr>
              <w:ind w:left="40"/>
              <w:spacing w:after="0"/>
              <w:rPr>
                <w:sz w:val="20"/>
                <w:szCs w:val="20"/>
                <w:color w:val="auto"/>
              </w:rPr>
            </w:pPr>
            <w:r>
              <w:rPr>
                <w:rFonts w:ascii="Courier New" w:cs="Courier New" w:eastAsia="Courier New" w:hAnsi="Courier New"/>
                <w:sz w:val="15"/>
                <w:szCs w:val="15"/>
                <w:b w:val="1"/>
                <w:bCs w:val="1"/>
                <w:color w:val="auto"/>
              </w:rPr>
              <w:t>Other Information</w:t>
            </w:r>
          </w:p>
        </w:tc>
        <w:tc>
          <w:tcPr>
            <w:tcW w:w="280" w:type="dxa"/>
            <w:vAlign w:val="bottom"/>
          </w:tcPr>
          <w:p>
            <w:pPr>
              <w:spacing w:after="0"/>
              <w:rPr>
                <w:sz w:val="24"/>
                <w:szCs w:val="2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Legal Proceedings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bl>
    <w:p>
      <w:pPr>
        <w:sectPr>
          <w:pgSz w:w="11900" w:h="16838" w:orient="portrait"/>
          <w:cols w:equalWidth="0" w:num="1">
            <w:col w:w="10219"/>
          </w:cols>
          <w:pgMar w:left="240" w:top="574" w:right="1440" w:bottom="0" w:gutter="0" w:footer="0" w:header="0"/>
          <w:type w:val="continuous"/>
        </w:sectPr>
      </w:pPr>
    </w:p>
    <w:bookmarkStart w:id="1" w:name="page2"/>
    <w:bookmarkEnd w:id="1"/>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Changes in Securities and Use of Proceeds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Defaults Upon Senior Securities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Exhibits and Reports on Form 8-K</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41"/>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512"/>
        </w:trPr>
        <w:tc>
          <w:tcPr>
            <w:tcW w:w="700" w:type="dxa"/>
            <w:vAlign w:val="bottom"/>
          </w:tcPr>
          <w:p>
            <w:pPr>
              <w:spacing w:after="0"/>
              <w:rPr>
                <w:sz w:val="24"/>
                <w:szCs w:val="24"/>
                <w:color w:val="auto"/>
              </w:rPr>
            </w:pPr>
          </w:p>
        </w:tc>
        <w:tc>
          <w:tcPr>
            <w:tcW w:w="4980" w:type="dxa"/>
            <w:vAlign w:val="bottom"/>
          </w:tcPr>
          <w:p>
            <w:pPr>
              <w:ind w:left="2760"/>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29361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631"/>
        <w:spacing w:after="0"/>
        <w:rPr>
          <w:sz w:val="20"/>
          <w:szCs w:val="20"/>
          <w:color w:val="auto"/>
        </w:rPr>
      </w:pPr>
      <w:r>
        <w:rPr>
          <w:rFonts w:ascii="Courier New" w:cs="Courier New" w:eastAsia="Courier New" w:hAnsi="Courier New"/>
          <w:sz w:val="15"/>
          <w:szCs w:val="15"/>
          <w:b w:val="1"/>
          <w:bCs w:val="1"/>
          <w:color w:val="auto"/>
        </w:rPr>
        <w:t>PART I. FINANCIAL INFORMATION</w:t>
      </w:r>
    </w:p>
    <w:p>
      <w:pPr>
        <w:spacing w:after="0" w:line="171" w:lineRule="exact"/>
        <w:rPr>
          <w:sz w:val="20"/>
          <w:szCs w:val="20"/>
          <w:color w:val="auto"/>
        </w:rPr>
      </w:pPr>
    </w:p>
    <w:p>
      <w:pPr>
        <w:jc w:val="center"/>
        <w:ind w:right="3731"/>
        <w:spacing w:after="0"/>
        <w:rPr>
          <w:sz w:val="20"/>
          <w:szCs w:val="20"/>
          <w:color w:val="auto"/>
        </w:rPr>
      </w:pPr>
      <w:r>
        <w:rPr>
          <w:rFonts w:ascii="Courier New" w:cs="Courier New" w:eastAsia="Courier New" w:hAnsi="Courier New"/>
          <w:sz w:val="15"/>
          <w:szCs w:val="15"/>
          <w:b w:val="1"/>
          <w:bCs w:val="1"/>
          <w:color w:val="auto"/>
        </w:rPr>
        <w:t>NN, Inc.</w:t>
      </w:r>
    </w:p>
    <w:p>
      <w:pPr>
        <w:spacing w:after="0" w:line="1" w:lineRule="exact"/>
        <w:rPr>
          <w:sz w:val="20"/>
          <w:szCs w:val="20"/>
          <w:color w:val="auto"/>
        </w:rPr>
      </w:pPr>
    </w:p>
    <w:p>
      <w:pPr>
        <w:jc w:val="center"/>
        <w:ind w:right="3731"/>
        <w:spacing w:after="0"/>
        <w:rPr>
          <w:sz w:val="20"/>
          <w:szCs w:val="20"/>
          <w:color w:val="auto"/>
        </w:rPr>
      </w:pPr>
      <w:r>
        <w:rPr>
          <w:rFonts w:ascii="Courier New" w:cs="Courier New" w:eastAsia="Courier New" w:hAnsi="Courier New"/>
          <w:sz w:val="15"/>
          <w:szCs w:val="15"/>
          <w:b w:val="1"/>
          <w:bCs w:val="1"/>
          <w:color w:val="auto"/>
        </w:rPr>
        <w:t>Consolidated Statements of Income and Comprehensive Income</w:t>
      </w:r>
    </w:p>
    <w:p>
      <w:pPr>
        <w:spacing w:after="0" w:line="1" w:lineRule="exact"/>
        <w:rPr>
          <w:sz w:val="20"/>
          <w:szCs w:val="20"/>
          <w:color w:val="auto"/>
        </w:rPr>
      </w:pPr>
    </w:p>
    <w:p>
      <w:pPr>
        <w:jc w:val="center"/>
        <w:ind w:right="3631"/>
        <w:spacing w:after="0"/>
        <w:rPr>
          <w:sz w:val="20"/>
          <w:szCs w:val="20"/>
          <w:color w:val="auto"/>
        </w:rPr>
      </w:pPr>
      <w:r>
        <w:rPr>
          <w:rFonts w:ascii="Courier New" w:cs="Courier New" w:eastAsia="Courier New" w:hAnsi="Courier New"/>
          <w:sz w:val="15"/>
          <w:szCs w:val="15"/>
          <w:b w:val="1"/>
          <w:bCs w:val="1"/>
          <w:color w:val="auto"/>
        </w:rPr>
        <w:t>(Unaudited)</w:t>
      </w:r>
    </w:p>
    <w:p>
      <w:pPr>
        <w:sectPr>
          <w:pgSz w:w="11900" w:h="16848" w:orient="portrait"/>
          <w:cols w:equalWidth="0" w:num="1">
            <w:col w:w="10829"/>
          </w:cols>
          <w:pgMar w:left="231" w:top="309" w:right="839" w:bottom="0" w:gutter="0" w:footer="0" w:header="0"/>
        </w:sectPr>
      </w:pPr>
    </w:p>
    <w:p>
      <w:pPr>
        <w:spacing w:after="0" w:line="174" w:lineRule="exact"/>
        <w:rPr>
          <w:sz w:val="20"/>
          <w:szCs w:val="20"/>
          <w:color w:val="auto"/>
        </w:rPr>
      </w:pPr>
    </w:p>
    <w:p>
      <w:pPr>
        <w:ind w:left="5409"/>
        <w:spacing w:after="0"/>
        <w:rPr>
          <w:sz w:val="20"/>
          <w:szCs w:val="20"/>
          <w:color w:val="auto"/>
        </w:rPr>
      </w:pPr>
      <w:r>
        <w:rPr>
          <w:rFonts w:ascii="Courier New" w:cs="Courier New" w:eastAsia="Courier New" w:hAnsi="Courier New"/>
          <w:sz w:val="14"/>
          <w:szCs w:val="14"/>
          <w:b w:val="1"/>
          <w:bCs w:val="1"/>
          <w:color w:val="auto"/>
        </w:rPr>
        <w:t>Three Months Ended</w:t>
      </w:r>
    </w:p>
    <w:p>
      <w:pPr>
        <w:spacing w:after="0" w:line="9" w:lineRule="exact"/>
        <w:rPr>
          <w:sz w:val="20"/>
          <w:szCs w:val="20"/>
          <w:color w:val="auto"/>
        </w:rPr>
      </w:pPr>
    </w:p>
    <w:p>
      <w:pPr>
        <w:ind w:left="5589"/>
        <w:spacing w:after="0"/>
        <w:rPr>
          <w:sz w:val="20"/>
          <w:szCs w:val="20"/>
          <w:color w:val="auto"/>
        </w:rPr>
      </w:pPr>
      <w:r>
        <w:rPr>
          <w:rFonts w:ascii="Courier New" w:cs="Courier New" w:eastAsia="Courier New" w:hAnsi="Courier New"/>
          <w:sz w:val="15"/>
          <w:szCs w:val="15"/>
          <w:b w:val="1"/>
          <w:bCs w:val="1"/>
          <w:color w:val="auto"/>
        </w:rPr>
        <w:t>September 30,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980"/>
        <w:spacing w:after="0"/>
        <w:rPr>
          <w:sz w:val="20"/>
          <w:szCs w:val="20"/>
          <w:color w:val="auto"/>
        </w:rPr>
      </w:pPr>
      <w:r>
        <w:rPr>
          <w:rFonts w:ascii="Courier New" w:cs="Courier New" w:eastAsia="Courier New" w:hAnsi="Courier New"/>
          <w:sz w:val="14"/>
          <w:szCs w:val="14"/>
          <w:b w:val="1"/>
          <w:bCs w:val="1"/>
          <w:color w:val="auto"/>
        </w:rPr>
        <w:t>Nine Months Ended</w:t>
      </w:r>
    </w:p>
    <w:p>
      <w:pPr>
        <w:spacing w:after="0" w:line="9" w:lineRule="exact"/>
        <w:rPr>
          <w:sz w:val="20"/>
          <w:szCs w:val="20"/>
          <w:color w:val="auto"/>
        </w:rPr>
      </w:pPr>
    </w:p>
    <w:p>
      <w:pPr>
        <w:jc w:val="center"/>
        <w:ind w:right="980"/>
        <w:spacing w:after="0"/>
        <w:rPr>
          <w:sz w:val="20"/>
          <w:szCs w:val="20"/>
          <w:color w:val="auto"/>
        </w:rPr>
      </w:pPr>
      <w:r>
        <w:rPr>
          <w:rFonts w:ascii="Courier New" w:cs="Courier New" w:eastAsia="Courier New" w:hAnsi="Courier New"/>
          <w:sz w:val="15"/>
          <w:szCs w:val="15"/>
          <w:b w:val="1"/>
          <w:bCs w:val="1"/>
          <w:color w:val="auto"/>
        </w:rPr>
        <w:t>September 30,</w:t>
      </w:r>
    </w:p>
    <w:p>
      <w:pPr>
        <w:spacing w:after="0" w:line="171" w:lineRule="exact"/>
        <w:rPr>
          <w:sz w:val="20"/>
          <w:szCs w:val="20"/>
          <w:color w:val="auto"/>
        </w:rPr>
      </w:pPr>
    </w:p>
    <w:p>
      <w:pPr>
        <w:sectPr>
          <w:pgSz w:w="11900" w:h="16848" w:orient="portrait"/>
          <w:cols w:equalWidth="0" w:num="2">
            <w:col w:w="7629" w:space="720"/>
            <w:col w:w="2480"/>
          </w:cols>
          <w:pgMar w:left="231" w:top="309" w:right="839" w:bottom="0" w:gutter="0" w:footer="0" w:header="0"/>
          <w:type w:val="continuous"/>
        </w:sectPr>
      </w:pPr>
    </w:p>
    <w:p>
      <w:pPr>
        <w:ind w:left="6649"/>
        <w:spacing w:after="0"/>
        <w:tabs>
          <w:tab w:leader="none" w:pos="9649" w:val="left"/>
        </w:tabs>
        <w:rPr>
          <w:sz w:val="20"/>
          <w:szCs w:val="20"/>
          <w:color w:val="auto"/>
        </w:rPr>
      </w:pPr>
      <w:r>
        <w:rPr>
          <w:rFonts w:ascii="Courier New" w:cs="Courier New" w:eastAsia="Courier New" w:hAnsi="Courier New"/>
          <w:sz w:val="15"/>
          <w:szCs w:val="15"/>
          <w:b w:val="1"/>
          <w:bCs w:val="1"/>
          <w:color w:val="auto"/>
        </w:rPr>
        <w:t>Restated</w:t>
      </w:r>
      <w:r>
        <w:rPr>
          <w:sz w:val="20"/>
          <w:szCs w:val="20"/>
          <w:color w:val="auto"/>
        </w:rPr>
        <w:tab/>
      </w:r>
      <w:r>
        <w:rPr>
          <w:rFonts w:ascii="Courier New" w:cs="Courier New" w:eastAsia="Courier New" w:hAnsi="Courier New"/>
          <w:sz w:val="15"/>
          <w:szCs w:val="15"/>
          <w:b w:val="1"/>
          <w:bCs w:val="1"/>
          <w:color w:val="auto"/>
        </w:rPr>
        <w:t>Restated</w:t>
      </w:r>
    </w:p>
    <w:p>
      <w:pPr>
        <w:spacing w:after="0" w:line="1" w:lineRule="exact"/>
        <w:rPr>
          <w:sz w:val="20"/>
          <w:szCs w:val="20"/>
          <w:color w:val="auto"/>
        </w:rPr>
      </w:pPr>
    </w:p>
    <w:p>
      <w:pPr>
        <w:ind w:left="9"/>
        <w:spacing w:after="0"/>
        <w:tabs>
          <w:tab w:leader="none" w:pos="5209" w:val="left"/>
          <w:tab w:leader="none" w:pos="6809" w:val="left"/>
          <w:tab w:leader="none" w:pos="8329" w:val="left"/>
          <w:tab w:leader="none" w:pos="9829" w:val="left"/>
        </w:tabs>
        <w:rPr>
          <w:sz w:val="20"/>
          <w:szCs w:val="20"/>
          <w:color w:val="auto"/>
        </w:rPr>
      </w:pPr>
      <w:r>
        <w:rPr>
          <w:rFonts w:ascii="Courier New" w:cs="Courier New" w:eastAsia="Courier New" w:hAnsi="Courier New"/>
          <w:sz w:val="15"/>
          <w:szCs w:val="15"/>
          <w:b w:val="1"/>
          <w:bCs w:val="1"/>
          <w:color w:val="auto"/>
        </w:rPr>
        <w:t>Thousands of Dollars, Except Per Share Data</w:t>
      </w:r>
      <w:r>
        <w:rPr>
          <w:sz w:val="20"/>
          <w:szCs w:val="20"/>
          <w:color w:val="auto"/>
        </w:rPr>
        <w:tab/>
      </w:r>
      <w:r>
        <w:rPr>
          <w:rFonts w:ascii="Courier New" w:cs="Courier New" w:eastAsia="Courier New" w:hAnsi="Courier New"/>
          <w:sz w:val="15"/>
          <w:szCs w:val="15"/>
          <w:b w:val="1"/>
          <w:bCs w:val="1"/>
          <w:color w:val="auto"/>
        </w:rPr>
        <w:t>2003</w:t>
      </w:r>
      <w:r>
        <w:rPr>
          <w:sz w:val="20"/>
          <w:szCs w:val="20"/>
          <w:color w:val="auto"/>
        </w:rPr>
        <w:tab/>
      </w:r>
      <w:r>
        <w:rPr>
          <w:rFonts w:ascii="Courier New" w:cs="Courier New" w:eastAsia="Courier New" w:hAnsi="Courier New"/>
          <w:sz w:val="15"/>
          <w:szCs w:val="15"/>
          <w:b w:val="1"/>
          <w:bCs w:val="1"/>
          <w:color w:val="auto"/>
        </w:rPr>
        <w:t>2002</w:t>
      </w:r>
      <w:r>
        <w:rPr>
          <w:sz w:val="20"/>
          <w:szCs w:val="20"/>
          <w:color w:val="auto"/>
        </w:rPr>
        <w:tab/>
      </w:r>
      <w:r>
        <w:rPr>
          <w:rFonts w:ascii="Courier New" w:cs="Courier New" w:eastAsia="Courier New" w:hAnsi="Courier New"/>
          <w:sz w:val="15"/>
          <w:szCs w:val="15"/>
          <w:b w:val="1"/>
          <w:bCs w:val="1"/>
          <w:color w:val="auto"/>
        </w:rPr>
        <w:t>2003</w:t>
      </w:r>
      <w:r>
        <w:rPr>
          <w:sz w:val="20"/>
          <w:szCs w:val="20"/>
          <w:color w:val="auto"/>
        </w:rPr>
        <w:tab/>
      </w:r>
      <w:r>
        <w:rPr>
          <w:rFonts w:ascii="Courier New" w:cs="Courier New" w:eastAsia="Courier New" w:hAnsi="Courier New"/>
          <w:sz w:val="15"/>
          <w:szCs w:val="15"/>
          <w:b w:val="1"/>
          <w:bCs w:val="1"/>
          <w:color w:val="auto"/>
        </w:rPr>
        <w:t>2002</w:t>
      </w:r>
    </w:p>
    <w:p>
      <w:pPr>
        <w:sectPr>
          <w:pgSz w:w="11900" w:h="16848" w:orient="portrait"/>
          <w:cols w:equalWidth="0" w:num="1">
            <w:col w:w="10829"/>
          </w:cols>
          <w:pgMar w:left="231" w:top="309" w:right="839" w:bottom="0" w:gutter="0" w:footer="0" w:header="0"/>
          <w:type w:val="continuous"/>
        </w:sectPr>
      </w:pP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b w:val="1"/>
          <w:bCs w:val="1"/>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$ 64,612</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$ 47,451</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$ 186,415</w:t>
            </w:r>
          </w:p>
        </w:tc>
        <w:tc>
          <w:tcPr>
            <w:tcW w:w="13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$ 143,836</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Cost of goods sold (exclusive of depreciation</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shown separately below)</w:t>
            </w:r>
          </w:p>
        </w:tc>
        <w:tc>
          <w:tcPr>
            <w:tcW w:w="10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50,294</w:t>
            </w:r>
          </w:p>
        </w:tc>
        <w:tc>
          <w:tcPr>
            <w:tcW w:w="6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35,631</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142,758</w:t>
            </w:r>
          </w:p>
        </w:tc>
        <w:tc>
          <w:tcPr>
            <w:tcW w:w="5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107,302</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0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5,247</w:t>
            </w:r>
          </w:p>
        </w:tc>
        <w:tc>
          <w:tcPr>
            <w:tcW w:w="6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4,076</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15,650</w:t>
            </w:r>
          </w:p>
        </w:tc>
        <w:tc>
          <w:tcPr>
            <w:tcW w:w="5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13,311</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3,642</w:t>
            </w:r>
          </w:p>
        </w:tc>
        <w:tc>
          <w:tcPr>
            <w:tcW w:w="6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2,881</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10,203</w:t>
            </w:r>
          </w:p>
        </w:tc>
        <w:tc>
          <w:tcPr>
            <w:tcW w:w="5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8,443</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Restructuring and impairment costs (gain)</w:t>
            </w:r>
          </w:p>
        </w:tc>
        <w:tc>
          <w:tcPr>
            <w:tcW w:w="10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(224)</w:t>
            </w:r>
          </w:p>
        </w:tc>
        <w:tc>
          <w:tcPr>
            <w:tcW w:w="6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2,498</w:t>
            </w:r>
          </w:p>
        </w:tc>
        <w:tc>
          <w:tcPr>
            <w:tcW w:w="5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w:t>
            </w:r>
          </w:p>
        </w:tc>
      </w:tr>
      <w:tr>
        <w:trPr>
          <w:trHeight w:val="171"/>
        </w:trPr>
        <w:tc>
          <w:tcPr>
            <w:tcW w:w="4480" w:type="dxa"/>
            <w:vAlign w:val="bottom"/>
          </w:tcPr>
          <w:p>
            <w:pPr>
              <w:spacing w:after="0"/>
              <w:rPr>
                <w:sz w:val="14"/>
                <w:szCs w:val="14"/>
                <w:color w:val="auto"/>
              </w:rPr>
            </w:pP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Income from operations</w:t>
            </w:r>
          </w:p>
        </w:tc>
        <w:tc>
          <w:tcPr>
            <w:tcW w:w="10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5,653</w:t>
            </w:r>
          </w:p>
        </w:tc>
        <w:tc>
          <w:tcPr>
            <w:tcW w:w="6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4,863</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15,306</w:t>
            </w:r>
          </w:p>
        </w:tc>
        <w:tc>
          <w:tcPr>
            <w:tcW w:w="5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14,702</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020" w:type="dxa"/>
            <w:vAlign w:val="bottom"/>
          </w:tcPr>
          <w:p>
            <w:pPr>
              <w:spacing w:after="0"/>
              <w:rPr>
                <w:sz w:val="24"/>
                <w:szCs w:val="2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881</w:t>
            </w:r>
          </w:p>
        </w:tc>
        <w:tc>
          <w:tcPr>
            <w:tcW w:w="660" w:type="dxa"/>
            <w:vAlign w:val="bottom"/>
          </w:tcPr>
          <w:p>
            <w:pPr>
              <w:spacing w:after="0"/>
              <w:rPr>
                <w:sz w:val="24"/>
                <w:szCs w:val="2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597</w:t>
            </w:r>
          </w:p>
        </w:tc>
        <w:tc>
          <w:tcPr>
            <w:tcW w:w="62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2,225</w:t>
            </w:r>
          </w:p>
        </w:tc>
        <w:tc>
          <w:tcPr>
            <w:tcW w:w="580" w:type="dxa"/>
            <w:vAlign w:val="bottom"/>
          </w:tcPr>
          <w:p>
            <w:pPr>
              <w:spacing w:after="0"/>
              <w:rPr>
                <w:sz w:val="24"/>
                <w:szCs w:val="2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1,876</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w:t>
            </w:r>
          </w:p>
        </w:tc>
        <w:tc>
          <w:tcPr>
            <w:tcW w:w="6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272</w:t>
            </w:r>
          </w:p>
        </w:tc>
        <w:tc>
          <w:tcPr>
            <w:tcW w:w="5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(516)</w:t>
            </w:r>
          </w:p>
        </w:tc>
      </w:tr>
      <w:tr>
        <w:trPr>
          <w:trHeight w:val="171"/>
        </w:trPr>
        <w:tc>
          <w:tcPr>
            <w:tcW w:w="4480" w:type="dxa"/>
            <w:vAlign w:val="bottom"/>
          </w:tcPr>
          <w:p>
            <w:pPr>
              <w:spacing w:after="0"/>
              <w:rPr>
                <w:sz w:val="14"/>
                <w:szCs w:val="14"/>
                <w:color w:val="auto"/>
              </w:rPr>
            </w:pP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10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4,810</w:t>
            </w:r>
          </w:p>
        </w:tc>
        <w:tc>
          <w:tcPr>
            <w:tcW w:w="6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4,286</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12,809</w:t>
            </w:r>
          </w:p>
        </w:tc>
        <w:tc>
          <w:tcPr>
            <w:tcW w:w="5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13,342</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0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1,646</w:t>
            </w:r>
          </w:p>
        </w:tc>
        <w:tc>
          <w:tcPr>
            <w:tcW w:w="6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1,612</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4,630</w:t>
            </w:r>
          </w:p>
        </w:tc>
        <w:tc>
          <w:tcPr>
            <w:tcW w:w="5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4,957</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subsidiaries</w:t>
            </w:r>
          </w:p>
        </w:tc>
        <w:tc>
          <w:tcPr>
            <w:tcW w:w="10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555</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675</w:t>
            </w:r>
          </w:p>
        </w:tc>
        <w:tc>
          <w:tcPr>
            <w:tcW w:w="5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2,010</w:t>
            </w:r>
          </w:p>
        </w:tc>
      </w:tr>
      <w:tr>
        <w:trPr>
          <w:trHeight w:val="171"/>
        </w:trPr>
        <w:tc>
          <w:tcPr>
            <w:tcW w:w="4480" w:type="dxa"/>
            <w:vAlign w:val="bottom"/>
          </w:tcPr>
          <w:p>
            <w:pPr>
              <w:spacing w:after="0"/>
              <w:rPr>
                <w:sz w:val="14"/>
                <w:szCs w:val="14"/>
                <w:color w:val="auto"/>
              </w:rPr>
            </w:pP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3,164</w:t>
            </w:r>
          </w:p>
        </w:tc>
        <w:tc>
          <w:tcPr>
            <w:tcW w:w="6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2,119</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7,504</w:t>
            </w:r>
          </w:p>
        </w:tc>
        <w:tc>
          <w:tcPr>
            <w:tcW w:w="5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6,375</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w:t>
            </w:r>
          </w:p>
        </w:tc>
        <w:tc>
          <w:tcPr>
            <w:tcW w:w="10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1,292</w:t>
            </w:r>
          </w:p>
        </w:tc>
        <w:tc>
          <w:tcPr>
            <w:tcW w:w="6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(125)</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5,460</w:t>
            </w:r>
          </w:p>
        </w:tc>
        <w:tc>
          <w:tcPr>
            <w:tcW w:w="5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2,255</w:t>
            </w:r>
          </w:p>
        </w:tc>
      </w:tr>
      <w:tr>
        <w:trPr>
          <w:trHeight w:val="171"/>
        </w:trPr>
        <w:tc>
          <w:tcPr>
            <w:tcW w:w="4480" w:type="dxa"/>
            <w:vAlign w:val="bottom"/>
          </w:tcPr>
          <w:p>
            <w:pPr>
              <w:spacing w:after="0"/>
              <w:rPr>
                <w:sz w:val="14"/>
                <w:szCs w:val="14"/>
                <w:color w:val="auto"/>
              </w:rPr>
            </w:pP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Comprehensive income</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4,456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12,964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8,630</w:t>
            </w:r>
          </w:p>
        </w:tc>
      </w:tr>
      <w:tr>
        <w:trPr>
          <w:trHeight w:val="171"/>
        </w:trPr>
        <w:tc>
          <w:tcPr>
            <w:tcW w:w="4480" w:type="dxa"/>
            <w:vAlign w:val="bottom"/>
          </w:tcPr>
          <w:p>
            <w:pPr>
              <w:spacing w:after="0"/>
              <w:rPr>
                <w:sz w:val="14"/>
                <w:szCs w:val="14"/>
                <w:color w:val="auto"/>
              </w:rPr>
            </w:pP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4480" w:type="dxa"/>
            <w:vAlign w:val="bottom"/>
          </w:tcPr>
          <w:p>
            <w:pPr>
              <w:spacing w:after="0"/>
              <w:rPr>
                <w:sz w:val="20"/>
                <w:szCs w:val="20"/>
                <w:color w:val="auto"/>
              </w:rPr>
            </w:pPr>
            <w:r>
              <w:rPr>
                <w:rFonts w:ascii="Courier New" w:cs="Courier New" w:eastAsia="Courier New" w:hAnsi="Courier New"/>
                <w:sz w:val="15"/>
                <w:szCs w:val="15"/>
                <w:color w:val="auto"/>
              </w:rPr>
              <w:t>Basic income per common share:</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0.42</w:t>
            </w:r>
          </w:p>
        </w:tc>
      </w:tr>
      <w:tr>
        <w:trPr>
          <w:trHeight w:val="171"/>
        </w:trPr>
        <w:tc>
          <w:tcPr>
            <w:tcW w:w="4480" w:type="dxa"/>
            <w:vAlign w:val="bottom"/>
          </w:tcPr>
          <w:p>
            <w:pPr>
              <w:spacing w:after="0"/>
              <w:rPr>
                <w:sz w:val="14"/>
                <w:szCs w:val="14"/>
                <w:color w:val="auto"/>
              </w:rPr>
            </w:pP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shares outstanding</w:t>
            </w:r>
          </w:p>
        </w:tc>
        <w:tc>
          <w:tcPr>
            <w:tcW w:w="1020" w:type="dxa"/>
            <w:vAlign w:val="bottom"/>
          </w:tcPr>
          <w:p>
            <w:pPr>
              <w:spacing w:after="0"/>
              <w:rPr>
                <w:sz w:val="24"/>
                <w:szCs w:val="2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16,660</w:t>
            </w:r>
          </w:p>
        </w:tc>
        <w:tc>
          <w:tcPr>
            <w:tcW w:w="660" w:type="dxa"/>
            <w:vAlign w:val="bottom"/>
          </w:tcPr>
          <w:p>
            <w:pPr>
              <w:spacing w:after="0"/>
              <w:rPr>
                <w:sz w:val="24"/>
                <w:szCs w:val="2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15,368</w:t>
            </w:r>
          </w:p>
        </w:tc>
        <w:tc>
          <w:tcPr>
            <w:tcW w:w="62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15,804</w:t>
            </w:r>
          </w:p>
        </w:tc>
        <w:tc>
          <w:tcPr>
            <w:tcW w:w="580" w:type="dxa"/>
            <w:vAlign w:val="bottom"/>
          </w:tcPr>
          <w:p>
            <w:pPr>
              <w:spacing w:after="0"/>
              <w:rPr>
                <w:sz w:val="24"/>
                <w:szCs w:val="2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15,344</w:t>
            </w:r>
          </w:p>
        </w:tc>
      </w:tr>
      <w:tr>
        <w:trPr>
          <w:trHeight w:val="171"/>
        </w:trPr>
        <w:tc>
          <w:tcPr>
            <w:tcW w:w="4480" w:type="dxa"/>
            <w:vAlign w:val="bottom"/>
          </w:tcPr>
          <w:p>
            <w:pPr>
              <w:spacing w:after="0"/>
              <w:rPr>
                <w:sz w:val="14"/>
                <w:szCs w:val="14"/>
                <w:color w:val="auto"/>
              </w:rPr>
            </w:pP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4480" w:type="dxa"/>
            <w:vAlign w:val="bottom"/>
          </w:tcPr>
          <w:p>
            <w:pPr>
              <w:spacing w:after="0"/>
              <w:rPr>
                <w:sz w:val="20"/>
                <w:szCs w:val="20"/>
                <w:color w:val="auto"/>
              </w:rPr>
            </w:pPr>
            <w:r>
              <w:rPr>
                <w:rFonts w:ascii="Courier New" w:cs="Courier New" w:eastAsia="Courier New" w:hAnsi="Courier New"/>
                <w:sz w:val="15"/>
                <w:szCs w:val="15"/>
                <w:color w:val="auto"/>
              </w:rPr>
              <w:t>Diluted income per common share:</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0.40</w:t>
            </w:r>
          </w:p>
        </w:tc>
      </w:tr>
      <w:tr>
        <w:trPr>
          <w:trHeight w:val="171"/>
        </w:trPr>
        <w:tc>
          <w:tcPr>
            <w:tcW w:w="4480" w:type="dxa"/>
            <w:vAlign w:val="bottom"/>
          </w:tcPr>
          <w:p>
            <w:pPr>
              <w:spacing w:after="0"/>
              <w:rPr>
                <w:sz w:val="14"/>
                <w:szCs w:val="14"/>
                <w:color w:val="auto"/>
              </w:rPr>
            </w:pP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shares outstanding</w:t>
            </w:r>
          </w:p>
        </w:tc>
        <w:tc>
          <w:tcPr>
            <w:tcW w:w="1020" w:type="dxa"/>
            <w:vAlign w:val="bottom"/>
          </w:tcPr>
          <w:p>
            <w:pPr>
              <w:spacing w:after="0"/>
              <w:rPr>
                <w:sz w:val="24"/>
                <w:szCs w:val="2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17,167</w:t>
            </w:r>
          </w:p>
        </w:tc>
        <w:tc>
          <w:tcPr>
            <w:tcW w:w="660" w:type="dxa"/>
            <w:vAlign w:val="bottom"/>
          </w:tcPr>
          <w:p>
            <w:pPr>
              <w:spacing w:after="0"/>
              <w:rPr>
                <w:sz w:val="24"/>
                <w:szCs w:val="2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15,648</w:t>
            </w:r>
          </w:p>
        </w:tc>
        <w:tc>
          <w:tcPr>
            <w:tcW w:w="62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16,194</w:t>
            </w:r>
          </w:p>
        </w:tc>
        <w:tc>
          <w:tcPr>
            <w:tcW w:w="580" w:type="dxa"/>
            <w:vAlign w:val="bottom"/>
          </w:tcPr>
          <w:p>
            <w:pPr>
              <w:spacing w:after="0"/>
              <w:rPr>
                <w:sz w:val="24"/>
                <w:szCs w:val="2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15,755</w:t>
            </w:r>
          </w:p>
        </w:tc>
      </w:tr>
      <w:tr>
        <w:trPr>
          <w:trHeight w:val="171"/>
        </w:trPr>
        <w:tc>
          <w:tcPr>
            <w:tcW w:w="4480" w:type="dxa"/>
            <w:vAlign w:val="bottom"/>
          </w:tcPr>
          <w:p>
            <w:pPr>
              <w:spacing w:after="0"/>
              <w:rPr>
                <w:sz w:val="14"/>
                <w:szCs w:val="14"/>
                <w:color w:val="auto"/>
              </w:rPr>
            </w:pP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Cash dividends per common share</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0.24</w:t>
            </w:r>
          </w:p>
        </w:tc>
      </w:tr>
      <w:tr>
        <w:trPr>
          <w:trHeight w:val="171"/>
        </w:trPr>
        <w:tc>
          <w:tcPr>
            <w:tcW w:w="4480" w:type="dxa"/>
            <w:vAlign w:val="bottom"/>
          </w:tcPr>
          <w:p>
            <w:pPr>
              <w:spacing w:after="0"/>
              <w:rPr>
                <w:sz w:val="14"/>
                <w:szCs w:val="14"/>
                <w:color w:val="auto"/>
              </w:rPr>
            </w:pP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b w:val="1"/>
          <w:bCs w:val="1"/>
          <w:color w:val="auto"/>
        </w:rPr>
        <w:t>See accompanying notes.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29361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b w:val="1"/>
          <w:bCs w:val="1"/>
          <w:color w:val="auto"/>
        </w:rPr>
        <w:t>NN, Inc.</w:t>
      </w:r>
    </w:p>
    <w:p>
      <w:pPr>
        <w:spacing w:after="0" w:line="1" w:lineRule="exact"/>
        <w:rPr>
          <w:sz w:val="20"/>
          <w:szCs w:val="20"/>
          <w:color w:val="auto"/>
        </w:rPr>
      </w:pPr>
    </w:p>
    <w:p>
      <w:pPr>
        <w:jc w:val="center"/>
        <w:ind w:right="3631"/>
        <w:spacing w:after="0"/>
        <w:rPr>
          <w:sz w:val="20"/>
          <w:szCs w:val="20"/>
          <w:color w:val="auto"/>
        </w:rPr>
      </w:pPr>
      <w:r>
        <w:rPr>
          <w:rFonts w:ascii="Courier New" w:cs="Courier New" w:eastAsia="Courier New" w:hAnsi="Courier New"/>
          <w:sz w:val="15"/>
          <w:szCs w:val="15"/>
          <w:b w:val="1"/>
          <w:bCs w:val="1"/>
          <w:color w:val="auto"/>
        </w:rPr>
        <w:t>Condensed Consolidated Balance Sheets</w:t>
      </w:r>
    </w:p>
    <w:p>
      <w:pPr>
        <w:spacing w:after="0" w:line="1" w:lineRule="exact"/>
        <w:rPr>
          <w:sz w:val="20"/>
          <w:szCs w:val="20"/>
          <w:color w:val="auto"/>
        </w:rPr>
      </w:pPr>
    </w:p>
    <w:p>
      <w:pPr>
        <w:jc w:val="center"/>
        <w:ind w:right="3631"/>
        <w:spacing w:after="0"/>
        <w:rPr>
          <w:sz w:val="20"/>
          <w:szCs w:val="20"/>
          <w:color w:val="auto"/>
        </w:rPr>
      </w:pPr>
      <w:r>
        <w:rPr>
          <w:rFonts w:ascii="Courier New" w:cs="Courier New" w:eastAsia="Courier New" w:hAnsi="Courier New"/>
          <w:sz w:val="15"/>
          <w:szCs w:val="15"/>
          <w:b w:val="1"/>
          <w:bCs w:val="1"/>
          <w:color w:val="auto"/>
        </w:rPr>
        <w:t>(Unaudited)</w:t>
      </w:r>
    </w:p>
    <w:p>
      <w:pPr>
        <w:spacing w:after="0" w:line="342" w:lineRule="exact"/>
        <w:rPr>
          <w:sz w:val="20"/>
          <w:szCs w:val="20"/>
          <w:color w:val="auto"/>
        </w:rPr>
      </w:pPr>
    </w:p>
    <w:p>
      <w:pPr>
        <w:ind w:left="7269"/>
        <w:spacing w:after="0"/>
        <w:rPr>
          <w:sz w:val="20"/>
          <w:szCs w:val="20"/>
          <w:color w:val="auto"/>
        </w:rPr>
      </w:pPr>
      <w:r>
        <w:rPr>
          <w:rFonts w:ascii="Courier New" w:cs="Courier New" w:eastAsia="Courier New" w:hAnsi="Courier New"/>
          <w:sz w:val="15"/>
          <w:szCs w:val="15"/>
          <w:b w:val="1"/>
          <w:bCs w:val="1"/>
          <w:color w:val="auto"/>
        </w:rPr>
        <w:t>Restated</w:t>
      </w:r>
    </w:p>
    <w:p>
      <w:pPr>
        <w:spacing w:after="0" w:line="1" w:lineRule="exact"/>
        <w:rPr>
          <w:sz w:val="20"/>
          <w:szCs w:val="20"/>
          <w:color w:val="auto"/>
        </w:rPr>
      </w:pPr>
    </w:p>
    <w:p>
      <w:pPr>
        <w:ind w:left="4889"/>
        <w:spacing w:after="0"/>
        <w:tabs>
          <w:tab w:leader="none" w:pos="7089" w:val="left"/>
        </w:tabs>
        <w:rPr>
          <w:sz w:val="20"/>
          <w:szCs w:val="20"/>
          <w:color w:val="auto"/>
        </w:rPr>
      </w:pPr>
      <w:r>
        <w:rPr>
          <w:rFonts w:ascii="Courier New" w:cs="Courier New" w:eastAsia="Courier New" w:hAnsi="Courier New"/>
          <w:sz w:val="15"/>
          <w:szCs w:val="15"/>
          <w:b w:val="1"/>
          <w:bCs w:val="1"/>
          <w:color w:val="auto"/>
        </w:rPr>
        <w:t>September 30,</w:t>
      </w:r>
      <w:r>
        <w:rPr>
          <w:sz w:val="20"/>
          <w:szCs w:val="20"/>
          <w:color w:val="auto"/>
        </w:rPr>
        <w:tab/>
      </w:r>
      <w:r>
        <w:rPr>
          <w:rFonts w:ascii="Courier New" w:cs="Courier New" w:eastAsia="Courier New" w:hAnsi="Courier New"/>
          <w:sz w:val="14"/>
          <w:szCs w:val="14"/>
          <w:b w:val="1"/>
          <w:bCs w:val="1"/>
          <w:color w:val="auto"/>
        </w:rPr>
        <w:t>December 31,</w:t>
      </w:r>
    </w:p>
    <w:p>
      <w:pPr>
        <w:spacing w:after="0" w:line="1" w:lineRule="exact"/>
        <w:rPr>
          <w:sz w:val="20"/>
          <w:szCs w:val="20"/>
          <w:color w:val="auto"/>
        </w:rPr>
      </w:pPr>
    </w:p>
    <w:p>
      <w:pPr>
        <w:ind w:left="9"/>
        <w:spacing w:after="0"/>
        <w:tabs>
          <w:tab w:leader="none" w:pos="5209" w:val="left"/>
          <w:tab w:leader="none" w:pos="7429" w:val="left"/>
        </w:tabs>
        <w:rPr>
          <w:sz w:val="20"/>
          <w:szCs w:val="20"/>
          <w:color w:val="auto"/>
        </w:rPr>
      </w:pPr>
      <w:r>
        <w:rPr>
          <w:rFonts w:ascii="Courier New" w:cs="Courier New" w:eastAsia="Courier New" w:hAnsi="Courier New"/>
          <w:sz w:val="15"/>
          <w:szCs w:val="15"/>
          <w:b w:val="1"/>
          <w:bCs w:val="1"/>
          <w:color w:val="auto"/>
        </w:rPr>
        <w:t>Thousands of Dollars</w:t>
      </w:r>
      <w:r>
        <w:rPr>
          <w:sz w:val="20"/>
          <w:szCs w:val="20"/>
          <w:color w:val="auto"/>
        </w:rPr>
        <w:tab/>
      </w:r>
      <w:r>
        <w:rPr>
          <w:rFonts w:ascii="Courier New" w:cs="Courier New" w:eastAsia="Courier New" w:hAnsi="Courier New"/>
          <w:sz w:val="15"/>
          <w:szCs w:val="15"/>
          <w:b w:val="1"/>
          <w:bCs w:val="1"/>
          <w:color w:val="auto"/>
        </w:rPr>
        <w:t>2003</w:t>
      </w:r>
      <w:r>
        <w:rPr>
          <w:sz w:val="20"/>
          <w:szCs w:val="20"/>
          <w:color w:val="auto"/>
        </w:rPr>
        <w:tab/>
      </w:r>
      <w:r>
        <w:rPr>
          <w:rFonts w:ascii="Courier New" w:cs="Courier New" w:eastAsia="Courier New" w:hAnsi="Courier New"/>
          <w:sz w:val="15"/>
          <w:szCs w:val="15"/>
          <w:b w:val="1"/>
          <w:bCs w:val="1"/>
          <w:color w:val="auto"/>
        </w:rPr>
        <w:t>2002</w:t>
      </w:r>
    </w:p>
    <w:p>
      <w:pPr>
        <w:spacing w:after="0" w:line="1" w:lineRule="exact"/>
        <w:rPr>
          <w:sz w:val="20"/>
          <w:szCs w:val="20"/>
          <w:color w:val="auto"/>
        </w:rPr>
      </w:pPr>
    </w:p>
    <w:p>
      <w:pPr>
        <w:ind w:left="169" w:hanging="169"/>
        <w:spacing w:after="0"/>
        <w:tabs>
          <w:tab w:leader="none" w:pos="169" w:val="left"/>
        </w:tabs>
        <w:numPr>
          <w:ilvl w:val="0"/>
          <w:numId w:val="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w:t>
      </w:r>
    </w:p>
    <w:p>
      <w:pPr>
        <w:ind w:left="9"/>
        <w:spacing w:after="0"/>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Assets</w:t>
      </w:r>
    </w:p>
    <w:p>
      <w:pPr>
        <w:ind w:left="9"/>
        <w:spacing w:after="0"/>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Current assets:</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Cash and</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cash equivalents</w:t>
            </w:r>
          </w:p>
        </w:tc>
        <w:tc>
          <w:tcPr>
            <w:tcW w:w="2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$ 4,790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$ 5,144</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Accounts</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receivable, net</w:t>
            </w:r>
          </w:p>
        </w:tc>
        <w:tc>
          <w:tcPr>
            <w:tcW w:w="2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45,432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28,965</w:t>
            </w:r>
          </w:p>
        </w:tc>
      </w:tr>
    </w:tbl>
    <w:p>
      <w:pPr>
        <w:sectPr>
          <w:pgSz w:w="11900" w:h="16848" w:orient="portrait"/>
          <w:cols w:equalWidth="0" w:num="1">
            <w:col w:w="10829"/>
          </w:cols>
          <w:pgMar w:left="231" w:top="309" w:right="839" w:bottom="0" w:gutter="0" w:footer="0" w:header="0"/>
          <w:type w:val="continuous"/>
        </w:sectPr>
      </w:pPr>
    </w:p>
    <w:bookmarkStart w:id="2" w:name="page3"/>
    <w:bookmarkEnd w:id="2"/>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Inventories, net</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34,391</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23,402</w:t>
            </w:r>
          </w:p>
        </w:tc>
      </w:tr>
      <w:tr>
        <w:trPr>
          <w:trHeight w:val="171"/>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Other current assets</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5,859</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3,901</w:t>
            </w:r>
          </w:p>
        </w:tc>
      </w:tr>
      <w:tr>
        <w:trPr>
          <w:trHeight w:val="171"/>
        </w:trPr>
        <w:tc>
          <w:tcPr>
            <w:tcW w:w="4300" w:type="dxa"/>
            <w:vAlign w:val="bottom"/>
          </w:tcPr>
          <w:p>
            <w:pPr>
              <w:spacing w:after="0"/>
              <w:rPr>
                <w:sz w:val="14"/>
                <w:szCs w:val="14"/>
                <w:color w:val="auto"/>
              </w:rPr>
            </w:pPr>
          </w:p>
        </w:tc>
        <w:tc>
          <w:tcPr>
            <w:tcW w:w="2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90,472</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61,412</w:t>
            </w:r>
          </w:p>
        </w:tc>
      </w:tr>
      <w:tr>
        <w:trPr>
          <w:trHeight w:val="341"/>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105,621</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88,199</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Assets held for sale</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1,805</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2,214</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53,061</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39,374</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4,667</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4,016</w:t>
            </w:r>
          </w:p>
        </w:tc>
      </w:tr>
      <w:tr>
        <w:trPr>
          <w:trHeight w:val="171"/>
        </w:trPr>
        <w:tc>
          <w:tcPr>
            <w:tcW w:w="4300" w:type="dxa"/>
            <w:vAlign w:val="bottom"/>
          </w:tcPr>
          <w:p>
            <w:pPr>
              <w:spacing w:after="0"/>
              <w:rPr>
                <w:sz w:val="14"/>
                <w:szCs w:val="14"/>
                <w:color w:val="auto"/>
              </w:rPr>
            </w:pPr>
          </w:p>
        </w:tc>
        <w:tc>
          <w:tcPr>
            <w:tcW w:w="2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$ 255,626</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$ 195,215</w:t>
            </w:r>
          </w:p>
        </w:tc>
      </w:tr>
      <w:tr>
        <w:trPr>
          <w:trHeight w:val="171"/>
        </w:trPr>
        <w:tc>
          <w:tcPr>
            <w:tcW w:w="4300" w:type="dxa"/>
            <w:vAlign w:val="bottom"/>
          </w:tcPr>
          <w:p>
            <w:pPr>
              <w:spacing w:after="0"/>
              <w:rPr>
                <w:sz w:val="14"/>
                <w:szCs w:val="14"/>
                <w:color w:val="auto"/>
              </w:rPr>
            </w:pPr>
          </w:p>
        </w:tc>
        <w:tc>
          <w:tcPr>
            <w:tcW w:w="2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00" w:type="dxa"/>
            <w:vAlign w:val="bottom"/>
          </w:tcPr>
          <w:p>
            <w:pPr>
              <w:spacing w:after="0"/>
              <w:rPr>
                <w:sz w:val="20"/>
                <w:szCs w:val="20"/>
                <w:color w:val="auto"/>
              </w:rPr>
            </w:pPr>
            <w:r>
              <w:rPr>
                <w:rFonts w:ascii="Courier New" w:cs="Courier New" w:eastAsia="Courier New" w:hAnsi="Courier New"/>
                <w:sz w:val="15"/>
                <w:szCs w:val="15"/>
                <w:b w:val="1"/>
                <w:bCs w:val="1"/>
                <w:color w:val="auto"/>
              </w:rPr>
              <w:t>Liabilities and Stockholders' Equity</w:t>
            </w:r>
          </w:p>
        </w:tc>
        <w:tc>
          <w:tcPr>
            <w:tcW w:w="2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1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1"/>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$32,666</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$ 22,983</w:t>
            </w:r>
          </w:p>
        </w:tc>
      </w:tr>
      <w:tr>
        <w:trPr>
          <w:trHeight w:val="171"/>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Book overdraft</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w:t>
            </w:r>
          </w:p>
        </w:tc>
      </w:tr>
      <w:tr>
        <w:trPr>
          <w:trHeight w:val="171"/>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Accrued salaries and wages</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11,453</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6,354</w:t>
            </w:r>
          </w:p>
        </w:tc>
      </w:tr>
      <w:tr>
        <w:trPr>
          <w:trHeight w:val="171"/>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Income taxes payable</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1,755</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620</w:t>
            </w:r>
          </w:p>
        </w:tc>
      </w:tr>
      <w:tr>
        <w:trPr>
          <w:trHeight w:val="171"/>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Short-term debt</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Current maturities of long-term debt</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10,675</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7,000</w:t>
            </w:r>
          </w:p>
        </w:tc>
      </w:tr>
      <w:tr>
        <w:trPr>
          <w:trHeight w:val="171"/>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Other current liabilities</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3,743</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3,240</w:t>
            </w:r>
          </w:p>
        </w:tc>
      </w:tr>
      <w:tr>
        <w:trPr>
          <w:trHeight w:val="171"/>
        </w:trPr>
        <w:tc>
          <w:tcPr>
            <w:tcW w:w="4300" w:type="dxa"/>
            <w:vAlign w:val="bottom"/>
          </w:tcPr>
          <w:p>
            <w:pPr>
              <w:spacing w:after="0"/>
              <w:rPr>
                <w:sz w:val="14"/>
                <w:szCs w:val="14"/>
                <w:color w:val="auto"/>
              </w:rPr>
            </w:pPr>
          </w:p>
        </w:tc>
        <w:tc>
          <w:tcPr>
            <w:tcW w:w="2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62,292</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40,234</w:t>
            </w:r>
          </w:p>
        </w:tc>
      </w:tr>
      <w:tr>
        <w:trPr>
          <w:trHeight w:val="341"/>
        </w:trPr>
        <w:tc>
          <w:tcPr>
            <w:tcW w:w="4300" w:type="dxa"/>
            <w:vAlign w:val="bottom"/>
          </w:tcPr>
          <w:p>
            <w:pPr>
              <w:spacing w:after="0"/>
              <w:rPr>
                <w:sz w:val="20"/>
                <w:szCs w:val="20"/>
                <w:color w:val="auto"/>
              </w:rPr>
            </w:pPr>
            <w:r>
              <w:rPr>
                <w:rFonts w:ascii="Courier New" w:cs="Courier New" w:eastAsia="Courier New" w:hAnsi="Courier New"/>
                <w:sz w:val="15"/>
                <w:szCs w:val="15"/>
                <w:color w:val="auto"/>
              </w:rPr>
              <w:t>Non-current deferred tax liability</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10,732</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9,334</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72,722</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46,135</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Accrued pension and other</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10,468</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9,319</w:t>
            </w:r>
          </w:p>
        </w:tc>
      </w:tr>
      <w:tr>
        <w:trPr>
          <w:trHeight w:val="171"/>
        </w:trPr>
        <w:tc>
          <w:tcPr>
            <w:tcW w:w="4300" w:type="dxa"/>
            <w:vAlign w:val="bottom"/>
          </w:tcPr>
          <w:p>
            <w:pPr>
              <w:spacing w:after="0"/>
              <w:rPr>
                <w:sz w:val="14"/>
                <w:szCs w:val="14"/>
                <w:color w:val="auto"/>
              </w:rPr>
            </w:pPr>
          </w:p>
        </w:tc>
        <w:tc>
          <w:tcPr>
            <w:tcW w:w="2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156,214</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105,022</w:t>
            </w:r>
          </w:p>
        </w:tc>
      </w:tr>
      <w:tr>
        <w:trPr>
          <w:trHeight w:val="341"/>
        </w:trPr>
        <w:tc>
          <w:tcPr>
            <w:tcW w:w="430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subsidiaries</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12,285</w:t>
            </w:r>
          </w:p>
        </w:tc>
      </w:tr>
      <w:tr>
        <w:trPr>
          <w:trHeight w:val="171"/>
        </w:trPr>
        <w:tc>
          <w:tcPr>
            <w:tcW w:w="4300" w:type="dxa"/>
            <w:vAlign w:val="bottom"/>
          </w:tcPr>
          <w:p>
            <w:pPr>
              <w:spacing w:after="0"/>
              <w:rPr>
                <w:sz w:val="14"/>
                <w:szCs w:val="14"/>
                <w:color w:val="auto"/>
              </w:rPr>
            </w:pPr>
          </w:p>
        </w:tc>
        <w:tc>
          <w:tcPr>
            <w:tcW w:w="2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99,412</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77,908</w:t>
            </w:r>
          </w:p>
        </w:tc>
      </w:tr>
      <w:tr>
        <w:trPr>
          <w:trHeight w:val="171"/>
        </w:trPr>
        <w:tc>
          <w:tcPr>
            <w:tcW w:w="4300" w:type="dxa"/>
            <w:vAlign w:val="bottom"/>
          </w:tcPr>
          <w:p>
            <w:pPr>
              <w:spacing w:after="0"/>
              <w:rPr>
                <w:sz w:val="14"/>
                <w:szCs w:val="14"/>
                <w:color w:val="auto"/>
              </w:rPr>
            </w:pPr>
          </w:p>
        </w:tc>
        <w:tc>
          <w:tcPr>
            <w:tcW w:w="2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$255,626</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$195,215</w:t>
            </w:r>
          </w:p>
        </w:tc>
      </w:tr>
      <w:tr>
        <w:trPr>
          <w:trHeight w:val="171"/>
        </w:trPr>
        <w:tc>
          <w:tcPr>
            <w:tcW w:w="4300" w:type="dxa"/>
            <w:vAlign w:val="bottom"/>
          </w:tcPr>
          <w:p>
            <w:pPr>
              <w:spacing w:after="0"/>
              <w:rPr>
                <w:sz w:val="14"/>
                <w:szCs w:val="14"/>
                <w:color w:val="auto"/>
              </w:rPr>
            </w:pPr>
          </w:p>
        </w:tc>
        <w:tc>
          <w:tcPr>
            <w:tcW w:w="2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b w:val="1"/>
          <w:bCs w:val="1"/>
          <w:color w:val="auto"/>
        </w:rPr>
        <w:t>See accompanying notes.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299085</wp:posOffset>
            </wp:positionV>
            <wp:extent cx="72936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b w:val="1"/>
          <w:bCs w:val="1"/>
          <w:color w:val="auto"/>
        </w:rPr>
        <w:t>NN, Inc.</w:t>
      </w:r>
    </w:p>
    <w:p>
      <w:pPr>
        <w:spacing w:after="0" w:line="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b w:val="1"/>
          <w:bCs w:val="1"/>
          <w:color w:val="auto"/>
        </w:rPr>
        <w:t>Consolidated Statements of Changes in Stockholders' Equity</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ind w:left="4700"/>
        <w:spacing w:after="0"/>
        <w:tabs>
          <w:tab w:leader="none" w:pos="9020" w:val="left"/>
        </w:tabs>
        <w:rPr>
          <w:sz w:val="20"/>
          <w:szCs w:val="20"/>
          <w:color w:val="auto"/>
        </w:rPr>
      </w:pPr>
      <w:r>
        <w:rPr>
          <w:rFonts w:ascii="Courier New" w:cs="Courier New" w:eastAsia="Courier New" w:hAnsi="Courier New"/>
          <w:sz w:val="15"/>
          <w:szCs w:val="15"/>
          <w:b w:val="1"/>
          <w:bCs w:val="1"/>
          <w:color w:val="auto"/>
        </w:rPr>
        <w:t>Common Stock</w:t>
      </w:r>
      <w:r>
        <w:rPr>
          <w:sz w:val="20"/>
          <w:szCs w:val="20"/>
          <w:color w:val="auto"/>
        </w:rPr>
        <w:tab/>
      </w:r>
      <w:r>
        <w:rPr>
          <w:rFonts w:ascii="Courier New" w:cs="Courier New" w:eastAsia="Courier New" w:hAnsi="Courier New"/>
          <w:sz w:val="14"/>
          <w:szCs w:val="14"/>
          <w:b w:val="1"/>
          <w:bCs w:val="1"/>
          <w:color w:val="auto"/>
        </w:rPr>
        <w:t>Accumulated</w:t>
      </w:r>
    </w:p>
    <w:p>
      <w:pPr>
        <w:spacing w:after="0" w:line="1" w:lineRule="exact"/>
        <w:rPr>
          <w:sz w:val="20"/>
          <w:szCs w:val="20"/>
          <w:color w:val="auto"/>
        </w:rPr>
      </w:pPr>
    </w:p>
    <w:p>
      <w:pPr>
        <w:ind w:left="4260"/>
        <w:spacing w:after="0"/>
        <w:tabs>
          <w:tab w:leader="none" w:pos="6360" w:val="left"/>
          <w:tab w:leader="none" w:pos="9280" w:val="left"/>
        </w:tabs>
        <w:rPr>
          <w:sz w:val="20"/>
          <w:szCs w:val="20"/>
          <w:color w:val="auto"/>
        </w:rPr>
      </w:pPr>
      <w:r>
        <w:rPr>
          <w:rFonts w:ascii="Courier New" w:cs="Courier New" w:eastAsia="Courier New" w:hAnsi="Courier New"/>
          <w:sz w:val="15"/>
          <w:szCs w:val="15"/>
          <w:b w:val="1"/>
          <w:bCs w:val="1"/>
          <w:color w:val="auto"/>
        </w:rPr>
        <w:t>Number</w:t>
      </w:r>
      <w:r>
        <w:rPr>
          <w:sz w:val="20"/>
          <w:szCs w:val="20"/>
          <w:color w:val="auto"/>
        </w:rPr>
        <w:tab/>
      </w:r>
      <w:r>
        <w:rPr>
          <w:rFonts w:ascii="Courier New" w:cs="Courier New" w:eastAsia="Courier New" w:hAnsi="Courier New"/>
          <w:sz w:val="15"/>
          <w:szCs w:val="15"/>
          <w:b w:val="1"/>
          <w:bCs w:val="1"/>
          <w:color w:val="auto"/>
        </w:rPr>
        <w:t>Additional</w:t>
      </w:r>
      <w:r>
        <w:rPr>
          <w:sz w:val="20"/>
          <w:szCs w:val="20"/>
          <w:color w:val="auto"/>
        </w:rPr>
        <w:tab/>
      </w:r>
      <w:r>
        <w:rPr>
          <w:rFonts w:ascii="Courier New" w:cs="Courier New" w:eastAsia="Courier New" w:hAnsi="Courier New"/>
          <w:sz w:val="15"/>
          <w:szCs w:val="15"/>
          <w:b w:val="1"/>
          <w:bCs w:val="1"/>
          <w:color w:val="auto"/>
        </w:rPr>
        <w:t>Other</w:t>
      </w:r>
    </w:p>
    <w:p>
      <w:pPr>
        <w:spacing w:after="0" w:line="1" w:lineRule="exact"/>
        <w:rPr>
          <w:sz w:val="20"/>
          <w:szCs w:val="20"/>
          <w:color w:val="auto"/>
        </w:rPr>
      </w:pPr>
    </w:p>
    <w:p>
      <w:pPr>
        <w:ind w:left="4420"/>
        <w:spacing w:after="0"/>
        <w:tabs>
          <w:tab w:leader="none" w:pos="5660" w:val="left"/>
          <w:tab w:leader="none" w:pos="6540" w:val="left"/>
          <w:tab w:leader="none" w:pos="7860" w:val="left"/>
          <w:tab w:leader="none" w:pos="8940" w:val="left"/>
        </w:tabs>
        <w:rPr>
          <w:sz w:val="20"/>
          <w:szCs w:val="20"/>
          <w:color w:val="auto"/>
        </w:rPr>
      </w:pPr>
      <w:r>
        <w:rPr>
          <w:rFonts w:ascii="Courier New" w:cs="Courier New" w:eastAsia="Courier New" w:hAnsi="Courier New"/>
          <w:sz w:val="15"/>
          <w:szCs w:val="15"/>
          <w:b w:val="1"/>
          <w:bCs w:val="1"/>
          <w:color w:val="auto"/>
        </w:rPr>
        <w:t>Of</w:t>
      </w:r>
      <w:r>
        <w:rPr>
          <w:sz w:val="20"/>
          <w:szCs w:val="20"/>
          <w:color w:val="auto"/>
        </w:rPr>
        <w:tab/>
      </w:r>
      <w:r>
        <w:rPr>
          <w:rFonts w:ascii="Courier New" w:cs="Courier New" w:eastAsia="Courier New" w:hAnsi="Courier New"/>
          <w:sz w:val="15"/>
          <w:szCs w:val="15"/>
          <w:b w:val="1"/>
          <w:bCs w:val="1"/>
          <w:color w:val="auto"/>
        </w:rPr>
        <w:t>Par</w:t>
      </w:r>
      <w:r>
        <w:rPr>
          <w:sz w:val="20"/>
          <w:szCs w:val="20"/>
          <w:color w:val="auto"/>
        </w:rPr>
        <w:tab/>
      </w:r>
      <w:r>
        <w:rPr>
          <w:rFonts w:ascii="Courier New" w:cs="Courier New" w:eastAsia="Courier New" w:hAnsi="Courier New"/>
          <w:sz w:val="15"/>
          <w:szCs w:val="15"/>
          <w:b w:val="1"/>
          <w:bCs w:val="1"/>
          <w:color w:val="auto"/>
        </w:rPr>
        <w:t>paid in</w:t>
      </w:r>
      <w:r>
        <w:rPr>
          <w:sz w:val="20"/>
          <w:szCs w:val="20"/>
          <w:color w:val="auto"/>
        </w:rPr>
        <w:tab/>
      </w:r>
      <w:r>
        <w:rPr>
          <w:rFonts w:ascii="Courier New" w:cs="Courier New" w:eastAsia="Courier New" w:hAnsi="Courier New"/>
          <w:sz w:val="15"/>
          <w:szCs w:val="15"/>
          <w:b w:val="1"/>
          <w:bCs w:val="1"/>
          <w:color w:val="auto"/>
        </w:rPr>
        <w:t>Retained</w:t>
      </w:r>
      <w:r>
        <w:rPr>
          <w:sz w:val="20"/>
          <w:szCs w:val="20"/>
          <w:color w:val="auto"/>
        </w:rPr>
        <w:tab/>
      </w:r>
      <w:r>
        <w:rPr>
          <w:rFonts w:ascii="Courier New" w:cs="Courier New" w:eastAsia="Courier New" w:hAnsi="Courier New"/>
          <w:sz w:val="14"/>
          <w:szCs w:val="14"/>
          <w:b w:val="1"/>
          <w:bCs w:val="1"/>
          <w:color w:val="auto"/>
        </w:rPr>
        <w:t>Comprehensive</w:t>
      </w:r>
    </w:p>
    <w:p>
      <w:pPr>
        <w:spacing w:after="0" w:line="1" w:lineRule="exact"/>
        <w:rPr>
          <w:sz w:val="20"/>
          <w:szCs w:val="20"/>
          <w:color w:val="auto"/>
        </w:rPr>
      </w:pPr>
    </w:p>
    <w:p>
      <w:pPr>
        <w:spacing w:after="0"/>
        <w:tabs>
          <w:tab w:leader="none" w:pos="4240" w:val="left"/>
          <w:tab w:leader="none" w:pos="5560" w:val="left"/>
          <w:tab w:leader="none" w:pos="6540" w:val="left"/>
          <w:tab w:leader="none" w:pos="7860" w:val="left"/>
          <w:tab w:leader="none" w:pos="9020" w:val="left"/>
          <w:tab w:leader="none" w:pos="10700" w:val="left"/>
        </w:tabs>
        <w:rPr>
          <w:sz w:val="20"/>
          <w:szCs w:val="20"/>
          <w:color w:val="auto"/>
        </w:rPr>
      </w:pPr>
      <w:r>
        <w:rPr>
          <w:rFonts w:ascii="Courier New" w:cs="Courier New" w:eastAsia="Courier New" w:hAnsi="Courier New"/>
          <w:sz w:val="15"/>
          <w:szCs w:val="15"/>
          <w:b w:val="1"/>
          <w:bCs w:val="1"/>
          <w:color w:val="auto"/>
        </w:rPr>
        <w:t>Thousands of Dollars and Shares</w:t>
      </w:r>
      <w:r>
        <w:rPr>
          <w:sz w:val="20"/>
          <w:szCs w:val="20"/>
          <w:color w:val="auto"/>
        </w:rPr>
        <w:tab/>
      </w:r>
      <w:r>
        <w:rPr>
          <w:rFonts w:ascii="Courier New" w:cs="Courier New" w:eastAsia="Courier New" w:hAnsi="Courier New"/>
          <w:sz w:val="15"/>
          <w:szCs w:val="15"/>
          <w:b w:val="1"/>
          <w:bCs w:val="1"/>
          <w:color w:val="auto"/>
        </w:rPr>
        <w:t>Shares</w:t>
      </w:r>
      <w:r>
        <w:rPr>
          <w:sz w:val="20"/>
          <w:szCs w:val="20"/>
          <w:color w:val="auto"/>
        </w:rPr>
        <w:tab/>
      </w:r>
      <w:r>
        <w:rPr>
          <w:rFonts w:ascii="Courier New" w:cs="Courier New" w:eastAsia="Courier New" w:hAnsi="Courier New"/>
          <w:sz w:val="15"/>
          <w:szCs w:val="15"/>
          <w:b w:val="1"/>
          <w:bCs w:val="1"/>
          <w:color w:val="auto"/>
        </w:rPr>
        <w:t>value</w:t>
      </w:r>
      <w:r>
        <w:rPr>
          <w:sz w:val="20"/>
          <w:szCs w:val="20"/>
          <w:color w:val="auto"/>
        </w:rPr>
        <w:tab/>
      </w:r>
      <w:r>
        <w:rPr>
          <w:rFonts w:ascii="Courier New" w:cs="Courier New" w:eastAsia="Courier New" w:hAnsi="Courier New"/>
          <w:sz w:val="15"/>
          <w:szCs w:val="15"/>
          <w:b w:val="1"/>
          <w:bCs w:val="1"/>
          <w:color w:val="auto"/>
        </w:rPr>
        <w:t>capital</w:t>
      </w:r>
      <w:r>
        <w:rPr>
          <w:sz w:val="20"/>
          <w:szCs w:val="20"/>
          <w:color w:val="auto"/>
        </w:rPr>
        <w:tab/>
      </w:r>
      <w:r>
        <w:rPr>
          <w:rFonts w:ascii="Courier New" w:cs="Courier New" w:eastAsia="Courier New" w:hAnsi="Courier New"/>
          <w:sz w:val="15"/>
          <w:szCs w:val="15"/>
          <w:b w:val="1"/>
          <w:bCs w:val="1"/>
          <w:color w:val="auto"/>
        </w:rPr>
        <w:t>Earnings</w:t>
      </w:r>
      <w:r>
        <w:rPr>
          <w:sz w:val="20"/>
          <w:szCs w:val="20"/>
          <w:color w:val="auto"/>
        </w:rPr>
        <w:tab/>
      </w:r>
      <w:r>
        <w:rPr>
          <w:rFonts w:ascii="Courier New" w:cs="Courier New" w:eastAsia="Courier New" w:hAnsi="Courier New"/>
          <w:sz w:val="15"/>
          <w:szCs w:val="15"/>
          <w:b w:val="1"/>
          <w:bCs w:val="1"/>
          <w:color w:val="auto"/>
        </w:rPr>
        <w:t>Income (Loss)</w:t>
      </w:r>
      <w:r>
        <w:rPr>
          <w:sz w:val="20"/>
          <w:szCs w:val="20"/>
          <w:color w:val="auto"/>
        </w:rPr>
        <w:tab/>
      </w:r>
      <w:r>
        <w:rPr>
          <w:rFonts w:ascii="Courier New" w:cs="Courier New" w:eastAsia="Courier New" w:hAnsi="Courier New"/>
          <w:sz w:val="15"/>
          <w:szCs w:val="15"/>
          <w:b w:val="1"/>
          <w:bCs w:val="1"/>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Balance, January 1, 2002, Restated</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15,317</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$154</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$ 40,111</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$ 36,139</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(5,422)</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$ 70,982</w:t>
            </w:r>
          </w:p>
        </w:tc>
      </w:tr>
      <w:tr>
        <w:trPr>
          <w:trHeight w:val="171"/>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Shares issued</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332</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332</w:t>
            </w:r>
          </w:p>
        </w:tc>
      </w:tr>
      <w:tr>
        <w:trPr>
          <w:trHeight w:val="171"/>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6,375</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6,375</w:t>
            </w:r>
          </w:p>
        </w:tc>
      </w:tr>
      <w:tr>
        <w:trPr>
          <w:trHeight w:val="171"/>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Dividends declared</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(3,685)</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(3,685)</w:t>
            </w:r>
          </w:p>
        </w:tc>
      </w:tr>
      <w:tr>
        <w:trPr>
          <w:trHeight w:val="171"/>
        </w:trPr>
        <w:tc>
          <w:tcPr>
            <w:tcW w:w="3620" w:type="dxa"/>
            <w:vAlign w:val="bottom"/>
          </w:tcPr>
          <w:p>
            <w:pPr>
              <w:ind w:left="340"/>
              <w:spacing w:after="0"/>
              <w:rPr>
                <w:sz w:val="20"/>
                <w:szCs w:val="20"/>
                <w:color w:val="auto"/>
              </w:rPr>
            </w:pPr>
            <w:r>
              <w:rPr>
                <w:rFonts w:ascii="Courier New" w:cs="Courier New" w:eastAsia="Courier New" w:hAnsi="Courier New"/>
                <w:sz w:val="15"/>
                <w:szCs w:val="15"/>
                <w:color w:val="auto"/>
              </w:rPr>
              <w:t>Other comprehensive income</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2,255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2,255</w:t>
            </w:r>
          </w:p>
        </w:tc>
      </w:tr>
      <w:tr>
        <w:trPr>
          <w:trHeight w:val="171"/>
        </w:trPr>
        <w:tc>
          <w:tcPr>
            <w:tcW w:w="3620" w:type="dxa"/>
            <w:vAlign w:val="bottom"/>
          </w:tcPr>
          <w:p>
            <w:pPr>
              <w:spacing w:after="0"/>
              <w:rPr>
                <w:sz w:val="14"/>
                <w:szCs w:val="14"/>
                <w:color w:val="auto"/>
              </w:rPr>
            </w:pP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Balance, September 30, 2002, Restated</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15,368</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$154</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$ 40,443</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$ 38,829</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(3,167)</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$ 76,259</w:t>
            </w:r>
          </w:p>
        </w:tc>
      </w:tr>
      <w:tr>
        <w:trPr>
          <w:trHeight w:val="171"/>
        </w:trPr>
        <w:tc>
          <w:tcPr>
            <w:tcW w:w="3620" w:type="dxa"/>
            <w:vAlign w:val="bottom"/>
          </w:tcPr>
          <w:p>
            <w:pPr>
              <w:spacing w:after="0"/>
              <w:rPr>
                <w:sz w:val="14"/>
                <w:szCs w:val="14"/>
                <w:color w:val="auto"/>
              </w:rPr>
            </w:pP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Balance, January 1, 2003, Restated</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15,370</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$154</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$ 40,457</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$ 38,984</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(1,687)</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$77,908</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Shares issued</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1,330</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12,421</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12,435</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7,504</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7,504</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Dividends declared</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(3,895)</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(3,895)</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income</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5,460</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5,460</w:t>
            </w:r>
          </w:p>
        </w:tc>
      </w:tr>
      <w:tr>
        <w:trPr>
          <w:trHeight w:val="171"/>
        </w:trPr>
        <w:tc>
          <w:tcPr>
            <w:tcW w:w="3620" w:type="dxa"/>
            <w:vAlign w:val="bottom"/>
          </w:tcPr>
          <w:p>
            <w:pPr>
              <w:spacing w:after="0"/>
              <w:rPr>
                <w:sz w:val="14"/>
                <w:szCs w:val="14"/>
                <w:color w:val="auto"/>
              </w:rPr>
            </w:pP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Balance, September 30, 2003</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16,700</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$ 52,878</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$ 42,593</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$3,773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$99,412</w:t>
            </w:r>
          </w:p>
        </w:tc>
      </w:tr>
      <w:tr>
        <w:trPr>
          <w:trHeight w:val="171"/>
        </w:trPr>
        <w:tc>
          <w:tcPr>
            <w:tcW w:w="3620" w:type="dxa"/>
            <w:vAlign w:val="bottom"/>
          </w:tcPr>
          <w:p>
            <w:pPr>
              <w:spacing w:after="0"/>
              <w:rPr>
                <w:sz w:val="14"/>
                <w:szCs w:val="14"/>
                <w:color w:val="auto"/>
              </w:rPr>
            </w:pP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b w:val="1"/>
          <w:bCs w:val="1"/>
          <w:color w:val="auto"/>
        </w:rPr>
        <w:t>See accompanying notes.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299085</wp:posOffset>
            </wp:positionV>
            <wp:extent cx="729361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NN, Inc.</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(Unaudited)</w:t>
      </w:r>
    </w:p>
    <w:p>
      <w:pPr>
        <w:sectPr>
          <w:pgSz w:w="11900" w:h="16848" w:orient="portrait"/>
          <w:cols w:equalWidth="0" w:num="1">
            <w:col w:w="11520"/>
          </w:cols>
          <w:pgMar w:left="240" w:top="139"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Thousands of Dollars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b w:val="1"/>
          <w:bCs w:val="1"/>
          <w:color w:val="auto"/>
        </w:rPr>
        <w:t>Nine Months Ended</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b w:val="1"/>
          <w:bCs w:val="1"/>
          <w:color w:val="auto"/>
        </w:rPr>
        <w:t>September 30,</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b w:val="1"/>
          <w:bCs w:val="1"/>
          <w:color w:val="auto"/>
        </w:rPr>
        <w:t>2003</w:t>
      </w:r>
      <w:r>
        <w:rPr>
          <w:sz w:val="20"/>
          <w:szCs w:val="20"/>
          <w:color w:val="auto"/>
        </w:rPr>
        <w:tab/>
      </w:r>
      <w:r>
        <w:rPr>
          <w:rFonts w:ascii="Courier New" w:cs="Courier New" w:eastAsia="Courier New" w:hAnsi="Courier New"/>
          <w:sz w:val="15"/>
          <w:szCs w:val="15"/>
          <w:b w:val="1"/>
          <w:bCs w:val="1"/>
          <w:color w:val="auto"/>
        </w:rPr>
        <w:t>2002</w:t>
      </w:r>
    </w:p>
    <w:p>
      <w:pPr>
        <w:sectPr>
          <w:pgSz w:w="11900" w:h="16848" w:orient="portrait"/>
          <w:cols w:equalWidth="0" w:num="2">
            <w:col w:w="7080" w:space="720"/>
            <w:col w:w="3720"/>
          </w:cols>
          <w:pgMar w:left="240" w:top="139" w:right="139" w:bottom="0" w:gutter="0" w:footer="0" w:header="0"/>
          <w:type w:val="continuous"/>
        </w:sectPr>
      </w:pPr>
    </w:p>
    <w:bookmarkStart w:id="3" w:name="page4"/>
    <w:bookmarkEnd w:id="3"/>
    <w:p>
      <w:pPr>
        <w:spacing w:after="0" w:line="31" w:lineRule="exact"/>
        <w:rPr>
          <w:sz w:val="20"/>
          <w:szCs w:val="20"/>
          <w:color w:val="auto"/>
        </w:rPr>
      </w:pPr>
    </w:p>
    <w:p>
      <w:pPr>
        <w:ind w:left="169" w:hanging="169"/>
        <w:spacing w:after="0"/>
        <w:tabs>
          <w:tab w:leader="none" w:pos="169" w:val="left"/>
        </w:tabs>
        <w:numPr>
          <w:ilvl w:val="0"/>
          <w:numId w:val="2"/>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w:t>
      </w:r>
    </w:p>
    <w:p>
      <w:pPr>
        <w:spacing w:after="0" w:line="9" w:lineRule="exact"/>
        <w:rPr>
          <w:rFonts w:ascii="Courier New" w:cs="Courier New" w:eastAsia="Courier New" w:hAnsi="Courier New"/>
          <w:sz w:val="14"/>
          <w:szCs w:val="14"/>
          <w:b w:val="1"/>
          <w:bCs w:val="1"/>
          <w:color w:val="auto"/>
        </w:rPr>
      </w:pPr>
    </w:p>
    <w:p>
      <w:pPr>
        <w:ind w:left="9"/>
        <w:spacing w:after="0"/>
        <w:rPr>
          <w:rFonts w:ascii="Courier New" w:cs="Courier New" w:eastAsia="Courier New" w:hAnsi="Courier New"/>
          <w:sz w:val="14"/>
          <w:szCs w:val="14"/>
          <w:b w:val="1"/>
          <w:bCs w:val="1"/>
          <w:color w:val="auto"/>
        </w:rPr>
      </w:pPr>
      <w:r>
        <w:rPr>
          <w:rFonts w:ascii="Courier New" w:cs="Courier New" w:eastAsia="Courier New" w:hAnsi="Courier New"/>
          <w:sz w:val="15"/>
          <w:szCs w:val="15"/>
          <w:b w:val="1"/>
          <w:bCs w:val="1"/>
          <w:color w:val="auto"/>
        </w:rPr>
        <w:t>Operating Activities: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$ 7,504</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$ 6,375</w:t>
            </w: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to net cash provided (used) by operating</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activities:</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10,203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8,443</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(Gain) loss on disposals of property, plant and equipment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Minority interest in consolidated subsidiary</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2,010</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Loss on extinguishment of debt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Restructuring and impairment costs</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2,742</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Accounts receivable</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(14,506)</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(5,117)</w:t>
            </w: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Inventories</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(3,736)</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1,738</w:t>
            </w: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Other current assets</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(406)</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425</w:t>
            </w: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Other assets</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(3,056)</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Accounts payable</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6,653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1,515</w:t>
            </w: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Income taxes payable</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1,883</w:t>
            </w: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Other liabilities</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2,015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4,063</w:t>
            </w:r>
          </w:p>
        </w:tc>
      </w:tr>
      <w:tr>
        <w:trPr>
          <w:trHeight w:val="171"/>
        </w:trPr>
        <w:tc>
          <w:tcPr>
            <w:tcW w:w="7140" w:type="dxa"/>
            <w:vAlign w:val="bottom"/>
          </w:tcPr>
          <w:p>
            <w:pPr>
              <w:spacing w:after="0"/>
              <w:rPr>
                <w:sz w:val="14"/>
                <w:szCs w:val="14"/>
                <w:color w:val="auto"/>
              </w:rPr>
            </w:pP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8,271</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21,395</w:t>
            </w:r>
          </w:p>
        </w:tc>
      </w:tr>
      <w:tr>
        <w:trPr>
          <w:trHeight w:val="171"/>
        </w:trPr>
        <w:tc>
          <w:tcPr>
            <w:tcW w:w="7140" w:type="dxa"/>
            <w:vAlign w:val="bottom"/>
          </w:tcPr>
          <w:p>
            <w:pPr>
              <w:spacing w:after="0"/>
              <w:rPr>
                <w:sz w:val="14"/>
                <w:szCs w:val="14"/>
                <w:color w:val="auto"/>
              </w:rPr>
            </w:pP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b w:val="1"/>
                <w:bCs w:val="1"/>
                <w:color w:val="auto"/>
              </w:rPr>
              <w:t>Investing Activities:</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7140" w:type="dxa"/>
            <w:vAlign w:val="bottom"/>
          </w:tcPr>
          <w:p>
            <w:pPr>
              <w:ind w:left="80"/>
              <w:spacing w:after="0"/>
              <w:rPr>
                <w:sz w:val="20"/>
                <w:szCs w:val="20"/>
                <w:color w:val="auto"/>
              </w:rPr>
            </w:pPr>
            <w:r>
              <w:rPr>
                <w:rFonts w:ascii="Courier New" w:cs="Courier New" w:eastAsia="Courier New" w:hAnsi="Courier New"/>
                <w:sz w:val="15"/>
                <w:szCs w:val="15"/>
                <w:color w:val="auto"/>
              </w:rPr>
              <w:t>Acquisition of Veenendaal, The Netherlands</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(17,933)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80"/>
              <w:spacing w:after="0"/>
              <w:rPr>
                <w:sz w:val="20"/>
                <w:szCs w:val="20"/>
                <w:color w:val="auto"/>
              </w:rPr>
            </w:pPr>
            <w:r>
              <w:rPr>
                <w:rFonts w:ascii="Courier New" w:cs="Courier New" w:eastAsia="Courier New" w:hAnsi="Courier New"/>
                <w:sz w:val="15"/>
                <w:szCs w:val="15"/>
                <w:color w:val="auto"/>
              </w:rPr>
              <w:t>Purchase of minority interest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(15,583)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80"/>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(7,200)</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(4,626)</w:t>
            </w:r>
          </w:p>
        </w:tc>
      </w:tr>
      <w:tr>
        <w:trPr>
          <w:trHeight w:val="171"/>
        </w:trPr>
        <w:tc>
          <w:tcPr>
            <w:tcW w:w="7140" w:type="dxa"/>
            <w:vAlign w:val="bottom"/>
          </w:tcPr>
          <w:p>
            <w:pPr>
              <w:ind w:left="80"/>
              <w:spacing w:after="0"/>
              <w:rPr>
                <w:sz w:val="20"/>
                <w:szCs w:val="20"/>
                <w:color w:val="auto"/>
              </w:rPr>
            </w:pPr>
            <w:r>
              <w:rPr>
                <w:rFonts w:ascii="Courier New" w:cs="Courier New" w:eastAsia="Courier New" w:hAnsi="Courier New"/>
                <w:sz w:val="15"/>
                <w:szCs w:val="15"/>
                <w:color w:val="auto"/>
              </w:rPr>
              <w:t>Proceeds from disposals of property, plant and equipment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w:t>
            </w:r>
          </w:p>
        </w:tc>
      </w:tr>
      <w:tr>
        <w:trPr>
          <w:trHeight w:val="171"/>
        </w:trPr>
        <w:tc>
          <w:tcPr>
            <w:tcW w:w="7140" w:type="dxa"/>
            <w:vAlign w:val="bottom"/>
          </w:tcPr>
          <w:p>
            <w:pPr>
              <w:spacing w:after="0"/>
              <w:rPr>
                <w:sz w:val="14"/>
                <w:szCs w:val="14"/>
                <w:color w:val="auto"/>
              </w:rPr>
            </w:pP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Net cash used by investing activities</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(40,571)</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(4,583)</w:t>
            </w:r>
          </w:p>
        </w:tc>
      </w:tr>
      <w:tr>
        <w:trPr>
          <w:trHeight w:val="171"/>
        </w:trPr>
        <w:tc>
          <w:tcPr>
            <w:tcW w:w="7140" w:type="dxa"/>
            <w:vAlign w:val="bottom"/>
          </w:tcPr>
          <w:p>
            <w:pPr>
              <w:spacing w:after="0"/>
              <w:rPr>
                <w:sz w:val="14"/>
                <w:szCs w:val="14"/>
                <w:color w:val="auto"/>
              </w:rPr>
            </w:pP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b w:val="1"/>
                <w:bCs w:val="1"/>
                <w:color w:val="auto"/>
              </w:rPr>
              <w:t>Financing Activities:</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7140" w:type="dxa"/>
            <w:vAlign w:val="bottom"/>
          </w:tcPr>
          <w:p>
            <w:pPr>
              <w:ind w:left="80"/>
              <w:spacing w:after="0"/>
              <w:rPr>
                <w:sz w:val="20"/>
                <w:szCs w:val="20"/>
                <w:color w:val="auto"/>
              </w:rPr>
            </w:pPr>
            <w:r>
              <w:rPr>
                <w:rFonts w:ascii="Courier New" w:cs="Courier New" w:eastAsia="Courier New" w:hAnsi="Courier New"/>
                <w:sz w:val="15"/>
                <w:szCs w:val="15"/>
                <w:color w:val="auto"/>
              </w:rPr>
              <w:t>Proceeds from long-term debt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89,745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80"/>
              <w:spacing w:after="0"/>
              <w:rPr>
                <w:sz w:val="20"/>
                <w:szCs w:val="20"/>
                <w:color w:val="auto"/>
              </w:rPr>
            </w:pPr>
            <w:r>
              <w:rPr>
                <w:rFonts w:ascii="Courier New" w:cs="Courier New" w:eastAsia="Courier New" w:hAnsi="Courier New"/>
                <w:sz w:val="15"/>
                <w:szCs w:val="15"/>
                <w:color w:val="auto"/>
              </w:rPr>
              <w:t>Proceeds from short-term debt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80"/>
              <w:spacing w:after="0"/>
              <w:rPr>
                <w:sz w:val="20"/>
                <w:szCs w:val="20"/>
                <w:color w:val="auto"/>
              </w:rPr>
            </w:pPr>
            <w:r>
              <w:rPr>
                <w:rFonts w:ascii="Courier New" w:cs="Courier New" w:eastAsia="Courier New" w:hAnsi="Courier New"/>
                <w:sz w:val="15"/>
                <w:szCs w:val="15"/>
                <w:color w:val="auto"/>
              </w:rPr>
              <w:t>Debt issuance costs</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80"/>
              <w:spacing w:after="0"/>
              <w:rPr>
                <w:sz w:val="20"/>
                <w:szCs w:val="20"/>
                <w:color w:val="auto"/>
              </w:rPr>
            </w:pPr>
            <w:r>
              <w:rPr>
                <w:rFonts w:ascii="Courier New" w:cs="Courier New" w:eastAsia="Courier New" w:hAnsi="Courier New"/>
                <w:sz w:val="15"/>
                <w:szCs w:val="15"/>
                <w:color w:val="auto"/>
              </w:rPr>
              <w:t>Book overdraft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w:t>
            </w:r>
          </w:p>
        </w:tc>
      </w:tr>
      <w:tr>
        <w:trPr>
          <w:trHeight w:val="171"/>
        </w:trPr>
        <w:tc>
          <w:tcPr>
            <w:tcW w:w="7140" w:type="dxa"/>
            <w:vAlign w:val="bottom"/>
          </w:tcPr>
          <w:p>
            <w:pPr>
              <w:ind w:left="80"/>
              <w:spacing w:after="0"/>
              <w:rPr>
                <w:sz w:val="20"/>
                <w:szCs w:val="20"/>
                <w:color w:val="auto"/>
              </w:rPr>
            </w:pPr>
            <w:r>
              <w:rPr>
                <w:rFonts w:ascii="Courier New" w:cs="Courier New" w:eastAsia="Courier New" w:hAnsi="Courier New"/>
                <w:sz w:val="15"/>
                <w:szCs w:val="15"/>
                <w:color w:val="auto"/>
              </w:rPr>
              <w:t>Repayment of long-term debt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(60,962)</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(11,971)</w:t>
            </w:r>
          </w:p>
        </w:tc>
      </w:tr>
      <w:tr>
        <w:trPr>
          <w:trHeight w:val="171"/>
        </w:trPr>
        <w:tc>
          <w:tcPr>
            <w:tcW w:w="7140" w:type="dxa"/>
            <w:vAlign w:val="bottom"/>
          </w:tcPr>
          <w:p>
            <w:pPr>
              <w:ind w:left="80"/>
              <w:spacing w:after="0"/>
              <w:rPr>
                <w:sz w:val="20"/>
                <w:szCs w:val="20"/>
                <w:color w:val="auto"/>
              </w:rPr>
            </w:pPr>
            <w:r>
              <w:rPr>
                <w:rFonts w:ascii="Courier New" w:cs="Courier New" w:eastAsia="Courier New" w:hAnsi="Courier New"/>
                <w:sz w:val="15"/>
                <w:szCs w:val="15"/>
                <w:color w:val="auto"/>
              </w:rPr>
              <w:t>Repayment of short-term debt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80"/>
              <w:spacing w:after="0"/>
              <w:rPr>
                <w:sz w:val="20"/>
                <w:szCs w:val="20"/>
                <w:color w:val="auto"/>
              </w:rPr>
            </w:pPr>
            <w:r>
              <w:rPr>
                <w:rFonts w:ascii="Courier New" w:cs="Courier New" w:eastAsia="Courier New" w:hAnsi="Courier New"/>
                <w:sz w:val="15"/>
                <w:szCs w:val="15"/>
                <w:color w:val="auto"/>
              </w:rPr>
              <w:t>Proceeds from issuance of stock</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5,498</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332</w:t>
            </w:r>
          </w:p>
        </w:tc>
      </w:tr>
      <w:tr>
        <w:trPr>
          <w:trHeight w:val="171"/>
        </w:trPr>
        <w:tc>
          <w:tcPr>
            <w:tcW w:w="7140" w:type="dxa"/>
            <w:vAlign w:val="bottom"/>
          </w:tcPr>
          <w:p>
            <w:pPr>
              <w:ind w:left="80"/>
              <w:spacing w:after="0"/>
              <w:rPr>
                <w:sz w:val="20"/>
                <w:szCs w:val="20"/>
                <w:color w:val="auto"/>
              </w:rPr>
            </w:pPr>
            <w:r>
              <w:rPr>
                <w:rFonts w:ascii="Courier New" w:cs="Courier New" w:eastAsia="Courier New" w:hAnsi="Courier New"/>
                <w:sz w:val="15"/>
                <w:szCs w:val="15"/>
                <w:color w:val="auto"/>
              </w:rPr>
              <w:t>Dividends paid</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(3,895)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(3,686)</w:t>
            </w:r>
          </w:p>
        </w:tc>
      </w:tr>
      <w:tr>
        <w:trPr>
          <w:trHeight w:val="171"/>
        </w:trPr>
        <w:tc>
          <w:tcPr>
            <w:tcW w:w="7140" w:type="dxa"/>
            <w:vAlign w:val="bottom"/>
          </w:tcPr>
          <w:p>
            <w:pPr>
              <w:spacing w:after="0"/>
              <w:rPr>
                <w:sz w:val="14"/>
                <w:szCs w:val="14"/>
                <w:color w:val="auto"/>
              </w:rPr>
            </w:pP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(used) by financing activities</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31,526</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(15,585)</w:t>
            </w:r>
          </w:p>
        </w:tc>
      </w:tr>
      <w:tr>
        <w:trPr>
          <w:trHeight w:val="171"/>
        </w:trPr>
        <w:tc>
          <w:tcPr>
            <w:tcW w:w="7140" w:type="dxa"/>
            <w:vAlign w:val="bottom"/>
          </w:tcPr>
          <w:p>
            <w:pPr>
              <w:spacing w:after="0"/>
              <w:rPr>
                <w:sz w:val="14"/>
                <w:szCs w:val="14"/>
                <w:color w:val="auto"/>
              </w:rPr>
            </w:pP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 equivalents</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420</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356</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b w:val="1"/>
                <w:bCs w:val="1"/>
                <w:color w:val="auto"/>
              </w:rPr>
              <w:t>Net Change in Cash and Cash Equivalents</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(354)</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1,583</w:t>
            </w: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b w:val="1"/>
                <w:bCs w:val="1"/>
                <w:color w:val="auto"/>
              </w:rPr>
              <w:t>Cash and Cash Equivalents at Beginning of Period</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5,144</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3,024</w:t>
            </w:r>
          </w:p>
        </w:tc>
      </w:tr>
      <w:tr>
        <w:trPr>
          <w:trHeight w:val="171"/>
        </w:trPr>
        <w:tc>
          <w:tcPr>
            <w:tcW w:w="7140" w:type="dxa"/>
            <w:vAlign w:val="bottom"/>
          </w:tcPr>
          <w:p>
            <w:pPr>
              <w:spacing w:after="0"/>
              <w:rPr>
                <w:sz w:val="14"/>
                <w:szCs w:val="14"/>
                <w:color w:val="auto"/>
              </w:rPr>
            </w:pP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b w:val="1"/>
                <w:bCs w:val="1"/>
                <w:color w:val="auto"/>
              </w:rPr>
              <w:t>Cash and Cash Equivalents at End of Period</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$ 4,790</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$ 4,607</w:t>
            </w:r>
          </w:p>
        </w:tc>
      </w:tr>
      <w:tr>
        <w:trPr>
          <w:trHeight w:val="171"/>
        </w:trPr>
        <w:tc>
          <w:tcPr>
            <w:tcW w:w="7140" w:type="dxa"/>
            <w:vAlign w:val="bottom"/>
          </w:tcPr>
          <w:p>
            <w:pPr>
              <w:spacing w:after="0"/>
              <w:rPr>
                <w:sz w:val="14"/>
                <w:szCs w:val="14"/>
                <w:color w:val="auto"/>
              </w:rPr>
            </w:pP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 and financing activities:</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Stock issued related to acquisition of Veenendaal</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$ 6,937</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w:t>
            </w:r>
          </w:p>
        </w:tc>
      </w:tr>
      <w:tr>
        <w:trPr>
          <w:trHeight w:val="171"/>
        </w:trPr>
        <w:tc>
          <w:tcPr>
            <w:tcW w:w="7140" w:type="dxa"/>
            <w:vAlign w:val="bottom"/>
          </w:tcPr>
          <w:p>
            <w:pPr>
              <w:spacing w:after="0"/>
              <w:rPr>
                <w:sz w:val="14"/>
                <w:szCs w:val="14"/>
                <w:color w:val="auto"/>
              </w:rPr>
            </w:pP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b w:val="1"/>
          <w:bCs w:val="1"/>
          <w:color w:val="auto"/>
        </w:rPr>
        <w:t>See accompanying notes.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29361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b w:val="1"/>
          <w:bCs w:val="1"/>
          <w:color w:val="auto"/>
        </w:rPr>
        <w:t>NN, Inc.</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b w:val="1"/>
          <w:bCs w:val="1"/>
          <w:color w:val="auto"/>
        </w:rPr>
        <w:t>Notes To Consolidated Financial Statements</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b w:val="1"/>
          <w:bCs w:val="1"/>
          <w:color w:val="auto"/>
        </w:rPr>
        <w:t>(unaudited)</w:t>
      </w:r>
    </w:p>
    <w:p>
      <w:pPr>
        <w:spacing w:after="0" w:line="342"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b w:val="1"/>
          <w:bCs w:val="1"/>
          <w:color w:val="auto"/>
        </w:rPr>
        <w:t>Note 1.</w:t>
      </w:r>
      <w:r>
        <w:rPr>
          <w:sz w:val="20"/>
          <w:szCs w:val="20"/>
          <w:color w:val="auto"/>
        </w:rPr>
        <w:tab/>
      </w:r>
      <w:r>
        <w:rPr>
          <w:rFonts w:ascii="Courier New" w:cs="Courier New" w:eastAsia="Courier New" w:hAnsi="Courier New"/>
          <w:sz w:val="14"/>
          <w:szCs w:val="14"/>
          <w:b w:val="1"/>
          <w:bCs w:val="1"/>
          <w:color w:val="auto"/>
        </w:rPr>
        <w:t>Interim Financial Statements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accompanying consolidated financial statements of NN, Inc. (the "Company") have not been audited by independent accountants, except that the balance sheet at December 31, 2002 is derived from the Company's audited financial statements. In the opinion of the Company's management, the financial statements reflect all adjustments necessary to present fairly the results of operations for the three and nine month periods ended September 30, 2003 and 2002, the Company's financial position at September 30, 2003 and December 31, 2002, and the cash flows for the nine month periods ended September 30, 2003 and 2002. These adjustments are of a normal recurring nature and are, in the opinion of management, necessary for fair presentation of the financial position and operating results for the interim periods. As used in this Quarterly Report on Form 10-Q, the terms "NN", "the Company", "we", "our", or "us" mean NN, Inc. and its subsidiaries.</w:t>
      </w:r>
    </w:p>
    <w:p>
      <w:pPr>
        <w:spacing w:after="0" w:line="180"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 These Condensed, Consolidated, Unaudited Financial Statements should be read in conjunction with our audited Consolidated Financial Statements and the Notes thereto included in our most recent annual report on Form 10-K/A which we filed with the Commission on January 30, 2004.</w:t>
      </w:r>
    </w:p>
    <w:p>
      <w:pPr>
        <w:spacing w:after="0" w:line="163"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The results for the first, second and third quarters of 2003 are not necessarily indicative of future results.</w:t>
      </w:r>
    </w:p>
    <w:p>
      <w:pPr>
        <w:sectPr>
          <w:pgSz w:w="11900" w:h="16869" w:orient="portrait"/>
          <w:cols w:equalWidth="0" w:num="1">
            <w:col w:w="10228"/>
          </w:cols>
          <w:pgMar w:left="231" w:top="141" w:right="1440" w:bottom="0" w:gutter="0" w:footer="0" w:header="0"/>
        </w:sectPr>
      </w:pPr>
    </w:p>
    <w:bookmarkStart w:id="4" w:name="page5"/>
    <w:bookmarkEnd w:id="4"/>
    <w:p>
      <w:pPr>
        <w:ind w:right="5160"/>
        <w:spacing w:after="0" w:line="238" w:lineRule="auto"/>
        <w:rPr>
          <w:sz w:val="20"/>
          <w:szCs w:val="20"/>
          <w:color w:val="auto"/>
        </w:rPr>
      </w:pPr>
      <w:r>
        <w:rPr>
          <w:rFonts w:ascii="Courier New" w:cs="Courier New" w:eastAsia="Courier New" w:hAnsi="Courier New"/>
          <w:sz w:val="15"/>
          <w:szCs w:val="15"/>
          <w:color w:val="auto"/>
        </w:rPr>
        <w:t>Certain 2002 amounts have been reclassified to conform with the 2003 presentation.</w:t>
      </w:r>
    </w:p>
    <w:p>
      <w:pPr>
        <w:spacing w:after="0" w:line="175" w:lineRule="exact"/>
        <w:rPr>
          <w:sz w:val="20"/>
          <w:szCs w:val="20"/>
          <w:color w:val="auto"/>
        </w:rPr>
      </w:pPr>
    </w:p>
    <w:p>
      <w:pPr>
        <w:jc w:val="both"/>
        <w:ind w:right="4800"/>
        <w:spacing w:after="0" w:line="258" w:lineRule="auto"/>
        <w:rPr>
          <w:sz w:val="20"/>
          <w:szCs w:val="20"/>
          <w:color w:val="auto"/>
        </w:rPr>
      </w:pPr>
      <w:r>
        <w:rPr>
          <w:rFonts w:ascii="Courier New" w:cs="Courier New" w:eastAsia="Courier New" w:hAnsi="Courier New"/>
          <w:sz w:val="14"/>
          <w:szCs w:val="14"/>
          <w:color w:val="auto"/>
        </w:rPr>
        <w:t>The Company has revised the accounting treatment for the formation of NN Euroball, ApS ("Euroball") on July 31, 2000 and the Company's subsequent purchase of the minority interests held by INA/FAG and SKF. See Note 12.</w:t>
      </w:r>
    </w:p>
    <w:p>
      <w:pPr>
        <w:spacing w:after="0" w:line="1" w:lineRule="exact"/>
        <w:rPr>
          <w:sz w:val="20"/>
          <w:szCs w:val="20"/>
          <w:color w:val="auto"/>
        </w:rPr>
      </w:pPr>
    </w:p>
    <w:p>
      <w:pPr>
        <w:jc w:val="both"/>
        <w:ind w:right="4360"/>
        <w:spacing w:after="0" w:line="239" w:lineRule="auto"/>
        <w:rPr>
          <w:sz w:val="20"/>
          <w:szCs w:val="20"/>
          <w:color w:val="auto"/>
        </w:rPr>
      </w:pPr>
      <w:r>
        <w:rPr>
          <w:rFonts w:ascii="Courier New" w:cs="Courier New" w:eastAsia="Courier New" w:hAnsi="Courier New"/>
          <w:sz w:val="15"/>
          <w:szCs w:val="15"/>
          <w:color w:val="auto"/>
        </w:rPr>
        <w:t>Additionally, the Company has reclassified minority interest in consolidated subsidiaries from a component of total liabilities to a separate line item in the Consolidated Balance Sheet at December 31, 2002.</w:t>
      </w:r>
    </w:p>
    <w:p>
      <w:pPr>
        <w:spacing w:after="0" w:line="34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b w:val="1"/>
          <w:bCs w:val="1"/>
          <w:color w:val="auto"/>
        </w:rPr>
        <w:t>Note 2.</w:t>
      </w:r>
      <w:r>
        <w:rPr>
          <w:sz w:val="20"/>
          <w:szCs w:val="20"/>
          <w:color w:val="auto"/>
        </w:rPr>
        <w:tab/>
      </w:r>
      <w:r>
        <w:rPr>
          <w:rFonts w:ascii="Courier New" w:cs="Courier New" w:eastAsia="Courier New" w:hAnsi="Courier New"/>
          <w:sz w:val="14"/>
          <w:szCs w:val="14"/>
          <w:b w:val="1"/>
          <w:bCs w:val="1"/>
          <w:color w:val="auto"/>
        </w:rPr>
        <w:t>Derivative Financial Instruments</w:t>
      </w:r>
    </w:p>
    <w:p>
      <w:pPr>
        <w:spacing w:after="0" w:line="174" w:lineRule="exact"/>
        <w:rPr>
          <w:sz w:val="20"/>
          <w:szCs w:val="20"/>
          <w:color w:val="auto"/>
        </w:rPr>
      </w:pPr>
    </w:p>
    <w:p>
      <w:pPr>
        <w:ind w:right="4260"/>
        <w:spacing w:after="0"/>
        <w:rPr>
          <w:sz w:val="20"/>
          <w:szCs w:val="20"/>
          <w:color w:val="auto"/>
        </w:rPr>
      </w:pPr>
      <w:r>
        <w:rPr>
          <w:rFonts w:ascii="Courier New" w:cs="Courier New" w:eastAsia="Courier New" w:hAnsi="Courier New"/>
          <w:sz w:val="15"/>
          <w:szCs w:val="15"/>
          <w:color w:val="auto"/>
        </w:rPr>
        <w:t>We have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77" w:lineRule="exact"/>
        <w:rPr>
          <w:sz w:val="20"/>
          <w:szCs w:val="20"/>
          <w:color w:val="auto"/>
        </w:rPr>
      </w:pPr>
    </w:p>
    <w:p>
      <w:pPr>
        <w:ind w:right="4180"/>
        <w:spacing w:after="0" w:line="259" w:lineRule="auto"/>
        <w:rPr>
          <w:sz w:val="20"/>
          <w:szCs w:val="20"/>
          <w:color w:val="auto"/>
        </w:rPr>
      </w:pPr>
      <w:r>
        <w:rPr>
          <w:rFonts w:ascii="Courier New" w:cs="Courier New" w:eastAsia="Courier New" w:hAnsi="Courier New"/>
          <w:sz w:val="14"/>
          <w:szCs w:val="14"/>
          <w:color w:val="auto"/>
        </w:rPr>
        <w:t>In connection with a variable Euribor rate debt financing in July 2000, our subsidiary, NN Euroball ApS entered into an interest rate swap with a notional amount of Euro 12.5 million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 This original debt was repaid in May 2003, however, the swap remains pursuant to its original terms.</w:t>
      </w:r>
    </w:p>
    <w:p>
      <w:pPr>
        <w:spacing w:after="0" w:line="166" w:lineRule="exact"/>
        <w:rPr>
          <w:sz w:val="20"/>
          <w:szCs w:val="20"/>
          <w:color w:val="auto"/>
        </w:rPr>
      </w:pPr>
    </w:p>
    <w:p>
      <w:pPr>
        <w:ind w:right="4080"/>
        <w:spacing w:after="0" w:line="261" w:lineRule="auto"/>
        <w:rPr>
          <w:sz w:val="20"/>
          <w:szCs w:val="20"/>
          <w:color w:val="auto"/>
        </w:rPr>
      </w:pPr>
      <w:r>
        <w:rPr>
          <w:rFonts w:ascii="Courier New" w:cs="Courier New" w:eastAsia="Courier New" w:hAnsi="Courier New"/>
          <w:sz w:val="14"/>
          <w:szCs w:val="14"/>
          <w:color w:val="auto"/>
        </w:rPr>
        <w:t>As of September 30, 2003, the fair value of the swap was approximately $508,000, which is recorded in other non-current liabilities. The change in fair value during the nine month period ended September 30, 2003 and 2002 was a loss of approximately $63,000 and a loss of approximately $42,000, respectively, which have been included as a component of other (income) expense.</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299085</wp:posOffset>
            </wp:positionV>
            <wp:extent cx="729361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b w:val="1"/>
          <w:bCs w:val="1"/>
          <w:color w:val="auto"/>
        </w:rPr>
        <w:t>Note 3.</w:t>
      </w:r>
      <w:r>
        <w:rPr>
          <w:sz w:val="20"/>
          <w:szCs w:val="20"/>
          <w:color w:val="auto"/>
        </w:rPr>
        <w:tab/>
      </w:r>
      <w:r>
        <w:rPr>
          <w:rFonts w:ascii="Courier New" w:cs="Courier New" w:eastAsia="Courier New" w:hAnsi="Courier New"/>
          <w:sz w:val="14"/>
          <w:szCs w:val="14"/>
          <w:b w:val="1"/>
          <w:bCs w:val="1"/>
          <w:color w:val="auto"/>
        </w:rPr>
        <w:t>Inventories</w:t>
      </w:r>
    </w:p>
    <w:p>
      <w:pPr>
        <w:spacing w:after="0" w:line="174" w:lineRule="exact"/>
        <w:rPr>
          <w:sz w:val="20"/>
          <w:szCs w:val="20"/>
          <w:color w:val="auto"/>
        </w:rPr>
      </w:pPr>
    </w:p>
    <w:p>
      <w:pPr>
        <w:ind w:right="4180"/>
        <w:spacing w:after="0" w:line="238" w:lineRule="auto"/>
        <w:rPr>
          <w:sz w:val="20"/>
          <w:szCs w:val="20"/>
          <w:color w:val="auto"/>
        </w:rPr>
      </w:pPr>
      <w:r>
        <w:rPr>
          <w:rFonts w:ascii="Courier New" w:cs="Courier New" w:eastAsia="Courier New" w:hAnsi="Courier New"/>
          <w:sz w:val="15"/>
          <w:szCs w:val="15"/>
          <w:color w:val="auto"/>
        </w:rPr>
        <w:t>Inventories are stated at the lower of cost or market. Cost is determined using the first-in, first-out method.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are comprised of the following (in thousands):</w:t>
      </w:r>
    </w:p>
    <w:p>
      <w:pPr>
        <w:sectPr>
          <w:pgSz w:w="11900" w:h="16838" w:orient="portrait"/>
          <w:cols w:equalWidth="0" w:num="1">
            <w:col w:w="11180"/>
          </w:cols>
          <w:pgMar w:left="240" w:top="312"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Raw materials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 in process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Finished goods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inventory reserves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b w:val="1"/>
          <w:bCs w:val="1"/>
          <w:color w:val="auto"/>
        </w:rPr>
        <w:t>Sept. 30,</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b w:val="1"/>
          <w:bCs w:val="1"/>
          <w:color w:val="auto"/>
        </w:rPr>
        <w:t>2003</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b w:val="1"/>
          <w:bCs w:val="1"/>
          <w:color w:val="auto"/>
        </w:rPr>
        <w:t>(Unaudited)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9" w:lineRule="exact"/>
        <w:rPr>
          <w:sz w:val="20"/>
          <w:szCs w:val="20"/>
          <w:color w:val="auto"/>
        </w:rPr>
      </w:pPr>
    </w:p>
    <w:p>
      <w:pPr>
        <w:ind w:left="340"/>
        <w:spacing w:after="0"/>
        <w:tabs>
          <w:tab w:leader="none" w:pos="600" w:val="left"/>
        </w:tabs>
        <w:rPr>
          <w:sz w:val="20"/>
          <w:szCs w:val="20"/>
          <w:color w:val="auto"/>
        </w:rPr>
      </w:pPr>
      <w:r>
        <w:rPr>
          <w:rFonts w:ascii="Courier New" w:cs="Courier New" w:eastAsia="Courier New" w:hAnsi="Courier New"/>
          <w:sz w:val="15"/>
          <w:szCs w:val="15"/>
          <w:color w:val="auto"/>
        </w:rPr>
        <w:t>$</w:t>
        <w:tab/>
        <w:t>7,517</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7,662</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19,433</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(221)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$ 34,391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b w:val="1"/>
          <w:bCs w:val="1"/>
          <w:color w:val="auto"/>
        </w:rPr>
        <w:t>Dec. 31,</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b w:val="1"/>
          <w:bCs w:val="1"/>
          <w:color w:val="auto"/>
        </w:rPr>
        <w:t>2002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9" w:lineRule="exact"/>
        <w:rPr>
          <w:sz w:val="20"/>
          <w:szCs w:val="20"/>
          <w:color w:val="auto"/>
        </w:rPr>
      </w:pPr>
    </w:p>
    <w:p>
      <w:pPr>
        <w:ind w:left="440"/>
        <w:spacing w:after="0"/>
        <w:tabs>
          <w:tab w:leader="none" w:pos="700" w:val="left"/>
        </w:tabs>
        <w:rPr>
          <w:sz w:val="20"/>
          <w:szCs w:val="20"/>
          <w:color w:val="auto"/>
        </w:rPr>
      </w:pPr>
      <w:r>
        <w:rPr>
          <w:rFonts w:ascii="Courier New" w:cs="Courier New" w:eastAsia="Courier New" w:hAnsi="Courier New"/>
          <w:sz w:val="15"/>
          <w:szCs w:val="15"/>
          <w:color w:val="auto"/>
        </w:rPr>
        <w:t>$</w:t>
        <w:tab/>
        <w:t>5,400</w:t>
      </w:r>
    </w:p>
    <w:p>
      <w:pPr>
        <w:spacing w:after="0" w:line="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5,139</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13,065</w:t>
      </w:r>
    </w:p>
    <w:p>
      <w:pPr>
        <w:spacing w:after="0" w:line="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$ 23,402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3360" w:space="720"/>
            <w:col w:w="1140" w:space="360"/>
            <w:col w:w="5600"/>
          </w:cols>
          <w:pgMar w:left="240" w:top="312" w:right="479" w:bottom="0" w:gutter="0" w:footer="0" w:header="0"/>
          <w:type w:val="continuous"/>
        </w:sectPr>
      </w:pPr>
    </w:p>
    <w:p>
      <w:pPr>
        <w:ind w:right="4360"/>
        <w:spacing w:after="0" w:line="238" w:lineRule="auto"/>
        <w:rPr>
          <w:sz w:val="20"/>
          <w:szCs w:val="20"/>
          <w:color w:val="auto"/>
        </w:rPr>
      </w:pPr>
      <w:r>
        <w:rPr>
          <w:rFonts w:ascii="Courier New" w:cs="Courier New" w:eastAsia="Courier New" w:hAnsi="Courier New"/>
          <w:sz w:val="15"/>
          <w:szCs w:val="15"/>
          <w:color w:val="auto"/>
        </w:rPr>
        <w:t>Inventories on consignment at customer locations as of September 30, 2003 and December 31, 2002 were $2,255 and $3,093, respectively.</w:t>
      </w:r>
    </w:p>
    <w:p>
      <w:pPr>
        <w:sectPr>
          <w:pgSz w:w="11900" w:h="16838" w:orient="portrait"/>
          <w:cols w:equalWidth="0" w:num="1">
            <w:col w:w="11180"/>
          </w:cols>
          <w:pgMar w:left="240" w:top="312" w:right="479"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Note 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Net Income Per Share</w:t>
      </w:r>
    </w:p>
    <w:p>
      <w:pPr>
        <w:spacing w:after="0" w:line="183" w:lineRule="exact"/>
        <w:rPr>
          <w:sz w:val="20"/>
          <w:szCs w:val="20"/>
          <w:color w:val="auto"/>
        </w:rPr>
      </w:pPr>
    </w:p>
    <w:p>
      <w:pPr>
        <w:sectPr>
          <w:pgSz w:w="11900" w:h="16838" w:orient="portrait"/>
          <w:cols w:equalWidth="0" w:num="2">
            <w:col w:w="620" w:space="160"/>
            <w:col w:w="10400"/>
          </w:cols>
          <w:pgMar w:left="240" w:top="312" w:right="479" w:bottom="0" w:gutter="0" w:footer="0" w:header="0"/>
          <w:type w:val="continuous"/>
        </w:sectPr>
      </w:pPr>
    </w:p>
    <w:p>
      <w:pPr>
        <w:ind w:left="5500"/>
        <w:spacing w:after="0"/>
        <w:rPr>
          <w:sz w:val="20"/>
          <w:szCs w:val="20"/>
          <w:color w:val="auto"/>
        </w:rPr>
      </w:pPr>
      <w:r>
        <w:rPr>
          <w:rFonts w:ascii="Courier New" w:cs="Courier New" w:eastAsia="Courier New" w:hAnsi="Courier New"/>
          <w:sz w:val="14"/>
          <w:szCs w:val="14"/>
          <w:b w:val="1"/>
          <w:bCs w:val="1"/>
          <w:color w:val="auto"/>
        </w:rPr>
        <w:t>Three Months Ended</w:t>
      </w:r>
    </w:p>
    <w:p>
      <w:pPr>
        <w:spacing w:after="0" w:line="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b w:val="1"/>
          <w:bCs w:val="1"/>
          <w:color w:val="auto"/>
        </w:rPr>
        <w:t>September 30,</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Courier New" w:cs="Courier New" w:eastAsia="Courier New" w:hAnsi="Courier New"/>
          <w:sz w:val="14"/>
          <w:szCs w:val="14"/>
          <w:b w:val="1"/>
          <w:bCs w:val="1"/>
          <w:color w:val="auto"/>
        </w:rPr>
        <w:t>Nine Months Ended</w:t>
      </w:r>
    </w:p>
    <w:p>
      <w:pPr>
        <w:spacing w:after="0" w:line="9" w:lineRule="exact"/>
        <w:rPr>
          <w:sz w:val="20"/>
          <w:szCs w:val="20"/>
          <w:color w:val="auto"/>
        </w:rPr>
      </w:pPr>
    </w:p>
    <w:p>
      <w:pPr>
        <w:jc w:val="center"/>
        <w:ind w:right="900"/>
        <w:spacing w:after="0"/>
        <w:rPr>
          <w:sz w:val="20"/>
          <w:szCs w:val="20"/>
          <w:color w:val="auto"/>
        </w:rPr>
      </w:pPr>
      <w:r>
        <w:rPr>
          <w:rFonts w:ascii="Courier New" w:cs="Courier New" w:eastAsia="Courier New" w:hAnsi="Courier New"/>
          <w:sz w:val="15"/>
          <w:szCs w:val="15"/>
          <w:b w:val="1"/>
          <w:bCs w:val="1"/>
          <w:color w:val="auto"/>
        </w:rPr>
        <w:t>September 30,</w:t>
      </w:r>
    </w:p>
    <w:p>
      <w:pPr>
        <w:spacing w:after="0" w:line="1" w:lineRule="exact"/>
        <w:rPr>
          <w:sz w:val="20"/>
          <w:szCs w:val="20"/>
          <w:color w:val="auto"/>
        </w:rPr>
      </w:pPr>
    </w:p>
    <w:p>
      <w:pPr>
        <w:sectPr>
          <w:pgSz w:w="11900" w:h="16838" w:orient="portrait"/>
          <w:cols w:equalWidth="0" w:num="2">
            <w:col w:w="8060" w:space="720"/>
            <w:col w:w="2400"/>
          </w:cols>
          <w:pgMar w:left="240" w:top="312" w:right="479" w:bottom="0" w:gutter="0" w:footer="0" w:header="0"/>
          <w:type w:val="continuous"/>
        </w:sectPr>
      </w:pPr>
    </w:p>
    <w:p>
      <w:pPr>
        <w:spacing w:after="0" w:line="2" w:lineRule="exact"/>
        <w:rPr>
          <w:sz w:val="20"/>
          <w:szCs w:val="20"/>
          <w:color w:val="auto"/>
        </w:rPr>
      </w:pPr>
    </w:p>
    <w:p>
      <w:pPr>
        <w:spacing w:after="0" w:line="239" w:lineRule="auto"/>
        <w:rPr>
          <w:sz w:val="20"/>
          <w:szCs w:val="20"/>
          <w:color w:val="auto"/>
        </w:rPr>
      </w:pPr>
      <w:r>
        <w:rPr>
          <w:rFonts w:ascii="Courier New" w:cs="Courier New" w:eastAsia="Courier New" w:hAnsi="Courier New"/>
          <w:sz w:val="15"/>
          <w:szCs w:val="15"/>
          <w:b w:val="1"/>
          <w:bCs w:val="1"/>
          <w:color w:val="auto"/>
        </w:rPr>
        <w:t xml:space="preserve">Thousands of Dollars, Except Share and Per Share Data - ----------------------------------------------------- </w:t>
      </w:r>
      <w:r>
        <w:rPr>
          <w:rFonts w:ascii="Courier New" w:cs="Courier New" w:eastAsia="Courier New" w:hAnsi="Courier New"/>
          <w:sz w:val="15"/>
          <w:szCs w:val="15"/>
          <w:color w:val="auto"/>
        </w:rPr>
        <w:t>Net income</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b w:val="1"/>
          <w:bCs w:val="1"/>
          <w:color w:val="auto"/>
        </w:rPr>
        <w:t>2003</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b w:val="1"/>
          <w:bCs w:val="1"/>
          <w:color w:val="auto"/>
        </w:rPr>
        <w:t>--------------</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$3,164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40"/>
        <w:spacing w:after="0"/>
        <w:tabs>
          <w:tab w:leader="none" w:pos="2020" w:val="left"/>
        </w:tabs>
        <w:rPr>
          <w:sz w:val="20"/>
          <w:szCs w:val="20"/>
          <w:color w:val="auto"/>
        </w:rPr>
      </w:pPr>
      <w:r>
        <w:rPr>
          <w:rFonts w:ascii="Courier New" w:cs="Courier New" w:eastAsia="Courier New" w:hAnsi="Courier New"/>
          <w:sz w:val="15"/>
          <w:szCs w:val="15"/>
          <w:b w:val="1"/>
          <w:bCs w:val="1"/>
          <w:color w:val="auto"/>
        </w:rPr>
        <w:t>2002</w:t>
      </w:r>
      <w:r>
        <w:rPr>
          <w:sz w:val="20"/>
          <w:szCs w:val="20"/>
          <w:color w:val="auto"/>
        </w:rPr>
        <w:tab/>
      </w:r>
      <w:r>
        <w:rPr>
          <w:rFonts w:ascii="Courier New" w:cs="Courier New" w:eastAsia="Courier New" w:hAnsi="Courier New"/>
          <w:sz w:val="15"/>
          <w:szCs w:val="15"/>
          <w:b w:val="1"/>
          <w:bCs w:val="1"/>
          <w:color w:val="auto"/>
        </w:rPr>
        <w:t>2003</w:t>
      </w:r>
    </w:p>
    <w:p>
      <w:pPr>
        <w:spacing w:after="0" w:line="3" w:lineRule="exact"/>
        <w:rPr>
          <w:sz w:val="20"/>
          <w:szCs w:val="20"/>
          <w:color w:val="auto"/>
        </w:rPr>
      </w:pPr>
    </w:p>
    <w:p>
      <w:pPr>
        <w:ind w:left="180"/>
        <w:spacing w:after="0"/>
        <w:tabs>
          <w:tab w:leader="none" w:pos="1760" w:val="left"/>
        </w:tabs>
        <w:rPr>
          <w:sz w:val="20"/>
          <w:szCs w:val="20"/>
          <w:color w:val="auto"/>
        </w:rPr>
      </w:pPr>
      <w:r>
        <w:rPr>
          <w:rFonts w:ascii="Courier New" w:cs="Courier New" w:eastAsia="Courier New" w:hAnsi="Courier New"/>
          <w:sz w:val="14"/>
          <w:szCs w:val="14"/>
          <w:b w:val="1"/>
          <w:bCs w:val="1"/>
          <w:color w:val="auto"/>
        </w:rPr>
        <w:t>--------------</w:t>
      </w:r>
      <w:r>
        <w:rPr>
          <w:sz w:val="20"/>
          <w:szCs w:val="20"/>
          <w:color w:val="auto"/>
        </w:rPr>
        <w:tab/>
      </w:r>
      <w:r>
        <w:rPr>
          <w:rFonts w:ascii="Courier New" w:cs="Courier New" w:eastAsia="Courier New" w:hAnsi="Courier New"/>
          <w:sz w:val="14"/>
          <w:szCs w:val="14"/>
          <w:b w:val="1"/>
          <w:bCs w:val="1"/>
          <w:color w:val="auto"/>
        </w:rPr>
        <w:t>-------------</w:t>
      </w:r>
    </w:p>
    <w:p>
      <w:pPr>
        <w:spacing w:after="0" w:line="9" w:lineRule="exact"/>
        <w:rPr>
          <w:sz w:val="20"/>
          <w:szCs w:val="20"/>
          <w:color w:val="auto"/>
        </w:rPr>
      </w:pPr>
    </w:p>
    <w:p>
      <w:pPr>
        <w:ind w:left="440"/>
        <w:spacing w:after="0"/>
        <w:tabs>
          <w:tab w:leader="none" w:pos="1940" w:val="left"/>
        </w:tabs>
        <w:rPr>
          <w:sz w:val="20"/>
          <w:szCs w:val="20"/>
          <w:color w:val="auto"/>
        </w:rPr>
      </w:pPr>
      <w:r>
        <w:rPr>
          <w:rFonts w:ascii="Courier New" w:cs="Courier New" w:eastAsia="Courier New" w:hAnsi="Courier New"/>
          <w:sz w:val="15"/>
          <w:szCs w:val="15"/>
          <w:color w:val="auto"/>
        </w:rPr>
        <w:t>$2,119</w:t>
      </w:r>
      <w:r>
        <w:rPr>
          <w:sz w:val="20"/>
          <w:szCs w:val="20"/>
          <w:color w:val="auto"/>
        </w:rPr>
        <w:tab/>
      </w:r>
      <w:r>
        <w:rPr>
          <w:rFonts w:ascii="Courier New" w:cs="Courier New" w:eastAsia="Courier New" w:hAnsi="Courier New"/>
          <w:sz w:val="14"/>
          <w:szCs w:val="14"/>
          <w:color w:val="auto"/>
        </w:rPr>
        <w:t>$7,504</w:t>
      </w:r>
    </w:p>
    <w:p>
      <w:pPr>
        <w:spacing w:after="0" w:line="1"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b w:val="1"/>
          <w:bCs w:val="1"/>
          <w:color w:val="auto"/>
        </w:rPr>
        <w:t>2002</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b w:val="1"/>
          <w:bCs w:val="1"/>
          <w:color w:val="auto"/>
        </w:rPr>
        <w:t>--------------</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$6,375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4880" w:space="0"/>
            <w:col w:w="1420" w:space="260"/>
            <w:col w:w="2920" w:space="280"/>
            <w:col w:w="1420"/>
          </w:cols>
          <w:pgMar w:left="240" w:top="312" w:right="479" w:bottom="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 average basic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dilutive stock options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dilutive shares outstanding</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16,660,350</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506,293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17,166,643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80"/>
        <w:spacing w:after="0"/>
        <w:tabs>
          <w:tab w:leader="none" w:pos="1580" w:val="left"/>
        </w:tabs>
        <w:rPr>
          <w:sz w:val="20"/>
          <w:szCs w:val="20"/>
          <w:color w:val="auto"/>
        </w:rPr>
      </w:pPr>
      <w:r>
        <w:rPr>
          <w:rFonts w:ascii="Courier New" w:cs="Courier New" w:eastAsia="Courier New" w:hAnsi="Courier New"/>
          <w:sz w:val="15"/>
          <w:szCs w:val="15"/>
          <w:color w:val="auto"/>
        </w:rPr>
        <w:t>15,367,773</w:t>
      </w:r>
      <w:r>
        <w:rPr>
          <w:sz w:val="20"/>
          <w:szCs w:val="20"/>
          <w:color w:val="auto"/>
        </w:rPr>
        <w:tab/>
      </w:r>
      <w:r>
        <w:rPr>
          <w:rFonts w:ascii="Courier New" w:cs="Courier New" w:eastAsia="Courier New" w:hAnsi="Courier New"/>
          <w:sz w:val="15"/>
          <w:szCs w:val="15"/>
          <w:color w:val="auto"/>
        </w:rPr>
        <w:t>15,804,069</w:t>
      </w:r>
    </w:p>
    <w:p>
      <w:pPr>
        <w:spacing w:after="0" w:line="1" w:lineRule="exact"/>
        <w:rPr>
          <w:sz w:val="20"/>
          <w:szCs w:val="20"/>
          <w:color w:val="auto"/>
        </w:rPr>
      </w:pPr>
    </w:p>
    <w:p>
      <w:pPr>
        <w:ind w:left="360"/>
        <w:spacing w:after="0"/>
        <w:tabs>
          <w:tab w:leader="none" w:pos="1840" w:val="left"/>
        </w:tabs>
        <w:rPr>
          <w:sz w:val="20"/>
          <w:szCs w:val="20"/>
          <w:color w:val="auto"/>
        </w:rPr>
      </w:pPr>
      <w:r>
        <w:rPr>
          <w:rFonts w:ascii="Courier New" w:cs="Courier New" w:eastAsia="Courier New" w:hAnsi="Courier New"/>
          <w:sz w:val="15"/>
          <w:szCs w:val="15"/>
          <w:color w:val="auto"/>
        </w:rPr>
        <w:t>279,865</w:t>
      </w:r>
      <w:r>
        <w:rPr>
          <w:sz w:val="20"/>
          <w:szCs w:val="20"/>
          <w:color w:val="auto"/>
        </w:rPr>
        <w:tab/>
      </w:r>
      <w:r>
        <w:rPr>
          <w:rFonts w:ascii="Courier New" w:cs="Courier New" w:eastAsia="Courier New" w:hAnsi="Courier New"/>
          <w:sz w:val="15"/>
          <w:szCs w:val="15"/>
          <w:color w:val="auto"/>
        </w:rPr>
        <w:t>389,831</w:t>
      </w:r>
    </w:p>
    <w:p>
      <w:pPr>
        <w:spacing w:after="0" w:line="3"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ind w:left="80"/>
        <w:spacing w:after="0"/>
        <w:tabs>
          <w:tab w:leader="none" w:pos="1580" w:val="left"/>
        </w:tabs>
        <w:rPr>
          <w:sz w:val="20"/>
          <w:szCs w:val="20"/>
          <w:color w:val="auto"/>
        </w:rPr>
      </w:pPr>
      <w:r>
        <w:rPr>
          <w:rFonts w:ascii="Courier New" w:cs="Courier New" w:eastAsia="Courier New" w:hAnsi="Courier New"/>
          <w:sz w:val="15"/>
          <w:szCs w:val="15"/>
          <w:color w:val="auto"/>
        </w:rPr>
        <w:t>15,647,638</w:t>
      </w:r>
      <w:r>
        <w:rPr>
          <w:sz w:val="20"/>
          <w:szCs w:val="20"/>
          <w:color w:val="auto"/>
        </w:rPr>
        <w:tab/>
      </w:r>
      <w:r>
        <w:rPr>
          <w:rFonts w:ascii="Courier New" w:cs="Courier New" w:eastAsia="Courier New" w:hAnsi="Courier New"/>
          <w:sz w:val="15"/>
          <w:szCs w:val="15"/>
          <w:color w:val="auto"/>
        </w:rPr>
        <w:t>16,193,900</w:t>
      </w:r>
    </w:p>
    <w:p>
      <w:pPr>
        <w:spacing w:after="0" w:line="3"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15,344,116</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411,297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15,755,413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4160" w:space="720"/>
            <w:col w:w="1240" w:space="440"/>
            <w:col w:w="2740" w:space="460"/>
            <w:col w:w="1420"/>
          </w:cols>
          <w:pgMar w:left="240" w:top="312" w:right="479" w:bottom="0" w:gutter="0" w:footer="0" w:header="0"/>
          <w:type w:val="continuous"/>
        </w:sectPr>
      </w:pPr>
    </w:p>
    <w:p>
      <w:pPr>
        <w:spacing w:after="0" w:line="3" w:lineRule="exact"/>
        <w:rPr>
          <w:sz w:val="20"/>
          <w:szCs w:val="20"/>
          <w:color w:val="auto"/>
        </w:rPr>
      </w:pPr>
    </w:p>
    <w:p>
      <w:pPr>
        <w:ind w:right="1680"/>
        <w:spacing w:after="0" w:line="529" w:lineRule="auto"/>
        <w:rPr>
          <w:sz w:val="20"/>
          <w:szCs w:val="20"/>
          <w:color w:val="auto"/>
        </w:rPr>
      </w:pPr>
      <w:r>
        <w:rPr>
          <w:rFonts w:ascii="Courier New" w:cs="Courier New" w:eastAsia="Courier New" w:hAnsi="Courier New"/>
          <w:sz w:val="14"/>
          <w:szCs w:val="14"/>
          <w:color w:val="auto"/>
        </w:rPr>
        <w:t>Basic net income per share Diluted net income per share</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5"/>
          <w:szCs w:val="15"/>
          <w:color w:val="auto"/>
        </w:rPr>
        <w:t>$0.19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$0.18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40"/>
        <w:spacing w:after="0"/>
        <w:tabs>
          <w:tab w:leader="none" w:pos="2020" w:val="left"/>
        </w:tabs>
        <w:rPr>
          <w:sz w:val="20"/>
          <w:szCs w:val="20"/>
          <w:color w:val="auto"/>
        </w:rPr>
      </w:pPr>
      <w:r>
        <w:rPr>
          <w:rFonts w:ascii="Courier New" w:cs="Courier New" w:eastAsia="Courier New" w:hAnsi="Courier New"/>
          <w:sz w:val="15"/>
          <w:szCs w:val="15"/>
          <w:color w:val="auto"/>
        </w:rPr>
        <w:t>$0.14</w:t>
      </w:r>
      <w:r>
        <w:rPr>
          <w:sz w:val="20"/>
          <w:szCs w:val="20"/>
          <w:color w:val="auto"/>
        </w:rPr>
        <w:tab/>
      </w:r>
      <w:r>
        <w:rPr>
          <w:rFonts w:ascii="Courier New" w:cs="Courier New" w:eastAsia="Courier New" w:hAnsi="Courier New"/>
          <w:sz w:val="14"/>
          <w:szCs w:val="14"/>
          <w:color w:val="auto"/>
        </w:rPr>
        <w:t>$0.48</w:t>
      </w:r>
    </w:p>
    <w:p>
      <w:pPr>
        <w:spacing w:after="0" w:line="3"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ind w:left="540"/>
        <w:spacing w:after="0"/>
        <w:tabs>
          <w:tab w:leader="none" w:pos="2020" w:val="left"/>
        </w:tabs>
        <w:rPr>
          <w:sz w:val="20"/>
          <w:szCs w:val="20"/>
          <w:color w:val="auto"/>
        </w:rPr>
      </w:pPr>
      <w:r>
        <w:rPr>
          <w:rFonts w:ascii="Courier New" w:cs="Courier New" w:eastAsia="Courier New" w:hAnsi="Courier New"/>
          <w:sz w:val="15"/>
          <w:szCs w:val="15"/>
          <w:color w:val="auto"/>
        </w:rPr>
        <w:t>$0.14</w:t>
      </w:r>
      <w:r>
        <w:rPr>
          <w:sz w:val="20"/>
          <w:szCs w:val="20"/>
          <w:color w:val="auto"/>
        </w:rPr>
        <w:tab/>
      </w:r>
      <w:r>
        <w:rPr>
          <w:rFonts w:ascii="Courier New" w:cs="Courier New" w:eastAsia="Courier New" w:hAnsi="Courier New"/>
          <w:sz w:val="14"/>
          <w:szCs w:val="14"/>
          <w:color w:val="auto"/>
        </w:rPr>
        <w:t>$0.46</w:t>
      </w:r>
    </w:p>
    <w:p>
      <w:pPr>
        <w:spacing w:after="0" w:line="3"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5"/>
          <w:szCs w:val="15"/>
          <w:color w:val="auto"/>
        </w:rPr>
        <w:t>$0.42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$0.40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2" w:lineRule="exact"/>
        <w:rPr>
          <w:sz w:val="20"/>
          <w:szCs w:val="20"/>
          <w:color w:val="auto"/>
        </w:rPr>
      </w:pPr>
    </w:p>
    <w:p>
      <w:pPr>
        <w:sectPr>
          <w:pgSz w:w="11900" w:h="16838" w:orient="portrait"/>
          <w:cols w:equalWidth="0" w:num="4">
            <w:col w:w="4160" w:space="720"/>
            <w:col w:w="1240" w:space="440"/>
            <w:col w:w="2740" w:space="460"/>
            <w:col w:w="1420"/>
          </w:cols>
          <w:pgMar w:left="240" w:top="312" w:right="479" w:bottom="0" w:gutter="0" w:footer="0" w:header="0"/>
          <w:type w:val="continuous"/>
        </w:sectPr>
      </w:pPr>
    </w:p>
    <w:p>
      <w:pPr>
        <w:ind w:right="4620"/>
        <w:spacing w:after="0" w:line="239" w:lineRule="auto"/>
        <w:rPr>
          <w:sz w:val="20"/>
          <w:szCs w:val="20"/>
          <w:color w:val="auto"/>
        </w:rPr>
      </w:pPr>
      <w:r>
        <w:rPr>
          <w:rFonts w:ascii="Courier New" w:cs="Courier New" w:eastAsia="Courier New" w:hAnsi="Courier New"/>
          <w:sz w:val="15"/>
          <w:szCs w:val="15"/>
          <w:color w:val="auto"/>
        </w:rPr>
        <w:t>Excluded from the shares outstanding for each of the three and nine month periods ended September 30, 2003 and 2002 were no antidilutive options, in either period.</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b w:val="1"/>
          <w:bCs w:val="1"/>
          <w:color w:val="auto"/>
        </w:rPr>
        <w:t>Note 5.</w:t>
      </w:r>
      <w:r>
        <w:rPr>
          <w:sz w:val="20"/>
          <w:szCs w:val="20"/>
          <w:color w:val="auto"/>
        </w:rPr>
        <w:tab/>
      </w:r>
      <w:r>
        <w:rPr>
          <w:rFonts w:ascii="Courier New" w:cs="Courier New" w:eastAsia="Courier New" w:hAnsi="Courier New"/>
          <w:sz w:val="14"/>
          <w:szCs w:val="14"/>
          <w:b w:val="1"/>
          <w:bCs w:val="1"/>
          <w:color w:val="auto"/>
        </w:rPr>
        <w:t>Segment Information</w:t>
      </w:r>
    </w:p>
    <w:p>
      <w:pPr>
        <w:sectPr>
          <w:pgSz w:w="11900" w:h="16838" w:orient="portrait"/>
          <w:cols w:equalWidth="0" w:num="1">
            <w:col w:w="11180"/>
          </w:cols>
          <w:pgMar w:left="240" w:top="312" w:right="479" w:bottom="0" w:gutter="0" w:footer="0" w:header="0"/>
          <w:type w:val="continuous"/>
        </w:sectPr>
      </w:pPr>
    </w:p>
    <w:bookmarkStart w:id="5" w:name="page6"/>
    <w:bookmarkEnd w:id="5"/>
    <w:p>
      <w:pPr>
        <w:spacing w:after="0" w:line="43" w:lineRule="exact"/>
        <w:rPr>
          <w:sz w:val="20"/>
          <w:szCs w:val="20"/>
          <w:color w:val="auto"/>
        </w:rPr>
      </w:pPr>
    </w:p>
    <w:p>
      <w:pPr>
        <w:ind w:left="9" w:right="4260"/>
        <w:spacing w:after="0"/>
        <w:rPr>
          <w:sz w:val="20"/>
          <w:szCs w:val="20"/>
          <w:color w:val="auto"/>
        </w:rPr>
      </w:pPr>
      <w:r>
        <w:rPr>
          <w:rFonts w:ascii="Courier New" w:cs="Courier New" w:eastAsia="Courier New" w:hAnsi="Courier New"/>
          <w:sz w:val="15"/>
          <w:szCs w:val="15"/>
          <w:color w:val="auto"/>
        </w:rPr>
        <w:t>During 2003 and 2002, the Company's reportable segments are based on differences in product lines and geographic locations and are divided among Domestic Ball and Roller, European operations ("NN Europe") and Plastic and Rubber Components. The Domestic Ball and Roller Segment is comprised of two manufacturing facilities in the eastern United States. The NN Europe Segment is comprised of precision ball manufacturing facilities located in Kilkenny, Ireland, Eltmann, Germany and Pinerolo, Italy acquired in July 2000 and Veenendaal, The Netherlands ("Veenendaal") a tapered roller and metal cage manufacturing operation acquired in May 2003. See Note 6, "Acquisitions and Joint Ventures". All of the facilities in the Domestic Ball and Roller Segment are engaged in the production of precision balls and rollers used primarily in the bearing industry. All of the facilities in the NN Europe Segment are engaged in the production of precision balls used primarily in the bearing industry except for Veenendaal which is engaged in the production of tapered rollers and cages for use primarily in the bearing industry. The Plastic and Rubber Components Segment is comprised of the Industrial Molding Corporation ("IMC") business, located in Lubbock, Texas, which was acquired in July 1999, NN Arte ("Arte") formed in August of 2000 (see Note 7), located in Guadalajara, Mexico and The Delta Rubber Company ("Delta") business, located in Danielson, Connecticut, which was acquired in February 2001. IMC and Arte are engaged in the production of plastic injection molded products for the bearing, automotive, instrumentation, fiber optic and office automation markets. Delta is engaged principally in the production of engineered bearing seals used principally in automotive, industrial, agricultural, mining and aerospace applications. The Plastic and Rubber Components Segment's name has been changed from the Plastics Segment effective with the</w:t>
      </w:r>
    </w:p>
    <w:p>
      <w:pPr>
        <w:spacing w:after="0" w:line="3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29361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 w:right="4720"/>
        <w:spacing w:after="0" w:line="238" w:lineRule="auto"/>
        <w:rPr>
          <w:sz w:val="20"/>
          <w:szCs w:val="20"/>
          <w:color w:val="auto"/>
        </w:rPr>
      </w:pPr>
      <w:r>
        <w:rPr>
          <w:rFonts w:ascii="Courier New" w:cs="Courier New" w:eastAsia="Courier New" w:hAnsi="Courier New"/>
          <w:sz w:val="15"/>
          <w:szCs w:val="15"/>
          <w:color w:val="auto"/>
        </w:rPr>
        <w:t>March 31, 2003 quarterly report on Form 10-Q. The businesses and methods of calculation comprising this segment have not changed.</w:t>
      </w:r>
    </w:p>
    <w:p>
      <w:pPr>
        <w:spacing w:after="0" w:line="175" w:lineRule="exact"/>
        <w:rPr>
          <w:sz w:val="20"/>
          <w:szCs w:val="20"/>
          <w:color w:val="auto"/>
        </w:rPr>
      </w:pPr>
    </w:p>
    <w:p>
      <w:pPr>
        <w:ind w:left="9" w:right="4260"/>
        <w:spacing w:after="0"/>
        <w:rPr>
          <w:sz w:val="20"/>
          <w:szCs w:val="20"/>
          <w:color w:val="auto"/>
        </w:rPr>
      </w:pPr>
      <w:r>
        <w:rPr>
          <w:rFonts w:ascii="Courier New" w:cs="Courier New" w:eastAsia="Courier New" w:hAnsi="Courier New"/>
          <w:sz w:val="15"/>
          <w:szCs w:val="15"/>
          <w:color w:val="auto"/>
        </w:rPr>
        <w:t>The NN Europe Segment, prior to the filing of the June 30, 2003 quarterly report on Form 10-Q, was referred to as the Euroball Segment and was comprised only of the manufacturing facilities located in Kilkenny, Ireland, Eltmann, Germany, and Pinerolo, Italy. The name of this segment has been changed following the Veenendaal acquisition.</w:t>
      </w:r>
    </w:p>
    <w:p>
      <w:pPr>
        <w:spacing w:after="0" w:line="174" w:lineRule="exact"/>
        <w:rPr>
          <w:sz w:val="20"/>
          <w:szCs w:val="20"/>
          <w:color w:val="auto"/>
        </w:rPr>
      </w:pPr>
    </w:p>
    <w:p>
      <w:pPr>
        <w:ind w:left="9" w:right="4260"/>
        <w:spacing w:after="0"/>
        <w:rPr>
          <w:sz w:val="20"/>
          <w:szCs w:val="20"/>
          <w:color w:val="auto"/>
        </w:rPr>
      </w:pPr>
      <w:r>
        <w:rPr>
          <w:rFonts w:ascii="Courier New" w:cs="Courier New" w:eastAsia="Courier New" w:hAnsi="Courier New"/>
          <w:sz w:val="15"/>
          <w:szCs w:val="15"/>
          <w:color w:val="auto"/>
        </w:rPr>
        <w:t>The accounting policies of each segment are the same as those described in the summary of significant accounting policies in the Company's Annual Report on Form 10-K, as amended, for the fiscal year ended December 31, 2002 including those policies as discussed in Note 1. We evaluate segment performance based on profit or loss from operations before income taxes and minority interest. We account for inter-segment sales and transfers at current market prices; however, we did not have any material inter-segment transactions during the three or nine month periods ended September 30, 2003 and 2002.</w:t>
      </w:r>
    </w:p>
    <w:p>
      <w:pPr>
        <w:spacing w:after="0" w:line="177" w:lineRule="exact"/>
        <w:rPr>
          <w:sz w:val="20"/>
          <w:szCs w:val="20"/>
          <w:color w:val="auto"/>
        </w:rPr>
      </w:pPr>
    </w:p>
    <w:p>
      <w:pPr>
        <w:ind w:left="5589"/>
        <w:spacing w:after="0"/>
        <w:rPr>
          <w:sz w:val="20"/>
          <w:szCs w:val="20"/>
          <w:color w:val="auto"/>
        </w:rPr>
      </w:pPr>
      <w:r>
        <w:rPr>
          <w:rFonts w:ascii="Courier New" w:cs="Courier New" w:eastAsia="Courier New" w:hAnsi="Courier New"/>
          <w:sz w:val="14"/>
          <w:szCs w:val="14"/>
          <w:b w:val="1"/>
          <w:bCs w:val="1"/>
          <w:color w:val="auto"/>
        </w:rPr>
        <w:t>Three Months Ended September 30,</w:t>
      </w:r>
    </w:p>
    <w:p>
      <w:pPr>
        <w:sectPr>
          <w:pgSz w:w="11900" w:h="16882" w:orient="portrait"/>
          <w:cols w:equalWidth="0" w:num="1">
            <w:col w:w="11369"/>
          </w:cols>
          <w:pgMar w:left="231" w:top="141" w:right="299" w:bottom="0" w:gutter="0" w:footer="0" w:header="0"/>
        </w:sectPr>
      </w:pPr>
    </w:p>
    <w:p>
      <w:pPr>
        <w:spacing w:after="0" w:line="12" w:lineRule="exact"/>
        <w:rPr>
          <w:sz w:val="20"/>
          <w:szCs w:val="20"/>
          <w:color w:val="auto"/>
        </w:rPr>
      </w:pPr>
    </w:p>
    <w:p>
      <w:pPr>
        <w:ind w:left="4709"/>
        <w:spacing w:after="0"/>
        <w:rPr>
          <w:sz w:val="20"/>
          <w:szCs w:val="20"/>
          <w:color w:val="auto"/>
        </w:rPr>
      </w:pPr>
      <w:r>
        <w:rPr>
          <w:rFonts w:ascii="Courier New" w:cs="Courier New" w:eastAsia="Courier New" w:hAnsi="Courier New"/>
          <w:sz w:val="14"/>
          <w:szCs w:val="14"/>
          <w:b w:val="1"/>
          <w:bCs w:val="1"/>
          <w:color w:val="auto"/>
        </w:rPr>
        <w:t>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b w:val="1"/>
          <w:bCs w:val="1"/>
          <w:color w:val="auto"/>
        </w:rPr>
        <w:t>2002</w:t>
      </w:r>
    </w:p>
    <w:p>
      <w:pPr>
        <w:spacing w:after="0" w:line="1" w:lineRule="exact"/>
        <w:rPr>
          <w:sz w:val="20"/>
          <w:szCs w:val="20"/>
          <w:color w:val="auto"/>
        </w:rPr>
      </w:pPr>
    </w:p>
    <w:p>
      <w:pPr>
        <w:sectPr>
          <w:pgSz w:w="11900" w:h="16882" w:orient="portrait"/>
          <w:cols w:equalWidth="0" w:num="2">
            <w:col w:w="8149" w:space="720"/>
            <w:col w:w="2500"/>
          </w:cols>
          <w:pgMar w:left="231" w:top="141" w:right="299" w:bottom="0" w:gutter="0" w:footer="0" w:header="0"/>
          <w:type w:val="continuous"/>
        </w:sectPr>
      </w:pPr>
    </w:p>
    <w:p>
      <w:pPr>
        <w:ind w:left="3109"/>
        <w:spacing w:after="0"/>
        <w:tabs>
          <w:tab w:leader="none" w:pos="5669" w:val="left"/>
          <w:tab w:leader="none" w:pos="7249" w:val="left"/>
          <w:tab w:leader="none" w:pos="9929" w:val="left"/>
        </w:tabs>
        <w:rPr>
          <w:sz w:val="20"/>
          <w:szCs w:val="20"/>
          <w:color w:val="auto"/>
        </w:rPr>
      </w:pPr>
      <w:r>
        <w:rPr>
          <w:rFonts w:ascii="Courier New" w:cs="Courier New" w:eastAsia="Courier New" w:hAnsi="Courier New"/>
          <w:sz w:val="15"/>
          <w:szCs w:val="15"/>
          <w:b w:val="1"/>
          <w:bCs w:val="1"/>
          <w:color w:val="auto"/>
        </w:rPr>
        <w:t>Domestic</w:t>
      </w:r>
      <w:r>
        <w:rPr>
          <w:sz w:val="20"/>
          <w:szCs w:val="20"/>
          <w:color w:val="auto"/>
        </w:rPr>
        <w:tab/>
      </w:r>
      <w:r>
        <w:rPr>
          <w:rFonts w:ascii="Courier New" w:cs="Courier New" w:eastAsia="Courier New" w:hAnsi="Courier New"/>
          <w:sz w:val="15"/>
          <w:szCs w:val="15"/>
          <w:b w:val="1"/>
          <w:bCs w:val="1"/>
          <w:color w:val="auto"/>
        </w:rPr>
        <w:t>Plastic and</w:t>
      </w:r>
      <w:r>
        <w:rPr>
          <w:sz w:val="20"/>
          <w:szCs w:val="20"/>
          <w:color w:val="auto"/>
        </w:rPr>
        <w:tab/>
      </w:r>
      <w:r>
        <w:rPr>
          <w:rFonts w:ascii="Courier New" w:cs="Courier New" w:eastAsia="Courier New" w:hAnsi="Courier New"/>
          <w:sz w:val="15"/>
          <w:szCs w:val="15"/>
          <w:b w:val="1"/>
          <w:bCs w:val="1"/>
          <w:color w:val="auto"/>
        </w:rPr>
        <w:t>Domestic</w:t>
      </w:r>
      <w:r>
        <w:rPr>
          <w:sz w:val="20"/>
          <w:szCs w:val="20"/>
          <w:color w:val="auto"/>
        </w:rPr>
        <w:tab/>
      </w:r>
      <w:r>
        <w:rPr>
          <w:rFonts w:ascii="Courier New" w:cs="Courier New" w:eastAsia="Courier New" w:hAnsi="Courier New"/>
          <w:sz w:val="14"/>
          <w:szCs w:val="14"/>
          <w:b w:val="1"/>
          <w:bCs w:val="1"/>
          <w:color w:val="auto"/>
        </w:rPr>
        <w:t>Plastic and</w:t>
      </w:r>
    </w:p>
    <w:p>
      <w:pPr>
        <w:spacing w:after="0" w:line="1" w:lineRule="exact"/>
        <w:rPr>
          <w:sz w:val="20"/>
          <w:szCs w:val="20"/>
          <w:color w:val="auto"/>
        </w:rPr>
      </w:pPr>
    </w:p>
    <w:p>
      <w:pPr>
        <w:ind w:left="3189"/>
        <w:spacing w:after="0"/>
        <w:tabs>
          <w:tab w:leader="none" w:pos="5929" w:val="left"/>
          <w:tab w:leader="none" w:pos="7349" w:val="left"/>
          <w:tab w:leader="none" w:pos="8589" w:val="left"/>
          <w:tab w:leader="none" w:pos="10189" w:val="left"/>
        </w:tabs>
        <w:rPr>
          <w:sz w:val="20"/>
          <w:szCs w:val="20"/>
          <w:color w:val="auto"/>
        </w:rPr>
      </w:pPr>
      <w:r>
        <w:rPr>
          <w:rFonts w:ascii="Courier New" w:cs="Courier New" w:eastAsia="Courier New" w:hAnsi="Courier New"/>
          <w:sz w:val="15"/>
          <w:szCs w:val="15"/>
          <w:b w:val="1"/>
          <w:bCs w:val="1"/>
          <w:color w:val="auto"/>
        </w:rPr>
        <w:t>Ball &amp;</w:t>
      </w:r>
      <w:r>
        <w:rPr>
          <w:sz w:val="20"/>
          <w:szCs w:val="20"/>
          <w:color w:val="auto"/>
        </w:rPr>
        <w:tab/>
      </w:r>
      <w:r>
        <w:rPr>
          <w:rFonts w:ascii="Courier New" w:cs="Courier New" w:eastAsia="Courier New" w:hAnsi="Courier New"/>
          <w:sz w:val="15"/>
          <w:szCs w:val="15"/>
          <w:b w:val="1"/>
          <w:bCs w:val="1"/>
          <w:color w:val="auto"/>
        </w:rPr>
        <w:t>Rubber</w:t>
      </w:r>
      <w:r>
        <w:rPr>
          <w:sz w:val="20"/>
          <w:szCs w:val="20"/>
          <w:color w:val="auto"/>
        </w:rPr>
        <w:tab/>
      </w:r>
      <w:r>
        <w:rPr>
          <w:rFonts w:ascii="Courier New" w:cs="Courier New" w:eastAsia="Courier New" w:hAnsi="Courier New"/>
          <w:sz w:val="15"/>
          <w:szCs w:val="15"/>
          <w:b w:val="1"/>
          <w:bCs w:val="1"/>
          <w:color w:val="auto"/>
        </w:rPr>
        <w:t>Ball &amp;</w:t>
      </w:r>
      <w:r>
        <w:rPr>
          <w:sz w:val="20"/>
          <w:szCs w:val="20"/>
          <w:color w:val="auto"/>
        </w:rPr>
        <w:tab/>
      </w:r>
      <w:r>
        <w:rPr>
          <w:rFonts w:ascii="Courier New" w:cs="Courier New" w:eastAsia="Courier New" w:hAnsi="Courier New"/>
          <w:sz w:val="15"/>
          <w:szCs w:val="15"/>
          <w:b w:val="1"/>
          <w:bCs w:val="1"/>
          <w:color w:val="auto"/>
        </w:rPr>
        <w:t>Restated</w:t>
      </w:r>
      <w:r>
        <w:rPr>
          <w:sz w:val="20"/>
          <w:szCs w:val="20"/>
          <w:color w:val="auto"/>
        </w:rPr>
        <w:tab/>
      </w:r>
      <w:r>
        <w:rPr>
          <w:rFonts w:ascii="Courier New" w:cs="Courier New" w:eastAsia="Courier New" w:hAnsi="Courier New"/>
          <w:sz w:val="14"/>
          <w:szCs w:val="14"/>
          <w:b w:val="1"/>
          <w:bCs w:val="1"/>
          <w:color w:val="auto"/>
        </w:rPr>
        <w:t>Rubber</w:t>
      </w:r>
    </w:p>
    <w:p>
      <w:pPr>
        <w:spacing w:after="0" w:line="1" w:lineRule="exact"/>
        <w:rPr>
          <w:sz w:val="20"/>
          <w:szCs w:val="20"/>
          <w:color w:val="auto"/>
        </w:rPr>
      </w:pPr>
    </w:p>
    <w:p>
      <w:pPr>
        <w:ind w:left="9"/>
        <w:spacing w:after="0"/>
        <w:tabs>
          <w:tab w:leader="none" w:pos="3169" w:val="left"/>
          <w:tab w:leader="none" w:pos="4409" w:val="left"/>
          <w:tab w:leader="none" w:pos="5749" w:val="left"/>
          <w:tab w:leader="none" w:pos="7349" w:val="left"/>
          <w:tab w:leader="none" w:pos="8589" w:val="left"/>
          <w:tab w:leader="none" w:pos="10009" w:val="left"/>
        </w:tabs>
        <w:rPr>
          <w:sz w:val="20"/>
          <w:szCs w:val="20"/>
          <w:color w:val="auto"/>
        </w:rPr>
      </w:pPr>
      <w:r>
        <w:rPr>
          <w:rFonts w:ascii="Courier New" w:cs="Courier New" w:eastAsia="Courier New" w:hAnsi="Courier New"/>
          <w:sz w:val="15"/>
          <w:szCs w:val="15"/>
          <w:b w:val="1"/>
          <w:bCs w:val="1"/>
          <w:color w:val="auto"/>
        </w:rPr>
        <w:t>Thousands of Dollars</w:t>
      </w:r>
      <w:r>
        <w:rPr>
          <w:sz w:val="20"/>
          <w:szCs w:val="20"/>
          <w:color w:val="auto"/>
        </w:rPr>
        <w:tab/>
      </w:r>
      <w:r>
        <w:rPr>
          <w:rFonts w:ascii="Courier New" w:cs="Courier New" w:eastAsia="Courier New" w:hAnsi="Courier New"/>
          <w:sz w:val="15"/>
          <w:szCs w:val="15"/>
          <w:b w:val="1"/>
          <w:bCs w:val="1"/>
          <w:color w:val="auto"/>
        </w:rPr>
        <w:t>Roller</w:t>
      </w:r>
      <w:r>
        <w:rPr>
          <w:sz w:val="20"/>
          <w:szCs w:val="20"/>
          <w:color w:val="auto"/>
        </w:rPr>
        <w:tab/>
      </w:r>
      <w:r>
        <w:rPr>
          <w:rFonts w:ascii="Courier New" w:cs="Courier New" w:eastAsia="Courier New" w:hAnsi="Courier New"/>
          <w:sz w:val="15"/>
          <w:szCs w:val="15"/>
          <w:b w:val="1"/>
          <w:bCs w:val="1"/>
          <w:color w:val="auto"/>
        </w:rPr>
        <w:t>NN Europe</w:t>
      </w:r>
      <w:r>
        <w:rPr>
          <w:sz w:val="20"/>
          <w:szCs w:val="20"/>
          <w:color w:val="auto"/>
        </w:rPr>
        <w:tab/>
      </w:r>
      <w:r>
        <w:rPr>
          <w:rFonts w:ascii="Courier New" w:cs="Courier New" w:eastAsia="Courier New" w:hAnsi="Courier New"/>
          <w:sz w:val="15"/>
          <w:szCs w:val="15"/>
          <w:b w:val="1"/>
          <w:bCs w:val="1"/>
          <w:color w:val="auto"/>
        </w:rPr>
        <w:t>Components</w:t>
      </w:r>
      <w:r>
        <w:rPr>
          <w:sz w:val="20"/>
          <w:szCs w:val="20"/>
          <w:color w:val="auto"/>
        </w:rPr>
        <w:tab/>
      </w:r>
      <w:r>
        <w:rPr>
          <w:rFonts w:ascii="Courier New" w:cs="Courier New" w:eastAsia="Courier New" w:hAnsi="Courier New"/>
          <w:sz w:val="15"/>
          <w:szCs w:val="15"/>
          <w:b w:val="1"/>
          <w:bCs w:val="1"/>
          <w:color w:val="auto"/>
        </w:rPr>
        <w:t>Roller</w:t>
      </w:r>
      <w:r>
        <w:rPr>
          <w:sz w:val="20"/>
          <w:szCs w:val="20"/>
          <w:color w:val="auto"/>
        </w:rPr>
        <w:tab/>
      </w:r>
      <w:r>
        <w:rPr>
          <w:rFonts w:ascii="Courier New" w:cs="Courier New" w:eastAsia="Courier New" w:hAnsi="Courier New"/>
          <w:sz w:val="15"/>
          <w:szCs w:val="15"/>
          <w:b w:val="1"/>
          <w:bCs w:val="1"/>
          <w:color w:val="auto"/>
        </w:rPr>
        <w:t>NN Europe</w:t>
      </w:r>
      <w:r>
        <w:rPr>
          <w:sz w:val="20"/>
          <w:szCs w:val="20"/>
          <w:color w:val="auto"/>
        </w:rPr>
        <w:tab/>
      </w:r>
      <w:r>
        <w:rPr>
          <w:rFonts w:ascii="Courier New" w:cs="Courier New" w:eastAsia="Courier New" w:hAnsi="Courier New"/>
          <w:sz w:val="14"/>
          <w:szCs w:val="14"/>
          <w:b w:val="1"/>
          <w:bCs w:val="1"/>
          <w:color w:val="auto"/>
        </w:rPr>
        <w:t>Components</w:t>
      </w:r>
    </w:p>
    <w:p>
      <w:pPr>
        <w:sectPr>
          <w:pgSz w:w="11900" w:h="16882" w:orient="portrait"/>
          <w:cols w:equalWidth="0" w:num="1">
            <w:col w:w="11369"/>
          </w:cols>
          <w:pgMar w:left="231" w:top="141" w:right="299" w:bottom="0" w:gutter="0" w:footer="0" w:header="0"/>
          <w:type w:val="continuous"/>
        </w:sectPr>
      </w:pPr>
    </w:p>
    <w:p>
      <w:pPr>
        <w:spacing w:after="0" w:line="3" w:lineRule="exact"/>
        <w:rPr>
          <w:sz w:val="20"/>
          <w:szCs w:val="20"/>
          <w:color w:val="auto"/>
        </w:rPr>
      </w:pPr>
    </w:p>
    <w:p>
      <w:pPr>
        <w:ind w:left="169" w:hanging="169"/>
        <w:spacing w:after="0"/>
        <w:tabs>
          <w:tab w:leader="none" w:pos="169" w:val="left"/>
        </w:tabs>
        <w:numPr>
          <w:ilvl w:val="0"/>
          <w:numId w:val="3"/>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w:t>
      </w:r>
    </w:p>
    <w:p>
      <w:pPr>
        <w:spacing w:after="0" w:line="9" w:lineRule="exact"/>
        <w:rPr>
          <w:rFonts w:ascii="Courier New" w:cs="Courier New" w:eastAsia="Courier New" w:hAnsi="Courier New"/>
          <w:sz w:val="14"/>
          <w:szCs w:val="14"/>
          <w:b w:val="1"/>
          <w:bCs w:val="1"/>
          <w:color w:val="auto"/>
        </w:rPr>
      </w:pPr>
    </w:p>
    <w:p>
      <w:pPr>
        <w:ind w:left="9"/>
        <w:spacing w:after="0"/>
        <w:rPr>
          <w:rFonts w:ascii="Courier New" w:cs="Courier New" w:eastAsia="Courier New" w:hAnsi="Courier New"/>
          <w:sz w:val="14"/>
          <w:szCs w:val="14"/>
          <w:b w:val="1"/>
          <w:bCs w:val="1"/>
          <w:color w:val="auto"/>
        </w:rPr>
      </w:pPr>
      <w:r>
        <w:rPr>
          <w:rFonts w:ascii="Courier New" w:cs="Courier New" w:eastAsia="Courier New" w:hAnsi="Courier New"/>
          <w:sz w:val="15"/>
          <w:szCs w:val="15"/>
          <w:color w:val="auto"/>
        </w:rPr>
        <w:t>Revenues from external</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customers</w:t>
            </w:r>
          </w:p>
        </w:tc>
        <w:tc>
          <w:tcPr>
            <w:tcW w:w="16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$ 14,414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37,784</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$ 12,414</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$ 13,253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$ 21,734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$ 12,464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Segment pretax profit</w:t>
            </w:r>
          </w:p>
        </w:tc>
        <w:tc>
          <w:tcPr>
            <w:tcW w:w="16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1,090</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2,897</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823</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1,613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677</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16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53,077</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144,560</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57,989</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64,211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71,192</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57,028</w:t>
            </w:r>
          </w:p>
        </w:tc>
      </w:tr>
      <w:tr>
        <w:trPr>
          <w:trHeight w:val="341"/>
        </w:trPr>
        <w:tc>
          <w:tcPr>
            <w:tcW w:w="2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60" w:type="dxa"/>
            <w:vAlign w:val="bottom"/>
            <w:gridSpan w:val="2"/>
          </w:tcPr>
          <w:p>
            <w:pPr>
              <w:jc w:val="right"/>
              <w:ind w:right="46"/>
              <w:spacing w:after="0"/>
              <w:rPr>
                <w:sz w:val="20"/>
                <w:szCs w:val="20"/>
                <w:color w:val="auto"/>
              </w:rPr>
            </w:pPr>
            <w:r>
              <w:rPr>
                <w:rFonts w:ascii="Courier New" w:cs="Courier New" w:eastAsia="Courier New" w:hAnsi="Courier New"/>
                <w:sz w:val="15"/>
                <w:szCs w:val="15"/>
                <w:b w:val="1"/>
                <w:bCs w:val="1"/>
                <w:color w:val="auto"/>
              </w:rPr>
              <w:t>Nine Months Ended September 30,</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2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b w:val="1"/>
                <w:bCs w:val="1"/>
                <w:color w:val="auto"/>
              </w:rPr>
              <w:t>2003</w:t>
            </w: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b w:val="1"/>
                <w:bCs w:val="1"/>
                <w:color w:val="auto"/>
              </w:rPr>
              <w:t>2002</w:t>
            </w:r>
          </w:p>
        </w:tc>
        <w:tc>
          <w:tcPr>
            <w:tcW w:w="124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1640" w:type="dxa"/>
            <w:vAlign w:val="bottom"/>
          </w:tcPr>
          <w:p>
            <w:pPr>
              <w:jc w:val="right"/>
              <w:ind w:right="246"/>
              <w:spacing w:after="0"/>
              <w:rPr>
                <w:sz w:val="20"/>
                <w:szCs w:val="20"/>
                <w:color w:val="auto"/>
              </w:rPr>
            </w:pPr>
            <w:r>
              <w:rPr>
                <w:rFonts w:ascii="Courier New" w:cs="Courier New" w:eastAsia="Courier New" w:hAnsi="Courier New"/>
                <w:sz w:val="15"/>
                <w:szCs w:val="15"/>
                <w:b w:val="1"/>
                <w:bCs w:val="1"/>
                <w:color w:val="auto"/>
              </w:rPr>
              <w:t>Domestic</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b w:val="1"/>
                <w:bCs w:val="1"/>
                <w:color w:val="auto"/>
              </w:rPr>
              <w:t>Plastic and</w:t>
            </w:r>
          </w:p>
        </w:tc>
        <w:tc>
          <w:tcPr>
            <w:tcW w:w="1540" w:type="dxa"/>
            <w:vAlign w:val="bottom"/>
          </w:tcPr>
          <w:p>
            <w:pPr>
              <w:jc w:val="right"/>
              <w:ind w:right="406"/>
              <w:spacing w:after="0"/>
              <w:rPr>
                <w:sz w:val="20"/>
                <w:szCs w:val="20"/>
                <w:color w:val="auto"/>
              </w:rPr>
            </w:pPr>
            <w:r>
              <w:rPr>
                <w:rFonts w:ascii="Courier New" w:cs="Courier New" w:eastAsia="Courier New" w:hAnsi="Courier New"/>
                <w:sz w:val="15"/>
                <w:szCs w:val="15"/>
                <w:b w:val="1"/>
                <w:bCs w:val="1"/>
                <w:color w:val="auto"/>
              </w:rPr>
              <w:t>Domestic</w:t>
            </w:r>
          </w:p>
        </w:tc>
        <w:tc>
          <w:tcPr>
            <w:tcW w:w="1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Plastic and</w:t>
            </w:r>
          </w:p>
        </w:tc>
      </w:tr>
      <w:tr>
        <w:trPr>
          <w:trHeight w:val="171"/>
        </w:trPr>
        <w:tc>
          <w:tcPr>
            <w:tcW w:w="2480" w:type="dxa"/>
            <w:vAlign w:val="bottom"/>
          </w:tcPr>
          <w:p>
            <w:pPr>
              <w:spacing w:after="0"/>
              <w:rPr>
                <w:sz w:val="14"/>
                <w:szCs w:val="14"/>
                <w:color w:val="auto"/>
              </w:rPr>
            </w:pP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b w:val="1"/>
                <w:bCs w:val="1"/>
                <w:color w:val="auto"/>
              </w:rPr>
              <w:t>Ball &amp;</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b w:val="1"/>
                <w:bCs w:val="1"/>
                <w:color w:val="auto"/>
              </w:rPr>
              <w:t>Rubber</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b w:val="1"/>
                <w:bCs w:val="1"/>
                <w:color w:val="auto"/>
              </w:rPr>
              <w:t>Ball &amp;</w:t>
            </w:r>
          </w:p>
        </w:tc>
        <w:tc>
          <w:tcPr>
            <w:tcW w:w="1200" w:type="dxa"/>
            <w:vAlign w:val="bottom"/>
          </w:tcPr>
          <w:p>
            <w:pPr>
              <w:ind w:left="140"/>
              <w:spacing w:after="0"/>
              <w:rPr>
                <w:sz w:val="20"/>
                <w:szCs w:val="20"/>
                <w:color w:val="auto"/>
              </w:rPr>
            </w:pPr>
            <w:r>
              <w:rPr>
                <w:rFonts w:ascii="Courier New" w:cs="Courier New" w:eastAsia="Courier New" w:hAnsi="Courier New"/>
                <w:sz w:val="15"/>
                <w:szCs w:val="15"/>
                <w:b w:val="1"/>
                <w:bCs w:val="1"/>
                <w:color w:val="auto"/>
              </w:rPr>
              <w:t>Restated</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b w:val="1"/>
                <w:bCs w:val="1"/>
                <w:color w:val="auto"/>
              </w:rPr>
              <w:t>Rubber</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b w:val="1"/>
                <w:bCs w:val="1"/>
                <w:color w:val="auto"/>
              </w:rPr>
              <w:t>Thousands of Dollars</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b w:val="1"/>
                <w:bCs w:val="1"/>
                <w:color w:val="auto"/>
              </w:rPr>
              <w:t>Roller</w:t>
            </w:r>
          </w:p>
        </w:tc>
        <w:tc>
          <w:tcPr>
            <w:tcW w:w="48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NN</w:t>
            </w:r>
          </w:p>
        </w:tc>
        <w:tc>
          <w:tcPr>
            <w:tcW w:w="800" w:type="dxa"/>
            <w:vAlign w:val="bottom"/>
          </w:tcPr>
          <w:p>
            <w:pPr>
              <w:ind w:left="100"/>
              <w:spacing w:after="0"/>
              <w:rPr>
                <w:sz w:val="20"/>
                <w:szCs w:val="20"/>
                <w:color w:val="auto"/>
              </w:rPr>
            </w:pPr>
            <w:r>
              <w:rPr>
                <w:rFonts w:ascii="Courier New" w:cs="Courier New" w:eastAsia="Courier New" w:hAnsi="Courier New"/>
                <w:sz w:val="15"/>
                <w:szCs w:val="15"/>
                <w:b w:val="1"/>
                <w:bCs w:val="1"/>
                <w:color w:val="auto"/>
              </w:rPr>
              <w:t>Europe</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b w:val="1"/>
                <w:bCs w:val="1"/>
                <w:color w:val="auto"/>
              </w:rPr>
              <w:t>Components</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b w:val="1"/>
                <w:bCs w:val="1"/>
                <w:color w:val="auto"/>
              </w:rPr>
              <w:t>Roller</w:t>
            </w:r>
          </w:p>
        </w:tc>
        <w:tc>
          <w:tcPr>
            <w:tcW w:w="1200" w:type="dxa"/>
            <w:vAlign w:val="bottom"/>
          </w:tcPr>
          <w:p>
            <w:pPr>
              <w:ind w:left="140"/>
              <w:spacing w:after="0"/>
              <w:rPr>
                <w:sz w:val="20"/>
                <w:szCs w:val="20"/>
                <w:color w:val="auto"/>
              </w:rPr>
            </w:pPr>
            <w:r>
              <w:rPr>
                <w:rFonts w:ascii="Courier New" w:cs="Courier New" w:eastAsia="Courier New" w:hAnsi="Courier New"/>
                <w:sz w:val="15"/>
                <w:szCs w:val="15"/>
                <w:b w:val="1"/>
                <w:bCs w:val="1"/>
                <w:color w:val="auto"/>
              </w:rPr>
              <w:t>NN Europe</w:t>
            </w:r>
          </w:p>
        </w:tc>
        <w:tc>
          <w:tcPr>
            <w:tcW w:w="124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Components</w:t>
            </w:r>
          </w:p>
        </w:tc>
      </w:tr>
    </w:tbl>
    <w:p>
      <w:pPr>
        <w:spacing w:after="0" w:line="3" w:lineRule="exact"/>
        <w:rPr>
          <w:sz w:val="20"/>
          <w:szCs w:val="20"/>
          <w:color w:val="auto"/>
        </w:rPr>
      </w:pPr>
    </w:p>
    <w:p>
      <w:pPr>
        <w:ind w:left="169" w:hanging="169"/>
        <w:spacing w:after="0"/>
        <w:tabs>
          <w:tab w:leader="none" w:pos="169" w:val="left"/>
        </w:tabs>
        <w:numPr>
          <w:ilvl w:val="0"/>
          <w:numId w:val="4"/>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w:t>
      </w:r>
    </w:p>
    <w:p>
      <w:pPr>
        <w:spacing w:after="0" w:line="9" w:lineRule="exact"/>
        <w:rPr>
          <w:rFonts w:ascii="Courier New" w:cs="Courier New" w:eastAsia="Courier New" w:hAnsi="Courier New"/>
          <w:sz w:val="14"/>
          <w:szCs w:val="14"/>
          <w:b w:val="1"/>
          <w:bCs w:val="1"/>
          <w:color w:val="auto"/>
        </w:rPr>
      </w:pPr>
    </w:p>
    <w:p>
      <w:pPr>
        <w:ind w:left="9"/>
        <w:spacing w:after="0"/>
        <w:rPr>
          <w:rFonts w:ascii="Courier New" w:cs="Courier New" w:eastAsia="Courier New" w:hAnsi="Courier New"/>
          <w:sz w:val="14"/>
          <w:szCs w:val="14"/>
          <w:b w:val="1"/>
          <w:bCs w:val="1"/>
          <w:color w:val="auto"/>
        </w:rPr>
      </w:pPr>
      <w:r>
        <w:rPr>
          <w:rFonts w:ascii="Courier New" w:cs="Courier New" w:eastAsia="Courier New" w:hAnsi="Courier New"/>
          <w:sz w:val="15"/>
          <w:szCs w:val="15"/>
          <w:color w:val="auto"/>
        </w:rPr>
        <w:t>Revenues from external</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80" w:type="dxa"/>
            <w:vAlign w:val="bottom"/>
            <w:gridSpan w:val="2"/>
          </w:tcPr>
          <w:p>
            <w:pPr>
              <w:spacing w:after="0"/>
              <w:rPr>
                <w:sz w:val="20"/>
                <w:szCs w:val="20"/>
                <w:color w:val="auto"/>
              </w:rPr>
            </w:pPr>
            <w:r>
              <w:rPr>
                <w:rFonts w:ascii="Courier New" w:cs="Courier New" w:eastAsia="Courier New" w:hAnsi="Courier New"/>
                <w:sz w:val="15"/>
                <w:szCs w:val="15"/>
                <w:color w:val="auto"/>
              </w:rPr>
              <w:t>customers</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$ 42,588</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$104,829</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$ 38,998</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$ 40,177</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$ 66,639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$ 37,020</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Segment</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pretax profit (loss)</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3,469</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9,871</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(531)</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4,046</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7,055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2,241</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Segment</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53,077</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144,560</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57,989</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64,211</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71,192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57,028</w:t>
            </w:r>
          </w:p>
        </w:tc>
      </w:tr>
    </w:tbl>
    <w:p>
      <w:pPr>
        <w:spacing w:after="0" w:line="171"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b w:val="1"/>
          <w:bCs w:val="1"/>
          <w:color w:val="auto"/>
        </w:rPr>
        <w:t>Note 6.</w:t>
      </w:r>
      <w:r>
        <w:rPr>
          <w:sz w:val="20"/>
          <w:szCs w:val="20"/>
          <w:color w:val="auto"/>
        </w:rPr>
        <w:tab/>
      </w:r>
      <w:r>
        <w:rPr>
          <w:rFonts w:ascii="Courier New" w:cs="Courier New" w:eastAsia="Courier New" w:hAnsi="Courier New"/>
          <w:sz w:val="14"/>
          <w:szCs w:val="14"/>
          <w:b w:val="1"/>
          <w:bCs w:val="1"/>
          <w:color w:val="auto"/>
        </w:rPr>
        <w:t>Acquisitions and Joint Ventures</w:t>
      </w:r>
    </w:p>
    <w:p>
      <w:pPr>
        <w:spacing w:after="0" w:line="174" w:lineRule="exact"/>
        <w:rPr>
          <w:sz w:val="20"/>
          <w:szCs w:val="20"/>
          <w:color w:val="auto"/>
        </w:rPr>
      </w:pPr>
    </w:p>
    <w:p>
      <w:pPr>
        <w:ind w:left="9" w:right="4360"/>
        <w:spacing w:after="0"/>
        <w:rPr>
          <w:sz w:val="20"/>
          <w:szCs w:val="20"/>
          <w:color w:val="auto"/>
        </w:rPr>
      </w:pPr>
      <w:r>
        <w:rPr>
          <w:rFonts w:ascii="Courier New" w:cs="Courier New" w:eastAsia="Courier New" w:hAnsi="Courier New"/>
          <w:sz w:val="15"/>
          <w:szCs w:val="15"/>
          <w:color w:val="auto"/>
        </w:rPr>
        <w:t>On December 20, 2002, we acquired the 23 percent interest in NN Euroball, ApS ("Euroball") held by INA/FAG. INA/FAG is a global bearing manufacturer and one of our largest customers. We paid approximately 13.4 million Euros ($13.8 million) for INA/FAG's interest in Euroball. Euroball was formed in 2000 by the Company, FAG Kugelfischer George Shaefer AG, which was subsequently acquired by INA - Schaeffler KG ("INA/FAG"), and AB SKF ("SKF"). See Note 12 for additional information.</w:t>
      </w:r>
    </w:p>
    <w:p>
      <w:pPr>
        <w:spacing w:after="0" w:line="176" w:lineRule="exact"/>
        <w:rPr>
          <w:sz w:val="20"/>
          <w:szCs w:val="20"/>
          <w:color w:val="auto"/>
        </w:rPr>
      </w:pPr>
    </w:p>
    <w:p>
      <w:pPr>
        <w:ind w:left="9" w:right="4360"/>
        <w:spacing w:after="0" w:line="262" w:lineRule="auto"/>
        <w:rPr>
          <w:sz w:val="20"/>
          <w:szCs w:val="20"/>
          <w:color w:val="auto"/>
        </w:rPr>
      </w:pPr>
      <w:r>
        <w:rPr>
          <w:rFonts w:ascii="Courier New" w:cs="Courier New" w:eastAsia="Courier New" w:hAnsi="Courier New"/>
          <w:sz w:val="14"/>
          <w:szCs w:val="14"/>
          <w:color w:val="auto"/>
        </w:rPr>
        <w:t>On May 2, 2003 we acquired the 23 percent interest in NN Euroball, ApS ("Euroball") held by SKF. We paid approximately 13.8 million Euros ($15.6 million) for SKF's interest in Euroball. Upon consummation of this transaction, we became the sole owner of Euroball. See Note 12 for additional information.</w:t>
      </w:r>
    </w:p>
    <w:p>
      <w:pPr>
        <w:spacing w:after="0" w:line="161" w:lineRule="exact"/>
        <w:rPr>
          <w:sz w:val="20"/>
          <w:szCs w:val="20"/>
          <w:color w:val="auto"/>
        </w:rPr>
      </w:pPr>
    </w:p>
    <w:p>
      <w:pPr>
        <w:ind w:left="9" w:right="4360"/>
        <w:spacing w:after="0" w:line="260" w:lineRule="auto"/>
        <w:rPr>
          <w:sz w:val="20"/>
          <w:szCs w:val="20"/>
          <w:color w:val="auto"/>
        </w:rPr>
      </w:pPr>
      <w:r>
        <w:rPr>
          <w:rFonts w:ascii="Courier New" w:cs="Courier New" w:eastAsia="Courier New" w:hAnsi="Courier New"/>
          <w:sz w:val="14"/>
          <w:szCs w:val="14"/>
          <w:color w:val="auto"/>
        </w:rPr>
        <w:t>On May 2, 2003 we acquired 100 percent of the tapered roller and metal cage manufacturing operations of SKF in Veenendaal, The Netherlands. The results of Veenendaal's operations have been included in the consolidated financial statements since that date. We paid consideration of approximately 23.0 million Euros ($25.7 million) and incurred other costs of approximately $1.0 million, for the Veenendaal net assets acquired from SKF. The Veenendaal operation manufactures rollers for tapered roller bearings and metal cages for both</w:t>
      </w:r>
    </w:p>
    <w:p>
      <w:pPr>
        <w:sectPr>
          <w:pgSz w:w="11900" w:h="16882" w:orient="portrait"/>
          <w:cols w:equalWidth="0" w:num="1">
            <w:col w:w="11369"/>
          </w:cols>
          <w:pgMar w:left="231" w:top="141" w:right="299" w:bottom="0" w:gutter="0" w:footer="0" w:header="0"/>
          <w:type w:val="continuous"/>
        </w:sectPr>
      </w:pPr>
    </w:p>
    <w:bookmarkStart w:id="6" w:name="page7"/>
    <w:bookmarkEnd w:id="6"/>
    <w:p>
      <w:pPr>
        <w:spacing w:after="0" w:line="9"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tapered roller and spherical roller bearings allowing us to expand our bearing component offering. The results of the Veenendaal operation are included in the NN Europe Segment.</w:t>
      </w:r>
    </w:p>
    <w:p>
      <w:pPr>
        <w:spacing w:after="0" w:line="175" w:lineRule="exact"/>
        <w:rPr>
          <w:sz w:val="20"/>
          <w:szCs w:val="20"/>
          <w:color w:val="auto"/>
        </w:rPr>
      </w:pPr>
    </w:p>
    <w:p>
      <w:pPr>
        <w:ind w:right="3579"/>
        <w:spacing w:after="0"/>
        <w:rPr>
          <w:sz w:val="20"/>
          <w:szCs w:val="20"/>
          <w:color w:val="auto"/>
        </w:rPr>
      </w:pPr>
      <w:r>
        <w:rPr>
          <w:rFonts w:ascii="Courier New" w:cs="Courier New" w:eastAsia="Courier New" w:hAnsi="Courier New"/>
          <w:sz w:val="15"/>
          <w:szCs w:val="15"/>
          <w:color w:val="auto"/>
        </w:rPr>
        <w:t>In connection with the acquisition of SKF's Veenendaal, The Netherlands operations, SKF purchased from us 700,000 shares of our common stock for an aggregate fair value of approximately $6.9 million which was applied to the purchase of SKF's Veenendaal, The Netherlands operations. For purposes of valuing</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299085</wp:posOffset>
            </wp:positionV>
            <wp:extent cx="729361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700,000 common shares issued in our Consolidated Financial Statements, the value was determined based on the average market price of NN, Inc.'s common shares over the two-day period before, the day of, and the two-day period after the terms of the acquisition were agreed to, April 14, 2003.</w:t>
      </w:r>
    </w:p>
    <w:p>
      <w:pPr>
        <w:spacing w:after="0" w:line="176" w:lineRule="exact"/>
        <w:rPr>
          <w:sz w:val="20"/>
          <w:szCs w:val="20"/>
          <w:color w:val="auto"/>
        </w:rPr>
      </w:pPr>
    </w:p>
    <w:p>
      <w:pPr>
        <w:ind w:right="3299"/>
        <w:spacing w:after="0" w:line="261" w:lineRule="auto"/>
        <w:rPr>
          <w:sz w:val="20"/>
          <w:szCs w:val="20"/>
          <w:color w:val="auto"/>
        </w:rPr>
      </w:pPr>
      <w:r>
        <w:rPr>
          <w:rFonts w:ascii="Courier New" w:cs="Courier New" w:eastAsia="Courier New" w:hAnsi="Courier New"/>
          <w:sz w:val="14"/>
          <w:szCs w:val="14"/>
          <w:color w:val="auto"/>
        </w:rPr>
        <w:t>The following table summarizes the estimated fair value of the assets acquired and liabilities assumed at the date of acquisition. The purchase price is subject to adjustment due to working capital changes. We are in the process of obtaining third-party valuations of certain tangible and intangible assets; thus, the allocation of the purchase price is subject to refinement.</w:t>
      </w: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tcPr>
          <w:p>
            <w:pPr>
              <w:jc w:val="right"/>
              <w:ind w:right="86"/>
              <w:spacing w:after="0"/>
              <w:rPr>
                <w:sz w:val="20"/>
                <w:szCs w:val="20"/>
                <w:color w:val="auto"/>
              </w:rPr>
            </w:pPr>
            <w:r>
              <w:rPr>
                <w:rFonts w:ascii="Courier New" w:cs="Courier New" w:eastAsia="Courier New" w:hAnsi="Courier New"/>
                <w:sz w:val="15"/>
                <w:szCs w:val="15"/>
                <w:b w:val="1"/>
                <w:bCs w:val="1"/>
                <w:color w:val="auto"/>
              </w:rPr>
              <w:t>(In thousands)</w:t>
            </w:r>
          </w:p>
        </w:tc>
      </w:tr>
      <w:tr>
        <w:trPr>
          <w:trHeight w:val="171"/>
        </w:trPr>
        <w:tc>
          <w:tcPr>
            <w:tcW w:w="3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b w:val="1"/>
                <w:bCs w:val="1"/>
                <w:color w:val="auto"/>
                <w:w w:val="99"/>
              </w:rPr>
              <w:t>At May 2, 2003</w:t>
            </w:r>
          </w:p>
        </w:tc>
      </w:tr>
      <w:tr>
        <w:trPr>
          <w:trHeight w:val="171"/>
        </w:trPr>
        <w:tc>
          <w:tcPr>
            <w:tcW w:w="3720" w:type="dxa"/>
            <w:vAlign w:val="bottom"/>
          </w:tcPr>
          <w:p>
            <w:pPr>
              <w:spacing w:after="0"/>
              <w:rPr>
                <w:sz w:val="14"/>
                <w:szCs w:val="14"/>
                <w:color w:val="auto"/>
              </w:rPr>
            </w:pPr>
          </w:p>
        </w:tc>
        <w:tc>
          <w:tcPr>
            <w:tcW w:w="2220" w:type="dxa"/>
            <w:vAlign w:val="bottom"/>
            <w:gridSpan w:val="2"/>
          </w:tcPr>
          <w:p>
            <w:pPr>
              <w:ind w:left="540"/>
              <w:spacing w:after="0"/>
              <w:rPr>
                <w:sz w:val="20"/>
                <w:szCs w:val="20"/>
                <w:color w:val="auto"/>
              </w:rPr>
            </w:pPr>
            <w:r>
              <w:rPr>
                <w:rFonts w:ascii="Courier New" w:cs="Courier New" w:eastAsia="Courier New" w:hAnsi="Courier New"/>
                <w:sz w:val="15"/>
                <w:szCs w:val="15"/>
                <w:b w:val="1"/>
                <w:bCs w:val="1"/>
                <w:color w:val="auto"/>
                <w:w w:val="97"/>
              </w:rPr>
              <w:t>-------------------</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6,081</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680" w:type="dxa"/>
            <w:vAlign w:val="bottom"/>
          </w:tcPr>
          <w:p>
            <w:pPr>
              <w:spacing w:after="0"/>
              <w:rPr>
                <w:sz w:val="14"/>
                <w:szCs w:val="14"/>
                <w:color w:val="auto"/>
              </w:rPr>
            </w:pPr>
          </w:p>
        </w:tc>
        <w:tc>
          <w:tcPr>
            <w:tcW w:w="15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14,747</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w:t>
            </w:r>
          </w:p>
        </w:tc>
        <w:tc>
          <w:tcPr>
            <w:tcW w:w="680" w:type="dxa"/>
            <w:vAlign w:val="bottom"/>
          </w:tcPr>
          <w:p>
            <w:pPr>
              <w:spacing w:after="0"/>
              <w:rPr>
                <w:sz w:val="14"/>
                <w:szCs w:val="14"/>
                <w:color w:val="auto"/>
              </w:rPr>
            </w:pPr>
          </w:p>
        </w:tc>
        <w:tc>
          <w:tcPr>
            <w:tcW w:w="15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11,263</w:t>
            </w:r>
          </w:p>
        </w:tc>
      </w:tr>
      <w:tr>
        <w:trPr>
          <w:trHeight w:val="171"/>
        </w:trPr>
        <w:tc>
          <w:tcPr>
            <w:tcW w:w="3720" w:type="dxa"/>
            <w:vAlign w:val="bottom"/>
          </w:tcPr>
          <w:p>
            <w:pPr>
              <w:spacing w:after="0"/>
              <w:rPr>
                <w:sz w:val="14"/>
                <w:szCs w:val="14"/>
                <w:color w:val="auto"/>
              </w:rPr>
            </w:pPr>
          </w:p>
        </w:tc>
        <w:tc>
          <w:tcPr>
            <w:tcW w:w="22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Total assets acquired</w:t>
            </w:r>
          </w:p>
        </w:tc>
        <w:tc>
          <w:tcPr>
            <w:tcW w:w="680" w:type="dxa"/>
            <w:vAlign w:val="bottom"/>
          </w:tcPr>
          <w:p>
            <w:pPr>
              <w:spacing w:after="0"/>
              <w:rPr>
                <w:sz w:val="14"/>
                <w:szCs w:val="14"/>
                <w:color w:val="auto"/>
              </w:rPr>
            </w:pPr>
          </w:p>
        </w:tc>
        <w:tc>
          <w:tcPr>
            <w:tcW w:w="15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32,091</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80" w:type="dxa"/>
            <w:vAlign w:val="bottom"/>
          </w:tcPr>
          <w:p>
            <w:pPr>
              <w:spacing w:after="0"/>
              <w:rPr>
                <w:sz w:val="14"/>
                <w:szCs w:val="14"/>
                <w:color w:val="auto"/>
              </w:rPr>
            </w:pPr>
          </w:p>
        </w:tc>
        <w:tc>
          <w:tcPr>
            <w:tcW w:w="15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5,431</w:t>
            </w:r>
          </w:p>
        </w:tc>
      </w:tr>
      <w:tr>
        <w:trPr>
          <w:trHeight w:val="171"/>
        </w:trPr>
        <w:tc>
          <w:tcPr>
            <w:tcW w:w="3720" w:type="dxa"/>
            <w:vAlign w:val="bottom"/>
          </w:tcPr>
          <w:p>
            <w:pPr>
              <w:spacing w:after="0"/>
              <w:rPr>
                <w:sz w:val="14"/>
                <w:szCs w:val="14"/>
                <w:color w:val="auto"/>
              </w:rPr>
            </w:pPr>
          </w:p>
        </w:tc>
        <w:tc>
          <w:tcPr>
            <w:tcW w:w="22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Net assets acquired</w:t>
            </w:r>
          </w:p>
        </w:tc>
        <w:tc>
          <w:tcPr>
            <w:tcW w:w="6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26,660</w:t>
            </w:r>
          </w:p>
        </w:tc>
      </w:tr>
      <w:tr>
        <w:trPr>
          <w:trHeight w:val="171"/>
        </w:trPr>
        <w:tc>
          <w:tcPr>
            <w:tcW w:w="3720" w:type="dxa"/>
            <w:vAlign w:val="bottom"/>
          </w:tcPr>
          <w:p>
            <w:pPr>
              <w:spacing w:after="0"/>
              <w:rPr>
                <w:sz w:val="14"/>
                <w:szCs w:val="14"/>
                <w:color w:val="auto"/>
              </w:rPr>
            </w:pPr>
          </w:p>
        </w:tc>
        <w:tc>
          <w:tcPr>
            <w:tcW w:w="22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7"/>
              </w:rPr>
              <w:t>===================</w:t>
            </w:r>
          </w:p>
        </w:tc>
      </w:tr>
    </w:tbl>
    <w:p>
      <w:pPr>
        <w:spacing w:after="0" w:line="174"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The full amount assigned to goodwill is expected to be deductible for tax purposes.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following unaudited proforma summary presents the financial information for the three and nine month periods ended September 30, 2003 and 2002 as if our Veenendaal acquisition had occurred as of the beginning of each of the periods presented. These pro forma results have been prepared for comparative purposes and do not purport to be indicative of what would have occurred had the acquisition been made as of the beginning of each of the periods presented, nor are they indicative of future results.</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4040" w:type="dxa"/>
            <w:vAlign w:val="bottom"/>
            <w:gridSpan w:val="2"/>
          </w:tcPr>
          <w:p>
            <w:pPr>
              <w:jc w:val="right"/>
              <w:ind w:right="206"/>
              <w:spacing w:after="0"/>
              <w:rPr>
                <w:sz w:val="20"/>
                <w:szCs w:val="20"/>
                <w:color w:val="auto"/>
              </w:rPr>
            </w:pPr>
            <w:r>
              <w:rPr>
                <w:rFonts w:ascii="Courier New" w:cs="Courier New" w:eastAsia="Courier New" w:hAnsi="Courier New"/>
                <w:sz w:val="15"/>
                <w:szCs w:val="15"/>
                <w:b w:val="1"/>
                <w:bCs w:val="1"/>
                <w:color w:val="auto"/>
              </w:rPr>
              <w:t>(In thousands, except per share data)</w:t>
            </w:r>
          </w:p>
        </w:tc>
      </w:tr>
      <w:tr>
        <w:trPr>
          <w:trHeight w:val="171"/>
        </w:trPr>
        <w:tc>
          <w:tcPr>
            <w:tcW w:w="2720" w:type="dxa"/>
            <w:vAlign w:val="bottom"/>
          </w:tcPr>
          <w:p>
            <w:pPr>
              <w:spacing w:after="0"/>
              <w:rPr>
                <w:sz w:val="14"/>
                <w:szCs w:val="14"/>
                <w:color w:val="auto"/>
              </w:rPr>
            </w:pPr>
          </w:p>
        </w:tc>
        <w:tc>
          <w:tcPr>
            <w:tcW w:w="404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171"/>
        </w:trPr>
        <w:tc>
          <w:tcPr>
            <w:tcW w:w="2720" w:type="dxa"/>
            <w:vAlign w:val="bottom"/>
          </w:tcPr>
          <w:p>
            <w:pPr>
              <w:spacing w:after="0"/>
              <w:rPr>
                <w:sz w:val="14"/>
                <w:szCs w:val="14"/>
                <w:color w:val="auto"/>
              </w:rPr>
            </w:pPr>
          </w:p>
        </w:tc>
        <w:tc>
          <w:tcPr>
            <w:tcW w:w="2380" w:type="dxa"/>
            <w:vAlign w:val="bottom"/>
          </w:tcPr>
          <w:p>
            <w:pPr>
              <w:jc w:val="right"/>
              <w:ind w:right="586"/>
              <w:spacing w:after="0"/>
              <w:rPr>
                <w:sz w:val="20"/>
                <w:szCs w:val="20"/>
                <w:color w:val="auto"/>
              </w:rPr>
            </w:pPr>
            <w:r>
              <w:rPr>
                <w:rFonts w:ascii="Courier New" w:cs="Courier New" w:eastAsia="Courier New" w:hAnsi="Courier New"/>
                <w:sz w:val="15"/>
                <w:szCs w:val="15"/>
                <w:b w:val="1"/>
                <w:bCs w:val="1"/>
                <w:color w:val="auto"/>
              </w:rPr>
              <w:t>Three months</w:t>
            </w:r>
          </w:p>
        </w:tc>
        <w:tc>
          <w:tcPr>
            <w:tcW w:w="166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w w:val="98"/>
              </w:rPr>
              <w:t>Nine months</w:t>
            </w:r>
          </w:p>
        </w:tc>
      </w:tr>
      <w:tr>
        <w:trPr>
          <w:trHeight w:val="171"/>
        </w:trPr>
        <w:tc>
          <w:tcPr>
            <w:tcW w:w="2720" w:type="dxa"/>
            <w:vAlign w:val="bottom"/>
          </w:tcPr>
          <w:p>
            <w:pPr>
              <w:spacing w:after="0"/>
              <w:rPr>
                <w:sz w:val="14"/>
                <w:szCs w:val="14"/>
                <w:color w:val="auto"/>
              </w:rPr>
            </w:pPr>
          </w:p>
        </w:tc>
        <w:tc>
          <w:tcPr>
            <w:tcW w:w="2380" w:type="dxa"/>
            <w:vAlign w:val="bottom"/>
          </w:tcPr>
          <w:p>
            <w:pPr>
              <w:jc w:val="center"/>
              <w:ind w:left="26"/>
              <w:spacing w:after="0"/>
              <w:rPr>
                <w:sz w:val="20"/>
                <w:szCs w:val="20"/>
                <w:color w:val="auto"/>
              </w:rPr>
            </w:pPr>
            <w:r>
              <w:rPr>
                <w:rFonts w:ascii="Courier New" w:cs="Courier New" w:eastAsia="Courier New" w:hAnsi="Courier New"/>
                <w:sz w:val="15"/>
                <w:szCs w:val="15"/>
                <w:b w:val="1"/>
                <w:bCs w:val="1"/>
                <w:color w:val="auto"/>
                <w:w w:val="97"/>
              </w:rPr>
              <w:t>ended</w:t>
            </w:r>
          </w:p>
        </w:tc>
        <w:tc>
          <w:tcPr>
            <w:tcW w:w="166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w w:val="97"/>
              </w:rPr>
              <w:t>ended</w:t>
            </w:r>
          </w:p>
        </w:tc>
      </w:tr>
      <w:tr>
        <w:trPr>
          <w:trHeight w:val="171"/>
        </w:trPr>
        <w:tc>
          <w:tcPr>
            <w:tcW w:w="2720" w:type="dxa"/>
            <w:vAlign w:val="bottom"/>
          </w:tcPr>
          <w:p>
            <w:pPr>
              <w:spacing w:after="0"/>
              <w:rPr>
                <w:sz w:val="14"/>
                <w:szCs w:val="14"/>
                <w:color w:val="auto"/>
              </w:rPr>
            </w:pPr>
          </w:p>
        </w:tc>
        <w:tc>
          <w:tcPr>
            <w:tcW w:w="2380" w:type="dxa"/>
            <w:vAlign w:val="bottom"/>
          </w:tcPr>
          <w:p>
            <w:pPr>
              <w:jc w:val="center"/>
              <w:ind w:left="26"/>
              <w:spacing w:after="0"/>
              <w:rPr>
                <w:sz w:val="20"/>
                <w:szCs w:val="20"/>
                <w:color w:val="auto"/>
              </w:rPr>
            </w:pPr>
            <w:r>
              <w:rPr>
                <w:rFonts w:ascii="Courier New" w:cs="Courier New" w:eastAsia="Courier New" w:hAnsi="Courier New"/>
                <w:sz w:val="15"/>
                <w:szCs w:val="15"/>
                <w:b w:val="1"/>
                <w:bCs w:val="1"/>
                <w:color w:val="auto"/>
                <w:w w:val="99"/>
              </w:rPr>
              <w:t>September 30,</w:t>
            </w:r>
          </w:p>
        </w:tc>
        <w:tc>
          <w:tcPr>
            <w:tcW w:w="166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w w:val="97"/>
              </w:rPr>
              <w:t>September 30,</w:t>
            </w:r>
          </w:p>
        </w:tc>
      </w:tr>
      <w:tr>
        <w:trPr>
          <w:trHeight w:val="171"/>
        </w:trPr>
        <w:tc>
          <w:tcPr>
            <w:tcW w:w="2720" w:type="dxa"/>
            <w:vAlign w:val="bottom"/>
          </w:tcPr>
          <w:p>
            <w:pPr>
              <w:spacing w:after="0"/>
              <w:rPr>
                <w:sz w:val="14"/>
                <w:szCs w:val="14"/>
                <w:color w:val="auto"/>
              </w:rPr>
            </w:pPr>
          </w:p>
        </w:tc>
        <w:tc>
          <w:tcPr>
            <w:tcW w:w="2380" w:type="dxa"/>
            <w:vAlign w:val="bottom"/>
          </w:tcPr>
          <w:p>
            <w:pPr>
              <w:jc w:val="right"/>
              <w:ind w:right="846"/>
              <w:spacing w:after="0"/>
              <w:rPr>
                <w:sz w:val="20"/>
                <w:szCs w:val="20"/>
                <w:color w:val="auto"/>
              </w:rPr>
            </w:pPr>
            <w:r>
              <w:rPr>
                <w:rFonts w:ascii="Courier New" w:cs="Courier New" w:eastAsia="Courier New" w:hAnsi="Courier New"/>
                <w:sz w:val="15"/>
                <w:szCs w:val="15"/>
                <w:b w:val="1"/>
                <w:bCs w:val="1"/>
                <w:color w:val="auto"/>
              </w:rPr>
              <w:t>2003</w:t>
            </w:r>
          </w:p>
        </w:tc>
        <w:tc>
          <w:tcPr>
            <w:tcW w:w="1660" w:type="dxa"/>
            <w:vAlign w:val="bottom"/>
          </w:tcPr>
          <w:p>
            <w:pPr>
              <w:jc w:val="right"/>
              <w:ind w:right="566"/>
              <w:spacing w:after="0"/>
              <w:rPr>
                <w:sz w:val="20"/>
                <w:szCs w:val="20"/>
                <w:color w:val="auto"/>
              </w:rPr>
            </w:pPr>
            <w:r>
              <w:rPr>
                <w:rFonts w:ascii="Courier New" w:cs="Courier New" w:eastAsia="Courier New" w:hAnsi="Courier New"/>
                <w:sz w:val="15"/>
                <w:szCs w:val="15"/>
                <w:b w:val="1"/>
                <w:bCs w:val="1"/>
                <w:color w:val="auto"/>
              </w:rPr>
              <w:t>2003</w:t>
            </w:r>
          </w:p>
        </w:tc>
      </w:tr>
      <w:tr>
        <w:trPr>
          <w:trHeight w:val="171"/>
        </w:trPr>
        <w:tc>
          <w:tcPr>
            <w:tcW w:w="2720" w:type="dxa"/>
            <w:vAlign w:val="bottom"/>
          </w:tcPr>
          <w:p>
            <w:pPr>
              <w:spacing w:after="0"/>
              <w:rPr>
                <w:sz w:val="14"/>
                <w:szCs w:val="14"/>
                <w:color w:val="auto"/>
              </w:rPr>
            </w:pPr>
          </w:p>
        </w:tc>
        <w:tc>
          <w:tcPr>
            <w:tcW w:w="2380" w:type="dxa"/>
            <w:vAlign w:val="bottom"/>
          </w:tcPr>
          <w:p>
            <w:pPr>
              <w:jc w:val="center"/>
              <w:ind w:left="6"/>
              <w:spacing w:after="0"/>
              <w:rPr>
                <w:sz w:val="20"/>
                <w:szCs w:val="20"/>
                <w:color w:val="auto"/>
              </w:rPr>
            </w:pPr>
            <w:r>
              <w:rPr>
                <w:rFonts w:ascii="Courier New" w:cs="Courier New" w:eastAsia="Courier New" w:hAnsi="Courier New"/>
                <w:sz w:val="15"/>
                <w:szCs w:val="15"/>
                <w:b w:val="1"/>
                <w:bCs w:val="1"/>
                <w:color w:val="auto"/>
                <w:w w:val="98"/>
              </w:rPr>
              <w:t>(unaudited)</w:t>
            </w:r>
          </w:p>
        </w:tc>
        <w:tc>
          <w:tcPr>
            <w:tcW w:w="166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w w:val="98"/>
              </w:rPr>
              <w:t>(unaudited)</w:t>
            </w:r>
          </w:p>
        </w:tc>
      </w:tr>
      <w:tr>
        <w:trPr>
          <w:trHeight w:val="171"/>
        </w:trPr>
        <w:tc>
          <w:tcPr>
            <w:tcW w:w="2720" w:type="dxa"/>
            <w:vAlign w:val="bottom"/>
          </w:tcPr>
          <w:p>
            <w:pPr>
              <w:spacing w:after="0"/>
              <w:rPr>
                <w:sz w:val="14"/>
                <w:szCs w:val="14"/>
                <w:color w:val="auto"/>
              </w:rPr>
            </w:pPr>
          </w:p>
        </w:tc>
        <w:tc>
          <w:tcPr>
            <w:tcW w:w="404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 --------------------</w:t>
            </w:r>
          </w:p>
        </w:tc>
      </w:tr>
      <w:tr>
        <w:trPr>
          <w:trHeight w:val="171"/>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$ 64,612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$ 203,859</w:t>
            </w:r>
          </w:p>
        </w:tc>
      </w:tr>
      <w:tr>
        <w:trPr>
          <w:trHeight w:val="171"/>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3,164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7,813</w:t>
            </w:r>
          </w:p>
        </w:tc>
      </w:tr>
      <w:tr>
        <w:trPr>
          <w:trHeight w:val="171"/>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r>
      <w:tr>
        <w:trPr>
          <w:trHeight w:val="171"/>
        </w:trPr>
        <w:tc>
          <w:tcPr>
            <w:tcW w:w="27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0.18</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r>
      <w:tr>
        <w:trPr>
          <w:trHeight w:val="341"/>
        </w:trPr>
        <w:tc>
          <w:tcPr>
            <w:tcW w:w="2720" w:type="dxa"/>
            <w:vAlign w:val="bottom"/>
          </w:tcPr>
          <w:p>
            <w:pPr>
              <w:spacing w:after="0"/>
              <w:rPr>
                <w:sz w:val="24"/>
                <w:szCs w:val="24"/>
                <w:color w:val="auto"/>
              </w:rPr>
            </w:pPr>
          </w:p>
        </w:tc>
        <w:tc>
          <w:tcPr>
            <w:tcW w:w="4040" w:type="dxa"/>
            <w:vAlign w:val="bottom"/>
            <w:gridSpan w:val="2"/>
          </w:tcPr>
          <w:p>
            <w:pPr>
              <w:jc w:val="right"/>
              <w:ind w:right="106"/>
              <w:spacing w:after="0"/>
              <w:rPr>
                <w:sz w:val="20"/>
                <w:szCs w:val="20"/>
                <w:color w:val="auto"/>
              </w:rPr>
            </w:pPr>
            <w:r>
              <w:rPr>
                <w:rFonts w:ascii="Courier New" w:cs="Courier New" w:eastAsia="Courier New" w:hAnsi="Courier New"/>
                <w:sz w:val="15"/>
                <w:szCs w:val="15"/>
                <w:b w:val="1"/>
                <w:bCs w:val="1"/>
                <w:color w:val="auto"/>
              </w:rPr>
              <w:t>(In thousands, except per share data)</w:t>
            </w:r>
          </w:p>
        </w:tc>
      </w:tr>
      <w:tr>
        <w:trPr>
          <w:trHeight w:val="171"/>
        </w:trPr>
        <w:tc>
          <w:tcPr>
            <w:tcW w:w="2720" w:type="dxa"/>
            <w:vAlign w:val="bottom"/>
          </w:tcPr>
          <w:p>
            <w:pPr>
              <w:spacing w:after="0"/>
              <w:rPr>
                <w:sz w:val="14"/>
                <w:szCs w:val="14"/>
                <w:color w:val="auto"/>
              </w:rPr>
            </w:pPr>
          </w:p>
        </w:tc>
        <w:tc>
          <w:tcPr>
            <w:tcW w:w="404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171"/>
        </w:trPr>
        <w:tc>
          <w:tcPr>
            <w:tcW w:w="2720" w:type="dxa"/>
            <w:vAlign w:val="bottom"/>
          </w:tcPr>
          <w:p>
            <w:pPr>
              <w:spacing w:after="0"/>
              <w:rPr>
                <w:sz w:val="14"/>
                <w:szCs w:val="14"/>
                <w:color w:val="auto"/>
              </w:rPr>
            </w:pPr>
          </w:p>
        </w:tc>
        <w:tc>
          <w:tcPr>
            <w:tcW w:w="2380" w:type="dxa"/>
            <w:vAlign w:val="bottom"/>
          </w:tcPr>
          <w:p>
            <w:pPr>
              <w:jc w:val="right"/>
              <w:ind w:right="586"/>
              <w:spacing w:after="0"/>
              <w:rPr>
                <w:sz w:val="20"/>
                <w:szCs w:val="20"/>
                <w:color w:val="auto"/>
              </w:rPr>
            </w:pPr>
            <w:r>
              <w:rPr>
                <w:rFonts w:ascii="Courier New" w:cs="Courier New" w:eastAsia="Courier New" w:hAnsi="Courier New"/>
                <w:sz w:val="15"/>
                <w:szCs w:val="15"/>
                <w:b w:val="1"/>
                <w:bCs w:val="1"/>
                <w:color w:val="auto"/>
              </w:rPr>
              <w:t>Three months</w:t>
            </w:r>
          </w:p>
        </w:tc>
        <w:tc>
          <w:tcPr>
            <w:tcW w:w="166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w w:val="98"/>
              </w:rPr>
              <w:t>Nine months</w:t>
            </w:r>
          </w:p>
        </w:tc>
      </w:tr>
      <w:tr>
        <w:trPr>
          <w:trHeight w:val="171"/>
        </w:trPr>
        <w:tc>
          <w:tcPr>
            <w:tcW w:w="2720" w:type="dxa"/>
            <w:vAlign w:val="bottom"/>
          </w:tcPr>
          <w:p>
            <w:pPr>
              <w:spacing w:after="0"/>
              <w:rPr>
                <w:sz w:val="14"/>
                <w:szCs w:val="14"/>
                <w:color w:val="auto"/>
              </w:rPr>
            </w:pPr>
          </w:p>
        </w:tc>
        <w:tc>
          <w:tcPr>
            <w:tcW w:w="2380" w:type="dxa"/>
            <w:vAlign w:val="bottom"/>
          </w:tcPr>
          <w:p>
            <w:pPr>
              <w:jc w:val="center"/>
              <w:ind w:left="26"/>
              <w:spacing w:after="0"/>
              <w:rPr>
                <w:sz w:val="20"/>
                <w:szCs w:val="20"/>
                <w:color w:val="auto"/>
              </w:rPr>
            </w:pPr>
            <w:r>
              <w:rPr>
                <w:rFonts w:ascii="Courier New" w:cs="Courier New" w:eastAsia="Courier New" w:hAnsi="Courier New"/>
                <w:sz w:val="15"/>
                <w:szCs w:val="15"/>
                <w:b w:val="1"/>
                <w:bCs w:val="1"/>
                <w:color w:val="auto"/>
                <w:w w:val="97"/>
              </w:rPr>
              <w:t>ended</w:t>
            </w:r>
          </w:p>
        </w:tc>
        <w:tc>
          <w:tcPr>
            <w:tcW w:w="166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w w:val="97"/>
              </w:rPr>
              <w:t>ended</w:t>
            </w:r>
          </w:p>
        </w:tc>
      </w:tr>
      <w:tr>
        <w:trPr>
          <w:trHeight w:val="171"/>
        </w:trPr>
        <w:tc>
          <w:tcPr>
            <w:tcW w:w="2720" w:type="dxa"/>
            <w:vAlign w:val="bottom"/>
          </w:tcPr>
          <w:p>
            <w:pPr>
              <w:spacing w:after="0"/>
              <w:rPr>
                <w:sz w:val="14"/>
                <w:szCs w:val="14"/>
                <w:color w:val="auto"/>
              </w:rPr>
            </w:pPr>
          </w:p>
        </w:tc>
        <w:tc>
          <w:tcPr>
            <w:tcW w:w="2380" w:type="dxa"/>
            <w:vAlign w:val="bottom"/>
          </w:tcPr>
          <w:p>
            <w:pPr>
              <w:jc w:val="center"/>
              <w:ind w:left="26"/>
              <w:spacing w:after="0"/>
              <w:rPr>
                <w:sz w:val="20"/>
                <w:szCs w:val="20"/>
                <w:color w:val="auto"/>
              </w:rPr>
            </w:pPr>
            <w:r>
              <w:rPr>
                <w:rFonts w:ascii="Courier New" w:cs="Courier New" w:eastAsia="Courier New" w:hAnsi="Courier New"/>
                <w:sz w:val="15"/>
                <w:szCs w:val="15"/>
                <w:b w:val="1"/>
                <w:bCs w:val="1"/>
                <w:color w:val="auto"/>
                <w:w w:val="99"/>
              </w:rPr>
              <w:t>September 30,</w:t>
            </w:r>
          </w:p>
        </w:tc>
        <w:tc>
          <w:tcPr>
            <w:tcW w:w="166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w w:val="97"/>
              </w:rPr>
              <w:t>September 30,</w:t>
            </w:r>
          </w:p>
        </w:tc>
      </w:tr>
      <w:tr>
        <w:trPr>
          <w:trHeight w:val="171"/>
        </w:trPr>
        <w:tc>
          <w:tcPr>
            <w:tcW w:w="2720" w:type="dxa"/>
            <w:vAlign w:val="bottom"/>
          </w:tcPr>
          <w:p>
            <w:pPr>
              <w:spacing w:after="0"/>
              <w:rPr>
                <w:sz w:val="14"/>
                <w:szCs w:val="14"/>
                <w:color w:val="auto"/>
              </w:rPr>
            </w:pPr>
          </w:p>
        </w:tc>
        <w:tc>
          <w:tcPr>
            <w:tcW w:w="2380" w:type="dxa"/>
            <w:vAlign w:val="bottom"/>
          </w:tcPr>
          <w:p>
            <w:pPr>
              <w:jc w:val="right"/>
              <w:ind w:right="846"/>
              <w:spacing w:after="0"/>
              <w:rPr>
                <w:sz w:val="20"/>
                <w:szCs w:val="20"/>
                <w:color w:val="auto"/>
              </w:rPr>
            </w:pPr>
            <w:r>
              <w:rPr>
                <w:rFonts w:ascii="Courier New" w:cs="Courier New" w:eastAsia="Courier New" w:hAnsi="Courier New"/>
                <w:sz w:val="15"/>
                <w:szCs w:val="15"/>
                <w:b w:val="1"/>
                <w:bCs w:val="1"/>
                <w:color w:val="auto"/>
              </w:rPr>
              <w:t>2002</w:t>
            </w:r>
          </w:p>
        </w:tc>
        <w:tc>
          <w:tcPr>
            <w:tcW w:w="1660" w:type="dxa"/>
            <w:vAlign w:val="bottom"/>
          </w:tcPr>
          <w:p>
            <w:pPr>
              <w:jc w:val="right"/>
              <w:ind w:right="566"/>
              <w:spacing w:after="0"/>
              <w:rPr>
                <w:sz w:val="20"/>
                <w:szCs w:val="20"/>
                <w:color w:val="auto"/>
              </w:rPr>
            </w:pPr>
            <w:r>
              <w:rPr>
                <w:rFonts w:ascii="Courier New" w:cs="Courier New" w:eastAsia="Courier New" w:hAnsi="Courier New"/>
                <w:sz w:val="15"/>
                <w:szCs w:val="15"/>
                <w:b w:val="1"/>
                <w:bCs w:val="1"/>
                <w:color w:val="auto"/>
              </w:rPr>
              <w:t>2002</w:t>
            </w:r>
          </w:p>
        </w:tc>
      </w:tr>
      <w:tr>
        <w:trPr>
          <w:trHeight w:val="171"/>
        </w:trPr>
        <w:tc>
          <w:tcPr>
            <w:tcW w:w="2720" w:type="dxa"/>
            <w:vAlign w:val="bottom"/>
          </w:tcPr>
          <w:p>
            <w:pPr>
              <w:spacing w:after="0"/>
              <w:rPr>
                <w:sz w:val="14"/>
                <w:szCs w:val="14"/>
                <w:color w:val="auto"/>
              </w:rPr>
            </w:pPr>
          </w:p>
        </w:tc>
        <w:tc>
          <w:tcPr>
            <w:tcW w:w="2380" w:type="dxa"/>
            <w:vAlign w:val="bottom"/>
          </w:tcPr>
          <w:p>
            <w:pPr>
              <w:jc w:val="center"/>
              <w:ind w:left="6"/>
              <w:spacing w:after="0"/>
              <w:rPr>
                <w:sz w:val="20"/>
                <w:szCs w:val="20"/>
                <w:color w:val="auto"/>
              </w:rPr>
            </w:pPr>
            <w:r>
              <w:rPr>
                <w:rFonts w:ascii="Courier New" w:cs="Courier New" w:eastAsia="Courier New" w:hAnsi="Courier New"/>
                <w:sz w:val="15"/>
                <w:szCs w:val="15"/>
                <w:b w:val="1"/>
                <w:bCs w:val="1"/>
                <w:color w:val="auto"/>
                <w:w w:val="98"/>
              </w:rPr>
              <w:t>(unaudited)</w:t>
            </w:r>
          </w:p>
        </w:tc>
        <w:tc>
          <w:tcPr>
            <w:tcW w:w="166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w w:val="98"/>
              </w:rPr>
              <w:t>(unaudited)</w:t>
            </w:r>
          </w:p>
        </w:tc>
      </w:tr>
      <w:tr>
        <w:trPr>
          <w:trHeight w:val="171"/>
        </w:trPr>
        <w:tc>
          <w:tcPr>
            <w:tcW w:w="2720" w:type="dxa"/>
            <w:vAlign w:val="bottom"/>
          </w:tcPr>
          <w:p>
            <w:pPr>
              <w:spacing w:after="0"/>
              <w:rPr>
                <w:sz w:val="14"/>
                <w:szCs w:val="14"/>
                <w:color w:val="auto"/>
              </w:rPr>
            </w:pPr>
          </w:p>
        </w:tc>
        <w:tc>
          <w:tcPr>
            <w:tcW w:w="404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 -------------------</w:t>
            </w:r>
          </w:p>
        </w:tc>
      </w:tr>
      <w:tr>
        <w:trPr>
          <w:trHeight w:val="171"/>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$ 59,962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$ 183,085</w:t>
            </w:r>
          </w:p>
        </w:tc>
      </w:tr>
      <w:tr>
        <w:trPr>
          <w:trHeight w:val="171"/>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2,414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7,068</w:t>
            </w:r>
          </w:p>
        </w:tc>
      </w:tr>
      <w:tr>
        <w:trPr>
          <w:trHeight w:val="171"/>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0.16</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171"/>
        </w:trPr>
        <w:tc>
          <w:tcPr>
            <w:tcW w:w="27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0.45</w:t>
            </w:r>
          </w:p>
        </w:tc>
      </w:tr>
    </w:tbl>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On April 1, 2003, we exercised our call right and purchased the remaining 49 percent interest in NN Mexico, LLC. Based on the purchase price formula contained in the principal agreement between the parties, the purchase price for the 49 percent interest was zero.</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299085</wp:posOffset>
            </wp:positionV>
            <wp:extent cx="729361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b w:val="1"/>
          <w:bCs w:val="1"/>
          <w:color w:val="auto"/>
        </w:rPr>
        <w:t>Note 7.</w:t>
      </w:r>
      <w:r>
        <w:rPr>
          <w:sz w:val="20"/>
          <w:szCs w:val="20"/>
          <w:color w:val="auto"/>
        </w:rPr>
        <w:tab/>
      </w:r>
      <w:r>
        <w:rPr>
          <w:rFonts w:ascii="Courier New" w:cs="Courier New" w:eastAsia="Courier New" w:hAnsi="Courier New"/>
          <w:sz w:val="14"/>
          <w:szCs w:val="14"/>
          <w:b w:val="1"/>
          <w:bCs w:val="1"/>
          <w:color w:val="auto"/>
        </w:rPr>
        <w:t>Restructuring and Impairment Charges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u w:val="single" w:color="auto"/>
          <w:color w:val="auto"/>
        </w:rPr>
        <w:t>NN Arté Plant Closing in Guadalajara, Mexico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May, 2003, we decided to close our Guadalajara, Mexico plastic injection</w:t>
      </w:r>
    </w:p>
    <w:p>
      <w:pPr>
        <w:sectPr>
          <w:pgSz w:w="11900" w:h="16848" w:orient="portrait"/>
          <w:cols w:equalWidth="0" w:num="1">
            <w:col w:w="10219"/>
          </w:cols>
          <w:pgMar w:left="240" w:top="141" w:right="1440" w:bottom="0" w:gutter="0" w:footer="0" w:header="0"/>
        </w:sectPr>
      </w:pPr>
    </w:p>
    <w:bookmarkStart w:id="7" w:name="page8"/>
    <w:bookmarkEnd w:id="7"/>
    <w:p>
      <w:pPr>
        <w:spacing w:after="0" w:line="3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molding facility. This operation was started in September of 2000 to supply certain Mexican operations of multi-national manufacturers of office automation equipment. Several of these customers have recently shifted their manufacturing operations to other geographic regions in the world. The closure was substantially completed during the third quarter of 2003. The financial results of this operation have been included in the Plastic and Rubber Components Segment.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plant closing is expected to result in the termination of approximately 42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 time hourly and salary employees located at the Guadalajara facility.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three months ended June 30, 2003 we recorded restructuring costs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$282,000 related to the severance payments for the affected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During the three months ended September 30, 2003 we re-evaluated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adequacy of the severance reserve and reduced the charge by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$52,000. For the nine months ended September 30, 2003 total restructuring costs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$230,000 have been recorded related to the severance payments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affected employees.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As a result of the closing, we have performed a test of the recoverability of the goodwill asset associated with the Guadalajara, Mexico operation. This test was pursuant to the provisions of Statement of Financial Accounting Standards No. 142 "Goodwill and Other Intangible Assets" which require that interim tests of the recoverability of goodwill be performed under certain circumstances. As a result, we recorded an impairment charge of approximately $0 and $1.3 million to fully write-off the goodwill asset during the three and nine month periods ended September 30, 2003, respectively.</w:t>
      </w:r>
    </w:p>
    <w:p>
      <w:pPr>
        <w:spacing w:after="0" w:line="177"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We have decided to sell much of the machinery and equipment with certain pieces of machinery and equipment to be transferred and utilized by our Industrial Molding facility in Lubbock, Texas. Pursuant to the provisions of Statement of Accounting Standards No. 144 "Accounting for the Impairment or Disposal of Long-lived Assets" we recorded an impairment charge of $1.1 million during the three months ended June 30, 2003 to write-down the machinery and equipment to its estimated fair market value. During the three months ended September 30, 2003 we recorded a gain of $145,000 related to the disposition of certain pieces of the machinery and equipment assets that were previously assessed as impaired. During the nine months ended September 30, 2003, we recorded a total impairment charge related to the machinery and equipment of $0.9 million.</w:t>
      </w:r>
    </w:p>
    <w:p>
      <w:pPr>
        <w:spacing w:after="0" w:line="16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During the three months ended June 30, 2003, we recorded an accounts receivable write-down of $107,000 to reduce accounts receivable to its estimated fair market value. During the three months ended September 30, 2003, we recorded a gain of $76,000 related to recoveries of accounts receivable that were previously determined to be uncollectible. During the nine months ended September 30, 2003, we recorded a total impairment charge related to the accounts receivable asset of $31,000.</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Additionally, during the three months ended June 30, 2003, we recorded an inventory write-down of $324,000 to reduce the carrying value of inventory to its estimated fair market value. During the three months ended September 30, 2003, we recorded a gain related to the disposition of the impaired inventory asset of $216,000. During the nine months ended September 30, 2003, we recorded a total write-down related to the inventory asset of $108,000. These amounts related to the inventory asset have been recorded as a component of cost of goods sold.</w:t>
      </w:r>
    </w:p>
    <w:p>
      <w:pPr>
        <w:spacing w:after="0" w:line="177"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The amounts we will ultimately realize upon disposition of these assets could differ materially from the amounts assumed in arriving at the net impairment losses recorded during the nine months ended September 30, 2003.</w:t>
      </w:r>
    </w:p>
    <w:p>
      <w:pPr>
        <w:spacing w:after="0" w:line="175"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 following summarizes the 2003 restructuring and impairment charges related to the closure of NN Arté:</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299085</wp:posOffset>
            </wp:positionV>
            <wp:extent cx="729361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ectPr>
          <w:pgSz w:w="11900" w:h="16869" w:orient="portrait"/>
          <w:cols w:equalWidth="0" w:num="1">
            <w:col w:w="10219"/>
          </w:cols>
          <w:pgMar w:left="24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In thousands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impairments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exit costs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and other employee costs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b w:val="1"/>
          <w:bCs w:val="1"/>
          <w:color w:val="auto"/>
        </w:rPr>
        <w:t>Reserve</w:t>
      </w:r>
    </w:p>
    <w:p>
      <w:pPr>
        <w:spacing w:after="0" w:line="1" w:lineRule="exact"/>
        <w:rPr>
          <w:sz w:val="20"/>
          <w:szCs w:val="20"/>
          <w:color w:val="auto"/>
        </w:rPr>
      </w:pPr>
    </w:p>
    <w:p>
      <w:pPr>
        <w:ind w:left="1780"/>
        <w:spacing w:after="0"/>
        <w:tabs>
          <w:tab w:leader="none" w:pos="3360" w:val="left"/>
          <w:tab w:leader="none" w:pos="4780" w:val="left"/>
        </w:tabs>
        <w:rPr>
          <w:sz w:val="20"/>
          <w:szCs w:val="20"/>
          <w:color w:val="auto"/>
        </w:rPr>
      </w:pPr>
      <w:r>
        <w:rPr>
          <w:rFonts w:ascii="Courier New" w:cs="Courier New" w:eastAsia="Courier New" w:hAnsi="Courier New"/>
          <w:sz w:val="15"/>
          <w:szCs w:val="15"/>
          <w:b w:val="1"/>
          <w:bCs w:val="1"/>
          <w:color w:val="auto"/>
        </w:rPr>
        <w:t>Non-Cash</w:t>
      </w:r>
      <w:r>
        <w:rPr>
          <w:sz w:val="20"/>
          <w:szCs w:val="20"/>
          <w:color w:val="auto"/>
        </w:rPr>
        <w:tab/>
      </w:r>
      <w:r>
        <w:rPr>
          <w:rFonts w:ascii="Courier New" w:cs="Courier New" w:eastAsia="Courier New" w:hAnsi="Courier New"/>
          <w:sz w:val="15"/>
          <w:szCs w:val="15"/>
          <w:b w:val="1"/>
          <w:bCs w:val="1"/>
          <w:color w:val="auto"/>
        </w:rPr>
        <w:t>Paid in</w:t>
      </w:r>
      <w:r>
        <w:rPr>
          <w:sz w:val="20"/>
          <w:szCs w:val="20"/>
          <w:color w:val="auto"/>
        </w:rPr>
        <w:tab/>
      </w:r>
      <w:r>
        <w:rPr>
          <w:rFonts w:ascii="Courier New" w:cs="Courier New" w:eastAsia="Courier New" w:hAnsi="Courier New"/>
          <w:sz w:val="14"/>
          <w:szCs w:val="14"/>
          <w:b w:val="1"/>
          <w:bCs w:val="1"/>
          <w:color w:val="auto"/>
        </w:rPr>
        <w:t>Balance</w:t>
      </w:r>
    </w:p>
    <w:p>
      <w:pPr>
        <w:spacing w:after="0" w:line="1" w:lineRule="exact"/>
        <w:rPr>
          <w:sz w:val="20"/>
          <w:szCs w:val="20"/>
          <w:color w:val="auto"/>
        </w:rPr>
      </w:pPr>
    </w:p>
    <w:p>
      <w:pPr>
        <w:ind w:left="280"/>
        <w:spacing w:after="0"/>
        <w:tabs>
          <w:tab w:leader="none" w:pos="1580" w:val="left"/>
          <w:tab w:leader="none" w:pos="3440" w:val="left"/>
          <w:tab w:leader="none" w:pos="4700" w:val="left"/>
        </w:tabs>
        <w:rPr>
          <w:sz w:val="20"/>
          <w:szCs w:val="20"/>
          <w:color w:val="auto"/>
        </w:rPr>
      </w:pPr>
      <w:r>
        <w:rPr>
          <w:rFonts w:ascii="Courier New" w:cs="Courier New" w:eastAsia="Courier New" w:hAnsi="Courier New"/>
          <w:sz w:val="15"/>
          <w:szCs w:val="15"/>
          <w:b w:val="1"/>
          <w:bCs w:val="1"/>
          <w:color w:val="auto"/>
        </w:rPr>
        <w:t>Charges</w:t>
      </w:r>
      <w:r>
        <w:rPr>
          <w:sz w:val="20"/>
          <w:szCs w:val="20"/>
          <w:color w:val="auto"/>
        </w:rPr>
        <w:tab/>
      </w:r>
      <w:r>
        <w:rPr>
          <w:rFonts w:ascii="Courier New" w:cs="Courier New" w:eastAsia="Courier New" w:hAnsi="Courier New"/>
          <w:sz w:val="15"/>
          <w:szCs w:val="15"/>
          <w:b w:val="1"/>
          <w:bCs w:val="1"/>
          <w:color w:val="auto"/>
        </w:rPr>
        <w:t>Write-downs</w:t>
      </w:r>
      <w:r>
        <w:rPr>
          <w:sz w:val="20"/>
          <w:szCs w:val="20"/>
          <w:color w:val="auto"/>
        </w:rPr>
        <w:tab/>
      </w:r>
      <w:r>
        <w:rPr>
          <w:rFonts w:ascii="Courier New" w:cs="Courier New" w:eastAsia="Courier New" w:hAnsi="Courier New"/>
          <w:sz w:val="15"/>
          <w:szCs w:val="15"/>
          <w:b w:val="1"/>
          <w:bCs w:val="1"/>
          <w:color w:val="auto"/>
        </w:rPr>
        <w:t>2003</w:t>
      </w:r>
      <w:r>
        <w:rPr>
          <w:sz w:val="20"/>
          <w:szCs w:val="20"/>
          <w:color w:val="auto"/>
        </w:rPr>
        <w:tab/>
      </w:r>
      <w:r>
        <w:rPr>
          <w:rFonts w:ascii="Courier New" w:cs="Courier New" w:eastAsia="Courier New" w:hAnsi="Courier New"/>
          <w:sz w:val="14"/>
          <w:szCs w:val="14"/>
          <w:b w:val="1"/>
          <w:bCs w:val="1"/>
          <w:color w:val="auto"/>
        </w:rPr>
        <w:t>At 9/30/03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 ----------------- ---------------- ---------------</w:t>
      </w:r>
    </w:p>
    <w:p>
      <w:pPr>
        <w:spacing w:after="0" w:line="9" w:lineRule="exact"/>
        <w:rPr>
          <w:sz w:val="20"/>
          <w:szCs w:val="20"/>
          <w:color w:val="auto"/>
        </w:rPr>
      </w:pPr>
    </w:p>
    <w:p>
      <w:pPr>
        <w:ind w:left="360"/>
        <w:spacing w:after="0"/>
        <w:tabs>
          <w:tab w:leader="none" w:pos="1860" w:val="left"/>
          <w:tab w:leader="none" w:pos="3440" w:val="left"/>
          <w:tab w:leader="none" w:pos="4960" w:val="left"/>
        </w:tabs>
        <w:rPr>
          <w:sz w:val="20"/>
          <w:szCs w:val="20"/>
          <w:color w:val="auto"/>
        </w:rPr>
      </w:pPr>
      <w:r>
        <w:rPr>
          <w:rFonts w:ascii="Courier New" w:cs="Courier New" w:eastAsia="Courier New" w:hAnsi="Courier New"/>
          <w:sz w:val="15"/>
          <w:szCs w:val="15"/>
          <w:color w:val="auto"/>
        </w:rPr>
        <w:t>$2,368</w:t>
      </w:r>
      <w:r>
        <w:rPr>
          <w:sz w:val="20"/>
          <w:szCs w:val="20"/>
          <w:color w:val="auto"/>
        </w:rPr>
        <w:tab/>
      </w:r>
      <w:r>
        <w:rPr>
          <w:rFonts w:ascii="Courier New" w:cs="Courier New" w:eastAsia="Courier New" w:hAnsi="Courier New"/>
          <w:sz w:val="15"/>
          <w:szCs w:val="15"/>
          <w:color w:val="auto"/>
        </w:rPr>
        <w:t>$2,368</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w:t>
      </w:r>
    </w:p>
    <w:p>
      <w:pPr>
        <w:spacing w:after="0" w:line="1" w:lineRule="exact"/>
        <w:rPr>
          <w:sz w:val="20"/>
          <w:szCs w:val="20"/>
          <w:color w:val="auto"/>
        </w:rPr>
      </w:pPr>
    </w:p>
    <w:p>
      <w:pPr>
        <w:ind w:left="720"/>
        <w:spacing w:after="0"/>
        <w:tabs>
          <w:tab w:leader="none" w:pos="2200" w:val="left"/>
          <w:tab w:leader="none" w:pos="3620" w:val="left"/>
          <w:tab w:leader="none" w:pos="5140" w:val="left"/>
        </w:tabs>
        <w:rPr>
          <w:sz w:val="20"/>
          <w:szCs w:val="20"/>
          <w:color w:val="auto"/>
        </w:rPr>
      </w:pPr>
      <w:r>
        <w:rPr>
          <w:rFonts w:ascii="Courier New" w:cs="Courier New" w:eastAsia="Courier New" w:hAnsi="Courier New"/>
          <w:sz w:val="15"/>
          <w:szCs w:val="15"/>
          <w:color w:val="auto"/>
        </w:rPr>
        <w:t>40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620"/>
        <w:spacing w:after="0"/>
        <w:tabs>
          <w:tab w:leader="none" w:pos="2200" w:val="left"/>
          <w:tab w:leader="none" w:pos="3620" w:val="left"/>
          <w:tab w:leader="none" w:pos="5040" w:val="left"/>
        </w:tabs>
        <w:rPr>
          <w:sz w:val="20"/>
          <w:szCs w:val="20"/>
          <w:color w:val="auto"/>
        </w:rPr>
      </w:pPr>
      <w:r>
        <w:rPr>
          <w:rFonts w:ascii="Courier New" w:cs="Courier New" w:eastAsia="Courier New" w:hAnsi="Courier New"/>
          <w:sz w:val="15"/>
          <w:szCs w:val="15"/>
          <w:color w:val="auto"/>
        </w:rPr>
        <w:t>230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185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360"/>
        <w:spacing w:after="0"/>
        <w:tabs>
          <w:tab w:leader="none" w:pos="1860" w:val="left"/>
          <w:tab w:leader="none" w:pos="3440" w:val="left"/>
          <w:tab w:leader="none" w:pos="4860" w:val="left"/>
        </w:tabs>
        <w:rPr>
          <w:sz w:val="20"/>
          <w:szCs w:val="20"/>
          <w:color w:val="auto"/>
        </w:rPr>
      </w:pPr>
      <w:r>
        <w:rPr>
          <w:rFonts w:ascii="Courier New" w:cs="Courier New" w:eastAsia="Courier New" w:hAnsi="Courier New"/>
          <w:sz w:val="15"/>
          <w:szCs w:val="15"/>
          <w:color w:val="auto"/>
        </w:rPr>
        <w:t>$2,598</w:t>
      </w:r>
      <w:r>
        <w:rPr>
          <w:sz w:val="20"/>
          <w:szCs w:val="20"/>
          <w:color w:val="auto"/>
        </w:rPr>
        <w:tab/>
      </w:r>
      <w:r>
        <w:rPr>
          <w:rFonts w:ascii="Courier New" w:cs="Courier New" w:eastAsia="Courier New" w:hAnsi="Courier New"/>
          <w:sz w:val="15"/>
          <w:szCs w:val="15"/>
          <w:color w:val="auto"/>
        </w:rPr>
        <w:t>$2,368</w:t>
      </w:r>
      <w:r>
        <w:rPr>
          <w:sz w:val="20"/>
          <w:szCs w:val="20"/>
          <w:color w:val="auto"/>
        </w:rPr>
        <w:tab/>
      </w:r>
      <w:r>
        <w:rPr>
          <w:rFonts w:ascii="Courier New" w:cs="Courier New" w:eastAsia="Courier New" w:hAnsi="Courier New"/>
          <w:sz w:val="15"/>
          <w:szCs w:val="15"/>
          <w:color w:val="auto"/>
        </w:rPr>
        <w:t>$ 45</w:t>
      </w:r>
      <w:r>
        <w:rPr>
          <w:sz w:val="20"/>
          <w:szCs w:val="20"/>
          <w:color w:val="auto"/>
        </w:rPr>
        <w:tab/>
      </w:r>
      <w:r>
        <w:rPr>
          <w:rFonts w:ascii="Courier New" w:cs="Courier New" w:eastAsia="Courier New" w:hAnsi="Courier New"/>
          <w:sz w:val="15"/>
          <w:szCs w:val="15"/>
          <w:color w:val="auto"/>
        </w:rPr>
        <w:t>$ 225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80" w:lineRule="exact"/>
        <w:rPr>
          <w:sz w:val="20"/>
          <w:szCs w:val="20"/>
          <w:color w:val="auto"/>
        </w:rPr>
      </w:pPr>
    </w:p>
    <w:p>
      <w:pPr>
        <w:sectPr>
          <w:pgSz w:w="11900" w:h="16869" w:orient="portrait"/>
          <w:cols w:equalWidth="0" w:num="2">
            <w:col w:w="3080" w:space="720"/>
            <w:col w:w="6419"/>
          </w:cols>
          <w:pgMar w:left="240" w:top="141" w:right="1440" w:bottom="0" w:gutter="0" w:footer="0" w:header="0"/>
          <w:type w:val="continuous"/>
        </w:sectPr>
      </w:pPr>
    </w:p>
    <w:p>
      <w:pPr>
        <w:spacing w:after="0"/>
        <w:rPr>
          <w:sz w:val="20"/>
          <w:szCs w:val="20"/>
          <w:color w:val="auto"/>
        </w:rPr>
      </w:pPr>
      <w:r>
        <w:rPr>
          <w:rFonts w:ascii="Courier New" w:cs="Courier New" w:eastAsia="Courier New" w:hAnsi="Courier New"/>
          <w:sz w:val="15"/>
          <w:szCs w:val="15"/>
          <w:b w:val="1"/>
          <w:bCs w:val="1"/>
          <w:u w:val="single" w:color="auto"/>
          <w:color w:val="auto"/>
        </w:rPr>
        <w:t>Walterboro, South Carolina Plant Closing</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September of 2001, we announced that we would close our Walterboro, South Carolina ball manufacturing facility as part of our ongoing strategy to locate manufacturing capacity in closer proximity to customers. The closure was substantially completed by December 31, 2001. Current plans are to sell the land and building. The plant closing resulted in the termination of approximately 80 full time hourly and salaried employees in 2001.</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Prior to December 31, 2001, production capacity and certain machinery and equipment were transferred from the Walterboro facility to our two domestic ball facilities in Erwin, Tennessee and Mountain City, Tennessee. We recorded restructuring costs of $62,000 for additional severance payments during the nine months ended September 30, 2002. There were no restructuring costs recorded for the nine months ended September 30, 2003.</w:t>
      </w:r>
    </w:p>
    <w:p>
      <w:pPr>
        <w:sectPr>
          <w:pgSz w:w="11900" w:h="16869" w:orient="portrait"/>
          <w:cols w:equalWidth="0" w:num="1">
            <w:col w:w="10219"/>
          </w:cols>
          <w:pgMar w:left="240" w:top="141" w:right="1440" w:bottom="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5"/>
          <w:szCs w:val="15"/>
          <w:b w:val="1"/>
          <w:bCs w:val="1"/>
          <w:u w:val="single" w:color="auto"/>
          <w:color w:val="auto"/>
        </w:rPr>
        <w:t>Termination of Employees in Italy</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Our Euroball subsidiary incurred restructuring charges of $16,000 for the nine months ended September 30, 2002 for additional severance payments as a result of the termination of 15 hourly employees and 3 salaried employees at its production facility in Italy. Additionally, approximately $69,000 of the severance payments recorded during 2001 and 2002 were paid during the nine months ended September 30, 2002 and there are no remaining accrued restructuring costs included in other current liabilities as of September 30, 2002 and September 30, 2003 related to Euroball.</w:t>
      </w:r>
    </w:p>
    <w:p>
      <w:pPr>
        <w:spacing w:after="0" w:line="17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b w:val="1"/>
          <w:bCs w:val="1"/>
          <w:color w:val="auto"/>
        </w:rPr>
        <w:t>Note 8.</w:t>
      </w:r>
      <w:r>
        <w:rPr>
          <w:sz w:val="20"/>
          <w:szCs w:val="20"/>
          <w:color w:val="auto"/>
        </w:rPr>
        <w:tab/>
      </w:r>
      <w:r>
        <w:rPr>
          <w:rFonts w:ascii="Courier New" w:cs="Courier New" w:eastAsia="Courier New" w:hAnsi="Courier New"/>
          <w:sz w:val="14"/>
          <w:szCs w:val="14"/>
          <w:b w:val="1"/>
          <w:bCs w:val="1"/>
          <w:color w:val="auto"/>
        </w:rPr>
        <w:t>New Accounting Pronouncements</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 June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we had unamortized goodwill of approximately $36.6 million, which is subject to the provisions of Statement No. 142.</w:t>
      </w:r>
    </w:p>
    <w:p>
      <w:pPr>
        <w:spacing w:after="0" w:line="165"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As a result of adopting these new standards, our accounting policies for goodwill and other intangibles changed on January 1, 2002, as described below:</w:t>
      </w:r>
    </w:p>
    <w:p>
      <w:pPr>
        <w:spacing w:after="0" w:line="15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Goodwill: We recognized the excess of the purchase price of an acquired entity over the fair value of the net identifiable assets as goodwill. Goodwill is tested for impairment on an annual basis and between annual tests in certain circumstances. Impairment losses are recognized whenever the implied fair value of goodwill is less than its carrying value. Prior to January 1, 2002, goodwill was amortized over a twenty-year period using the straight-line method. Beginning January 1, 2002, goodwill is no longer amortized.</w:t>
      </w:r>
    </w:p>
    <w:p>
      <w:pPr>
        <w:spacing w:after="0" w:line="16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Other Acquired Intangibles: We recognize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299085</wp:posOffset>
            </wp:positionV>
            <wp:extent cx="729361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over its estimated useful life unless that life is determined to be indefinite. We will review the lives of intangible assets each reporting period and, if necessary, recognize impairment losses if the carrying amount of an intangible asset subject to amortization is not recoverable from expected future cash flows and its carrying amount exceeds its fair value.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completed the transitional goodwill impairment reviews required by the new standards during the first six months of 2002 and the annually required goodwill impairment review during the fourth quarter of 2002. In performing the impairment reviews, we estimated the fair values of the reporting units using a method that incorporates valuations derived from earnings before interest expense, taxes, depreciation and amortization ("EBITDA") multiples based upon market multiples and recent capital market transactions and also incorporates valuations determined by each segment's discounted future cash flows. As of January 1, 2002, the transition date and as of October 1, 2002, the most recent annual review date, there was no impairment to goodwill as the fair values exceeded the carrying values of the reporting units.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changes in the carrying amount of goodwill for the nine month period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2003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920" w:type="dxa"/>
            <w:vAlign w:val="bottom"/>
          </w:tcPr>
          <w:p>
            <w:pPr>
              <w:jc w:val="right"/>
              <w:ind w:right="326"/>
              <w:spacing w:after="0"/>
              <w:rPr>
                <w:sz w:val="20"/>
                <w:szCs w:val="20"/>
                <w:color w:val="auto"/>
              </w:rPr>
            </w:pPr>
            <w:r>
              <w:rPr>
                <w:rFonts w:ascii="Courier New" w:cs="Courier New" w:eastAsia="Courier New" w:hAnsi="Courier New"/>
                <w:sz w:val="15"/>
                <w:szCs w:val="15"/>
                <w:b w:val="1"/>
                <w:bCs w:val="1"/>
                <w:color w:val="auto"/>
              </w:rPr>
              <w:t>Plastic and</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920" w:type="dxa"/>
            <w:vAlign w:val="bottom"/>
          </w:tcPr>
          <w:p>
            <w:pPr>
              <w:ind w:left="800"/>
              <w:spacing w:after="0"/>
              <w:rPr>
                <w:sz w:val="20"/>
                <w:szCs w:val="20"/>
                <w:color w:val="auto"/>
              </w:rPr>
            </w:pPr>
            <w:r>
              <w:rPr>
                <w:rFonts w:ascii="Courier New" w:cs="Courier New" w:eastAsia="Courier New" w:hAnsi="Courier New"/>
                <w:sz w:val="15"/>
                <w:szCs w:val="15"/>
                <w:b w:val="1"/>
                <w:bCs w:val="1"/>
                <w:color w:val="auto"/>
              </w:rPr>
              <w:t>Rubber</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920" w:type="dxa"/>
            <w:vAlign w:val="bottom"/>
          </w:tcPr>
          <w:p>
            <w:pPr>
              <w:jc w:val="right"/>
              <w:ind w:right="326"/>
              <w:spacing w:after="0"/>
              <w:rPr>
                <w:sz w:val="20"/>
                <w:szCs w:val="20"/>
                <w:color w:val="auto"/>
              </w:rPr>
            </w:pPr>
            <w:r>
              <w:rPr>
                <w:rFonts w:ascii="Courier New" w:cs="Courier New" w:eastAsia="Courier New" w:hAnsi="Courier New"/>
                <w:sz w:val="15"/>
                <w:szCs w:val="15"/>
                <w:b w:val="1"/>
                <w:bCs w:val="1"/>
                <w:color w:val="auto"/>
              </w:rPr>
              <w:t>Components</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b w:val="1"/>
                <w:bCs w:val="1"/>
                <w:color w:val="auto"/>
              </w:rPr>
              <w:t>NN Europe</w:t>
            </w:r>
          </w:p>
        </w:tc>
        <w:tc>
          <w:tcPr>
            <w:tcW w:w="1360" w:type="dxa"/>
            <w:vAlign w:val="bottom"/>
          </w:tcPr>
          <w:p>
            <w:pPr>
              <w:spacing w:after="0"/>
              <w:rPr>
                <w:sz w:val="14"/>
                <w:szCs w:val="14"/>
                <w:color w:val="auto"/>
              </w:rPr>
            </w:pP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b w:val="1"/>
                <w:bCs w:val="1"/>
                <w:color w:val="auto"/>
              </w:rPr>
              <w:t>In thousands</w:t>
            </w:r>
          </w:p>
        </w:tc>
        <w:tc>
          <w:tcPr>
            <w:tcW w:w="1920" w:type="dxa"/>
            <w:vAlign w:val="bottom"/>
          </w:tcPr>
          <w:p>
            <w:pPr>
              <w:ind w:left="800"/>
              <w:spacing w:after="0"/>
              <w:rPr>
                <w:sz w:val="20"/>
                <w:szCs w:val="20"/>
                <w:color w:val="auto"/>
              </w:rPr>
            </w:pPr>
            <w:r>
              <w:rPr>
                <w:rFonts w:ascii="Courier New" w:cs="Courier New" w:eastAsia="Courier New" w:hAnsi="Courier New"/>
                <w:sz w:val="15"/>
                <w:szCs w:val="15"/>
                <w:b w:val="1"/>
                <w:bCs w:val="1"/>
                <w:color w:val="auto"/>
              </w:rPr>
              <w:t>Segment</w:t>
            </w: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b w:val="1"/>
                <w:bCs w:val="1"/>
                <w:color w:val="auto"/>
              </w:rPr>
              <w:t>Segment</w:t>
            </w: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b w:val="1"/>
                <w:bCs w:val="1"/>
                <w:color w:val="auto"/>
              </w:rPr>
              <w:t>Total</w:t>
            </w:r>
          </w:p>
        </w:tc>
      </w:tr>
      <w:tr>
        <w:trPr>
          <w:trHeight w:val="171"/>
        </w:trPr>
        <w:tc>
          <w:tcPr>
            <w:tcW w:w="3000" w:type="dxa"/>
            <w:vAlign w:val="bottom"/>
          </w:tcPr>
          <w:p>
            <w:pPr>
              <w:spacing w:after="0"/>
              <w:rPr>
                <w:sz w:val="14"/>
                <w:szCs w:val="14"/>
                <w:color w:val="auto"/>
              </w:rPr>
            </w:pPr>
          </w:p>
        </w:tc>
        <w:tc>
          <w:tcPr>
            <w:tcW w:w="4880" w:type="dxa"/>
            <w:vAlign w:val="bottom"/>
            <w:gridSpan w:val="3"/>
          </w:tcPr>
          <w:p>
            <w:pPr>
              <w:jc w:val="right"/>
              <w:spacing w:after="0"/>
              <w:rPr>
                <w:sz w:val="20"/>
                <w:szCs w:val="20"/>
                <w:color w:val="auto"/>
              </w:rPr>
            </w:pPr>
            <w:r>
              <w:rPr>
                <w:rFonts w:ascii="Courier New" w:cs="Courier New" w:eastAsia="Courier New" w:hAnsi="Courier New"/>
                <w:sz w:val="15"/>
                <w:szCs w:val="15"/>
                <w:b w:val="1"/>
                <w:bCs w:val="1"/>
                <w:color w:val="auto"/>
              </w:rPr>
              <w:t>------------------- --------------- -----------------</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Balance as of January 1, 2003</w:t>
            </w:r>
          </w:p>
        </w:tc>
        <w:tc>
          <w:tcPr>
            <w:tcW w:w="1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$ 26,712</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$ 12,662</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$ 39,374</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Goodwill acquired</w:t>
            </w:r>
          </w:p>
        </w:tc>
        <w:tc>
          <w:tcPr>
            <w:tcW w:w="1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14,000</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14,000</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Impairment losses</w:t>
            </w:r>
          </w:p>
        </w:tc>
        <w:tc>
          <w:tcPr>
            <w:tcW w:w="1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(1,285)</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(1,285)</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Currency impacts</w:t>
            </w:r>
          </w:p>
        </w:tc>
        <w:tc>
          <w:tcPr>
            <w:tcW w:w="1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972</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972</w:t>
            </w:r>
          </w:p>
        </w:tc>
      </w:tr>
      <w:tr>
        <w:trPr>
          <w:trHeight w:val="171"/>
        </w:trPr>
        <w:tc>
          <w:tcPr>
            <w:tcW w:w="3000" w:type="dxa"/>
            <w:vAlign w:val="bottom"/>
          </w:tcPr>
          <w:p>
            <w:pPr>
              <w:spacing w:after="0"/>
              <w:rPr>
                <w:sz w:val="14"/>
                <w:szCs w:val="14"/>
                <w:color w:val="auto"/>
              </w:rPr>
            </w:pPr>
          </w:p>
        </w:tc>
        <w:tc>
          <w:tcPr>
            <w:tcW w:w="4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Balance as of September 30, 2003</w:t>
            </w:r>
          </w:p>
        </w:tc>
        <w:tc>
          <w:tcPr>
            <w:tcW w:w="1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$ 25,427</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$ 27,634</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$ 53,061</w:t>
            </w:r>
          </w:p>
        </w:tc>
      </w:tr>
      <w:tr>
        <w:trPr>
          <w:trHeight w:val="171"/>
        </w:trPr>
        <w:tc>
          <w:tcPr>
            <w:tcW w:w="3000" w:type="dxa"/>
            <w:vAlign w:val="bottom"/>
          </w:tcPr>
          <w:p>
            <w:pPr>
              <w:spacing w:after="0"/>
              <w:rPr>
                <w:sz w:val="14"/>
                <w:szCs w:val="14"/>
                <w:color w:val="auto"/>
              </w:rPr>
            </w:pPr>
          </w:p>
        </w:tc>
        <w:tc>
          <w:tcPr>
            <w:tcW w:w="4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We adopted SFAS No. 143 on January 1, 2003 and this adoption did not have a material impact on the financial statements.</w:t>
      </w:r>
    </w:p>
    <w:p>
      <w:pPr>
        <w:sectPr>
          <w:pgSz w:w="11900" w:h="16838" w:orient="portrait"/>
          <w:cols w:equalWidth="0" w:num="1">
            <w:col w:w="10219"/>
          </w:cols>
          <w:pgMar w:left="240" w:top="309" w:right="1440" w:bottom="0" w:gutter="0" w:footer="0" w:header="0"/>
        </w:sectPr>
      </w:pPr>
    </w:p>
    <w:bookmarkStart w:id="9" w:name="page10"/>
    <w:bookmarkEnd w:id="9"/>
    <w:p>
      <w:pPr>
        <w:spacing w:after="0" w:line="3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 April 2002, the FASB issued SFAS No. 145, "Rescission of FASB Statements No. 4, 44, and 64, Amendment of FASB Statement No. 13, and Technical Corrections". SFAS No. 4 had required all gains and losses from extinguishment of debt to be aggregated and, if material, classified as an extraordinary item, net of related income tax effect. SFAS No. 145 rescinds SFAS No. 4 and the related required classifications gains and losses form extinguishment of debt as extraordinary items. Additionally, the SFAS No. 145 amends SFAS No. 13 to require that certain lease modifications that have economic effects similar to sale-leaseback transactions be accounted for in the same manner as sale-leaseback transactions. SFAS No. 145 is applicable for us at the beginning of fiscal year 2003, with the provisions related to SFAS No. 13 for transactions occurring after May 15, 2002. We adopted SFAS No. 145 effective January 1, 2003 and this adoption did not have a material impact on the financial statements.</w:t>
      </w:r>
    </w:p>
    <w:p>
      <w:pPr>
        <w:spacing w:after="0" w:line="16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July 2002, the FASB issued SFAS No. 146, "Accounting for Costs Associated with Exit or Disposal Activities". SFAS No. 146 requires costs associated with exit or disposal activities to be recognized when they are incurred rather than at the date of a commitment to an exit or disposal plan. SFAS No. 146 is to be applied prospectively to exit or disposal activities initiated after December 31, 2002. We adopted SFAS No. 146 on January 1, 2003 and this adoption did not have a material impact on the financial statements.</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December 2002, the FASB issued SFAS No. 148, "Accounting for Stock-Based Compensation - Transition and Disclosure - an amendment of FASB Statement No. 123". SFAS No. 148 provides alternative methods of transition for a voluntary change to the fair value based method of accounting for stock-based employee compensation. In addition, SFAS No. 148, which was effective for the year ending December 31, 2002, amends the disclosures in both annual and interim financial statements about the method of accounting for stock-based employee compensation and the effect of the method used on</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299085</wp:posOffset>
            </wp:positionV>
            <wp:extent cx="729361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reported results. We have adopted the provisions of SFAS 123, which encourages but does not require a fair value based method of accounting for stock compensation plans. We have elected to continue accounting for its stock compensation plan using the intrinsic value based method under Auditing Practices Board ("APB") Opinion No. 25 and, accordingly, have not recorded compensation expense for each of the three and nine month periods ended September 30, 2003 and September 30, 2002. Had compensation cost for our stock compensation plan been determined based on the fair value at the option grant dates, our net income and earnings per share would have been reduced to the proforma amounts indicated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100" w:type="dxa"/>
            <w:vAlign w:val="bottom"/>
            <w:gridSpan w:val="4"/>
          </w:tcPr>
          <w:p>
            <w:pPr>
              <w:ind w:left="840"/>
              <w:spacing w:after="0"/>
              <w:rPr>
                <w:sz w:val="20"/>
                <w:szCs w:val="20"/>
                <w:color w:val="auto"/>
              </w:rPr>
            </w:pPr>
            <w:r>
              <w:rPr>
                <w:rFonts w:ascii="Courier New" w:cs="Courier New" w:eastAsia="Courier New" w:hAnsi="Courier New"/>
                <w:sz w:val="15"/>
                <w:szCs w:val="15"/>
                <w:b w:val="1"/>
                <w:bCs w:val="1"/>
                <w:color w:val="auto"/>
              </w:rPr>
              <w:t>Three months ended</w:t>
            </w:r>
          </w:p>
        </w:tc>
        <w:tc>
          <w:tcPr>
            <w:tcW w:w="580" w:type="dxa"/>
            <w:vAlign w:val="bottom"/>
          </w:tcPr>
          <w:p>
            <w:pPr>
              <w:spacing w:after="0"/>
              <w:rPr>
                <w:sz w:val="14"/>
                <w:szCs w:val="14"/>
                <w:color w:val="auto"/>
              </w:rPr>
            </w:pPr>
          </w:p>
        </w:tc>
        <w:tc>
          <w:tcPr>
            <w:tcW w:w="1960" w:type="dxa"/>
            <w:vAlign w:val="bottom"/>
            <w:gridSpan w:val="3"/>
          </w:tcPr>
          <w:p>
            <w:pPr>
              <w:jc w:val="center"/>
              <w:ind w:right="366"/>
              <w:spacing w:after="0"/>
              <w:rPr>
                <w:sz w:val="20"/>
                <w:szCs w:val="20"/>
                <w:color w:val="auto"/>
              </w:rPr>
            </w:pPr>
            <w:r>
              <w:rPr>
                <w:rFonts w:ascii="Courier New" w:cs="Courier New" w:eastAsia="Courier New" w:hAnsi="Courier New"/>
                <w:sz w:val="15"/>
                <w:szCs w:val="15"/>
                <w:b w:val="1"/>
                <w:bCs w:val="1"/>
                <w:color w:val="auto"/>
                <w:w w:val="99"/>
              </w:rPr>
              <w:t>Nine months ended</w:t>
            </w:r>
          </w:p>
        </w:tc>
      </w:tr>
      <w:tr>
        <w:trPr>
          <w:trHeight w:val="171"/>
        </w:trPr>
        <w:tc>
          <w:tcPr>
            <w:tcW w:w="3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b w:val="1"/>
                <w:bCs w:val="1"/>
                <w:color w:val="auto"/>
              </w:rPr>
              <w:t>September 30,</w:t>
            </w: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tcPr>
          <w:p>
            <w:pPr>
              <w:jc w:val="center"/>
              <w:ind w:left="106"/>
              <w:spacing w:after="0"/>
              <w:rPr>
                <w:sz w:val="20"/>
                <w:szCs w:val="20"/>
                <w:color w:val="auto"/>
              </w:rPr>
            </w:pPr>
            <w:r>
              <w:rPr>
                <w:rFonts w:ascii="Courier New" w:cs="Courier New" w:eastAsia="Courier New" w:hAnsi="Courier New"/>
                <w:sz w:val="15"/>
                <w:szCs w:val="15"/>
                <w:b w:val="1"/>
                <w:bCs w:val="1"/>
                <w:color w:val="auto"/>
                <w:w w:val="99"/>
              </w:rPr>
              <w:t>September 30,</w:t>
            </w:r>
          </w:p>
        </w:tc>
        <w:tc>
          <w:tcPr>
            <w:tcW w:w="620" w:type="dxa"/>
            <w:vAlign w:val="bottom"/>
          </w:tcPr>
          <w:p>
            <w:pPr>
              <w:spacing w:after="0"/>
              <w:rPr>
                <w:sz w:val="14"/>
                <w:szCs w:val="14"/>
                <w:color w:val="auto"/>
              </w:rPr>
            </w:pP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b w:val="1"/>
                <w:bCs w:val="1"/>
                <w:color w:val="auto"/>
              </w:rPr>
              <w:t>In Thousands, Except per Share Data</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b w:val="1"/>
                <w:bCs w:val="1"/>
                <w:color w:val="auto"/>
              </w:rPr>
              <w:t>- -----------------------------------</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spacing w:after="0"/>
              <w:rPr>
                <w:sz w:val="14"/>
                <w:szCs w:val="14"/>
                <w:color w:val="auto"/>
              </w:rPr>
            </w:pPr>
          </w:p>
        </w:tc>
        <w:tc>
          <w:tcPr>
            <w:tcW w:w="1740" w:type="dxa"/>
            <w:vAlign w:val="bottom"/>
            <w:gridSpan w:val="2"/>
          </w:tcPr>
          <w:p>
            <w:pPr>
              <w:jc w:val="right"/>
              <w:ind w:right="566"/>
              <w:spacing w:after="0"/>
              <w:rPr>
                <w:sz w:val="20"/>
                <w:szCs w:val="20"/>
                <w:color w:val="auto"/>
              </w:rPr>
            </w:pPr>
            <w:r>
              <w:rPr>
                <w:rFonts w:ascii="Courier New" w:cs="Courier New" w:eastAsia="Courier New" w:hAnsi="Courier New"/>
                <w:sz w:val="15"/>
                <w:szCs w:val="15"/>
                <w:b w:val="1"/>
                <w:bCs w:val="1"/>
                <w:color w:val="auto"/>
              </w:rPr>
              <w:t>2003</w:t>
            </w:r>
          </w:p>
        </w:tc>
        <w:tc>
          <w:tcPr>
            <w:tcW w:w="1360" w:type="dxa"/>
            <w:vAlign w:val="bottom"/>
            <w:gridSpan w:val="2"/>
          </w:tcPr>
          <w:p>
            <w:pPr>
              <w:ind w:left="440"/>
              <w:spacing w:after="0"/>
              <w:rPr>
                <w:sz w:val="20"/>
                <w:szCs w:val="20"/>
                <w:color w:val="auto"/>
              </w:rPr>
            </w:pPr>
            <w:r>
              <w:rPr>
                <w:rFonts w:ascii="Courier New" w:cs="Courier New" w:eastAsia="Courier New" w:hAnsi="Courier New"/>
                <w:sz w:val="15"/>
                <w:szCs w:val="15"/>
                <w:b w:val="1"/>
                <w:bCs w:val="1"/>
                <w:color w:val="auto"/>
              </w:rPr>
              <w:t>2002</w:t>
            </w:r>
          </w:p>
        </w:tc>
        <w:tc>
          <w:tcPr>
            <w:tcW w:w="1380" w:type="dxa"/>
            <w:vAlign w:val="bottom"/>
            <w:gridSpan w:val="2"/>
          </w:tcPr>
          <w:p>
            <w:pPr>
              <w:ind w:left="500"/>
              <w:spacing w:after="0"/>
              <w:rPr>
                <w:sz w:val="20"/>
                <w:szCs w:val="20"/>
                <w:color w:val="auto"/>
              </w:rPr>
            </w:pPr>
            <w:r>
              <w:rPr>
                <w:rFonts w:ascii="Courier New" w:cs="Courier New" w:eastAsia="Courier New" w:hAnsi="Courier New"/>
                <w:sz w:val="15"/>
                <w:szCs w:val="15"/>
                <w:b w:val="1"/>
                <w:bCs w:val="1"/>
                <w:color w:val="auto"/>
              </w:rPr>
              <w:t>2003</w:t>
            </w:r>
          </w:p>
        </w:tc>
        <w:tc>
          <w:tcPr>
            <w:tcW w:w="1160" w:type="dxa"/>
            <w:vAlign w:val="bottom"/>
            <w:gridSpan w:val="2"/>
          </w:tcPr>
          <w:p>
            <w:pPr>
              <w:ind w:left="440"/>
              <w:spacing w:after="0"/>
              <w:rPr>
                <w:sz w:val="20"/>
                <w:szCs w:val="20"/>
                <w:color w:val="auto"/>
              </w:rPr>
            </w:pPr>
            <w:r>
              <w:rPr>
                <w:rFonts w:ascii="Courier New" w:cs="Courier New" w:eastAsia="Courier New" w:hAnsi="Courier New"/>
                <w:sz w:val="15"/>
                <w:szCs w:val="15"/>
                <w:b w:val="1"/>
                <w:bCs w:val="1"/>
                <w:color w:val="auto"/>
              </w:rPr>
              <w:t>2002</w:t>
            </w:r>
          </w:p>
        </w:tc>
      </w:tr>
      <w:tr>
        <w:trPr>
          <w:trHeight w:val="171"/>
        </w:trPr>
        <w:tc>
          <w:tcPr>
            <w:tcW w:w="3940" w:type="dxa"/>
            <w:vAlign w:val="bottom"/>
          </w:tcPr>
          <w:p>
            <w:pPr>
              <w:spacing w:after="0"/>
              <w:rPr>
                <w:sz w:val="14"/>
                <w:szCs w:val="14"/>
                <w:color w:val="auto"/>
              </w:rPr>
            </w:pPr>
          </w:p>
        </w:tc>
        <w:tc>
          <w:tcPr>
            <w:tcW w:w="1740" w:type="dxa"/>
            <w:vAlign w:val="bottom"/>
            <w:gridSpan w:val="2"/>
          </w:tcPr>
          <w:p>
            <w:pPr>
              <w:jc w:val="right"/>
              <w:ind w:right="106"/>
              <w:spacing w:after="0"/>
              <w:rPr>
                <w:sz w:val="20"/>
                <w:szCs w:val="20"/>
                <w:color w:val="auto"/>
              </w:rPr>
            </w:pPr>
            <w:r>
              <w:rPr>
                <w:rFonts w:ascii="Courier New" w:cs="Courier New" w:eastAsia="Courier New" w:hAnsi="Courier New"/>
                <w:sz w:val="15"/>
                <w:szCs w:val="15"/>
                <w:b w:val="1"/>
                <w:bCs w:val="1"/>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b w:val="1"/>
                <w:bCs w:val="1"/>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b w:val="1"/>
                <w:bCs w:val="1"/>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 - as reported</w:t>
            </w:r>
          </w:p>
        </w:tc>
        <w:tc>
          <w:tcPr>
            <w:tcW w:w="17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$ 3,164</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$ 2,119</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$ 7,504</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$ 6,375</w:t>
            </w: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Stock based compensation costs</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(income), net of income tax,</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included in net income as reported</w:t>
            </w:r>
          </w:p>
        </w:tc>
        <w:tc>
          <w:tcPr>
            <w:tcW w:w="98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w:t>
            </w:r>
          </w:p>
        </w:tc>
        <w:tc>
          <w:tcPr>
            <w:tcW w:w="52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(219)</w:t>
            </w:r>
          </w:p>
        </w:tc>
        <w:tc>
          <w:tcPr>
            <w:tcW w:w="5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195</w:t>
            </w:r>
          </w:p>
        </w:tc>
        <w:tc>
          <w:tcPr>
            <w:tcW w:w="5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w:t>
            </w: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Stock based compensation costs,</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net of income tax, that would have</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been included in net income if the</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fair value method had been applied</w:t>
            </w:r>
          </w:p>
        </w:tc>
        <w:tc>
          <w:tcPr>
            <w:tcW w:w="98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424</w:t>
            </w:r>
          </w:p>
        </w:tc>
        <w:tc>
          <w:tcPr>
            <w:tcW w:w="52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278</w:t>
            </w:r>
          </w:p>
        </w:tc>
        <w:tc>
          <w:tcPr>
            <w:tcW w:w="5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494</w:t>
            </w:r>
          </w:p>
        </w:tc>
        <w:tc>
          <w:tcPr>
            <w:tcW w:w="5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516</w:t>
            </w:r>
          </w:p>
        </w:tc>
      </w:tr>
      <w:tr>
        <w:trPr>
          <w:trHeight w:val="171"/>
        </w:trPr>
        <w:tc>
          <w:tcPr>
            <w:tcW w:w="3940" w:type="dxa"/>
            <w:vAlign w:val="bottom"/>
          </w:tcPr>
          <w:p>
            <w:pPr>
              <w:spacing w:after="0"/>
              <w:rPr>
                <w:sz w:val="14"/>
                <w:szCs w:val="14"/>
                <w:color w:val="auto"/>
              </w:rPr>
            </w:pPr>
          </w:p>
        </w:tc>
        <w:tc>
          <w:tcPr>
            <w:tcW w:w="17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 - proforma</w:t>
            </w:r>
          </w:p>
        </w:tc>
        <w:tc>
          <w:tcPr>
            <w:tcW w:w="17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$ 2,735</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$ 1,622</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$ 7,205</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$ 5,790</w:t>
            </w:r>
          </w:p>
        </w:tc>
      </w:tr>
      <w:tr>
        <w:trPr>
          <w:trHeight w:val="171"/>
        </w:trPr>
        <w:tc>
          <w:tcPr>
            <w:tcW w:w="3940" w:type="dxa"/>
            <w:vAlign w:val="bottom"/>
          </w:tcPr>
          <w:p>
            <w:pPr>
              <w:spacing w:after="0"/>
              <w:rPr>
                <w:sz w:val="14"/>
                <w:szCs w:val="14"/>
                <w:color w:val="auto"/>
              </w:rPr>
            </w:pPr>
          </w:p>
        </w:tc>
        <w:tc>
          <w:tcPr>
            <w:tcW w:w="17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Basic earnings per share - as reported</w:t>
            </w:r>
          </w:p>
        </w:tc>
        <w:tc>
          <w:tcPr>
            <w:tcW w:w="9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0.19</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0.14</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0.48</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0.42</w:t>
            </w: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Stock based compensation costs</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(income), net of income tax,</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included in net income as reported</w:t>
            </w:r>
          </w:p>
        </w:tc>
        <w:tc>
          <w:tcPr>
            <w:tcW w:w="98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(0.01)</w:t>
            </w:r>
          </w:p>
        </w:tc>
        <w:tc>
          <w:tcPr>
            <w:tcW w:w="5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0.01</w:t>
            </w:r>
          </w:p>
        </w:tc>
        <w:tc>
          <w:tcPr>
            <w:tcW w:w="5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(0.01)</w:t>
            </w: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Stock based compensation costs,</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net of income tax, that would have</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been included in net income if the</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fair value method had been applied</w:t>
            </w:r>
          </w:p>
        </w:tc>
        <w:tc>
          <w:tcPr>
            <w:tcW w:w="98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0.03</w:t>
            </w:r>
          </w:p>
        </w:tc>
        <w:tc>
          <w:tcPr>
            <w:tcW w:w="52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0.02</w:t>
            </w:r>
          </w:p>
        </w:tc>
        <w:tc>
          <w:tcPr>
            <w:tcW w:w="5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0.03</w:t>
            </w:r>
          </w:p>
        </w:tc>
        <w:tc>
          <w:tcPr>
            <w:tcW w:w="5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0.03</w:t>
            </w:r>
          </w:p>
        </w:tc>
      </w:tr>
      <w:tr>
        <w:trPr>
          <w:trHeight w:val="171"/>
        </w:trPr>
        <w:tc>
          <w:tcPr>
            <w:tcW w:w="3940" w:type="dxa"/>
            <w:vAlign w:val="bottom"/>
          </w:tcPr>
          <w:p>
            <w:pPr>
              <w:spacing w:after="0"/>
              <w:rPr>
                <w:sz w:val="14"/>
                <w:szCs w:val="14"/>
                <w:color w:val="auto"/>
              </w:rPr>
            </w:pPr>
          </w:p>
        </w:tc>
        <w:tc>
          <w:tcPr>
            <w:tcW w:w="17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Basic earnings per share - proforma</w:t>
            </w:r>
          </w:p>
        </w:tc>
        <w:tc>
          <w:tcPr>
            <w:tcW w:w="9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0.16</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0.11</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0.46</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0.38</w:t>
            </w:r>
          </w:p>
        </w:tc>
      </w:tr>
      <w:tr>
        <w:trPr>
          <w:trHeight w:val="171"/>
        </w:trPr>
        <w:tc>
          <w:tcPr>
            <w:tcW w:w="3940" w:type="dxa"/>
            <w:vAlign w:val="bottom"/>
          </w:tcPr>
          <w:p>
            <w:pPr>
              <w:spacing w:after="0"/>
              <w:rPr>
                <w:sz w:val="14"/>
                <w:szCs w:val="14"/>
                <w:color w:val="auto"/>
              </w:rPr>
            </w:pPr>
          </w:p>
        </w:tc>
        <w:tc>
          <w:tcPr>
            <w:tcW w:w="17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Earnings per share-assuming dilution -</w:t>
            </w:r>
          </w:p>
        </w:tc>
        <w:tc>
          <w:tcPr>
            <w:tcW w:w="9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0.18</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0.14</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0.46</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0.40</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Stock based compensation costs</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(income), net of income tax,</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included in net income as reported</w:t>
            </w:r>
          </w:p>
        </w:tc>
        <w:tc>
          <w:tcPr>
            <w:tcW w:w="98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(0.01)</w:t>
            </w:r>
          </w:p>
        </w:tc>
        <w:tc>
          <w:tcPr>
            <w:tcW w:w="5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0.01</w:t>
            </w:r>
          </w:p>
        </w:tc>
        <w:tc>
          <w:tcPr>
            <w:tcW w:w="5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Stock based compensation costs,</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net of income tax, that would have</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been included in net income if the</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fair value method had been applied</w:t>
            </w:r>
          </w:p>
        </w:tc>
        <w:tc>
          <w:tcPr>
            <w:tcW w:w="98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0.02</w:t>
            </w:r>
          </w:p>
        </w:tc>
        <w:tc>
          <w:tcPr>
            <w:tcW w:w="52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0.02</w:t>
            </w:r>
          </w:p>
        </w:tc>
        <w:tc>
          <w:tcPr>
            <w:tcW w:w="5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0.03</w:t>
            </w:r>
          </w:p>
        </w:tc>
        <w:tc>
          <w:tcPr>
            <w:tcW w:w="5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0.03</w:t>
            </w:r>
          </w:p>
        </w:tc>
      </w:tr>
      <w:tr>
        <w:trPr>
          <w:trHeight w:val="171"/>
        </w:trPr>
        <w:tc>
          <w:tcPr>
            <w:tcW w:w="3940" w:type="dxa"/>
            <w:vAlign w:val="bottom"/>
          </w:tcPr>
          <w:p>
            <w:pPr>
              <w:spacing w:after="0"/>
              <w:rPr>
                <w:sz w:val="14"/>
                <w:szCs w:val="14"/>
                <w:color w:val="auto"/>
              </w:rPr>
            </w:pPr>
          </w:p>
        </w:tc>
        <w:tc>
          <w:tcPr>
            <w:tcW w:w="17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Earnings per share - assuming dilution-</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proforma</w:t>
            </w:r>
          </w:p>
        </w:tc>
        <w:tc>
          <w:tcPr>
            <w:tcW w:w="9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0.16</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0.11</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0.44</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0.37</w:t>
            </w:r>
          </w:p>
        </w:tc>
      </w:tr>
      <w:tr>
        <w:trPr>
          <w:trHeight w:val="171"/>
        </w:trPr>
        <w:tc>
          <w:tcPr>
            <w:tcW w:w="3940" w:type="dxa"/>
            <w:vAlign w:val="bottom"/>
          </w:tcPr>
          <w:p>
            <w:pPr>
              <w:spacing w:after="0"/>
              <w:rPr>
                <w:sz w:val="14"/>
                <w:szCs w:val="14"/>
                <w:color w:val="auto"/>
              </w:rPr>
            </w:pPr>
          </w:p>
        </w:tc>
        <w:tc>
          <w:tcPr>
            <w:tcW w:w="17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The fair value of each option grant was estimated based on actual information available through September 30, 2003 and 2002 using the Black Scholes option-pricing model with the following assumptions:</w:t>
      </w:r>
    </w:p>
    <w:p>
      <w:pPr>
        <w:sectPr>
          <w:pgSz w:w="11900" w:h="16869" w:orient="portrait"/>
          <w:cols w:equalWidth="0" w:num="1">
            <w:col w:w="10219"/>
          </w:cols>
          <w:pgMar w:left="240" w:top="141" w:right="1440" w:bottom="0" w:gutter="0" w:footer="0" w:header="0"/>
        </w:sectPr>
      </w:pPr>
    </w:p>
    <w:bookmarkStart w:id="10" w:name="page11"/>
    <w:bookmarkEnd w:id="10"/>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6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Vesting period</w:t>
            </w:r>
          </w:p>
        </w:tc>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Risk free interest rate</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3.28%</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3.28%</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at September</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30,2003 and 2002, respectively</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3.66%</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3.46%</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at September</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30, 2003 and 2002, respectively</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5720" w:type="dxa"/>
            <w:vAlign w:val="bottom"/>
            <w:gridSpan w:val="5"/>
          </w:tcPr>
          <w:p>
            <w:pPr>
              <w:ind w:left="220"/>
              <w:spacing w:after="0"/>
              <w:rPr>
                <w:sz w:val="20"/>
                <w:szCs w:val="20"/>
                <w:color w:val="auto"/>
              </w:rPr>
            </w:pPr>
            <w:r>
              <w:rPr>
                <w:rFonts w:ascii="Courier New" w:cs="Courier New" w:eastAsia="Courier New" w:hAnsi="Courier New"/>
                <w:sz w:val="15"/>
                <w:szCs w:val="15"/>
                <w:color w:val="auto"/>
                <w:w w:val="98"/>
              </w:rPr>
              <w:t>50.62% and 50.37% at September 30, 2003 and 2002, respectively</w:t>
            </w:r>
          </w:p>
        </w:tc>
      </w:tr>
    </w:tbl>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This interpretation elaborates the disclosures to be made by a guarantor in its interim and annual financial</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299085</wp:posOffset>
            </wp:positionV>
            <wp:extent cx="729361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statements about its obligations under certain guarantees that it has issued. It also clarifies that a guarantor is required to recognize, at the inception of a guarantee, a liability for the fair value of the obligation undertaken in issuing the guarantee. The initial recognition and initial measurement provisions of this interpretation are applicable on a prospective basis to guarantees issued or modified after December 31, 2002 and have not had a material effect on the Company's consolidated results of operations, financial position or cash flows.</w:t>
      </w:r>
    </w:p>
    <w:p>
      <w:pPr>
        <w:spacing w:after="0" w:line="177"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In January 2003, the FASB issued Financial Interpretation No. 46, "Consolidation of Variable Interest Entities," ("FIN 46"). This interpretation addresses consolidation by business enterprises of variable interest entities with certain defined characteristics. Based on our current understanding, we do not expect FIN 46 to have a significant impact on our consolidated financial statements.</w:t>
      </w:r>
    </w:p>
    <w:p>
      <w:pPr>
        <w:spacing w:after="0" w:line="162"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 April 2003, the FASB issued SFAS No. 149, "Derivative Instruments and Hedging Activities". SFAS No. 149 amends and clarifies financial accounting and reporting for derivative instruments, including certain derivative instruments embedded in other contracts and for hedging activities under SFAS No. 133, "Accounting for Derivative Instruments and Hedging Activities". SFAS No. 149 requires that contracts with comparable characteristics be accounted for similarly and is effective for contracts entered into or modified after June 30, 2003 and for hedging relationships designated after June 30, 2003. The adoption of this standard has not had a material impact on the financial statements.</w:t>
      </w:r>
    </w:p>
    <w:p>
      <w:pPr>
        <w:spacing w:after="0" w:line="16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May 2003, the FASB issued SFAS No. 150, "Accounting for Certain Financial Instruments with Characteristics of both Liabilities and Equity". SFAS No. 150 establishes standards for how an issuer classifies and measures certain financial instruments with characteristics of both liabilities and equity. SFAS No. 150 is otherwise generally effective for financial instruments entered into or modified after May 31, 2003, and otherwise is effective at the beginning of the first interim period beginning after June 15, 2003. The Company adopted SFAS No. 150 on July 1, 2003 and this adoption did not have a material impact on the financial statements.</w:t>
      </w:r>
    </w:p>
    <w:p>
      <w:pPr>
        <w:spacing w:after="0" w:line="17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b w:val="1"/>
          <w:bCs w:val="1"/>
          <w:color w:val="auto"/>
        </w:rPr>
        <w:t>Note 9.</w:t>
      </w:r>
      <w:r>
        <w:rPr>
          <w:sz w:val="20"/>
          <w:szCs w:val="20"/>
          <w:color w:val="auto"/>
        </w:rPr>
        <w:tab/>
      </w:r>
      <w:r>
        <w:rPr>
          <w:rFonts w:ascii="Courier New" w:cs="Courier New" w:eastAsia="Courier New" w:hAnsi="Courier New"/>
          <w:sz w:val="14"/>
          <w:szCs w:val="14"/>
          <w:b w:val="1"/>
          <w:bCs w:val="1"/>
          <w:color w:val="auto"/>
        </w:rPr>
        <w:t>Long-Term Debt and Short-Term Debt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May 1, 2003 in connection with the purchase of SKF's Veenendaal component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operations and SKF's 23 percent interest in Euroball, we entered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a new $90 million syndicated credit facility with AmSouth Bank ("AmSouth")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the administrative agent and Suntrust Bank as the Euro loan agent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lenders under which we borrowed $60.4 million and 26.3 million Euros ($29.6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This new financing arrangement replaces our prior credit facility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AmSouth and Hypo Vereinsbank Luxembourg, S.A. The credit facility consists of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 million revolver expiring on March 1, 2005, bearing interest at a floating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equal to LIBOR (1.16% at September 30, 2003) plus an applicable margin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 to 2.0, a $30.4 million term loan expiring on May 1, 2008, bearing interest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 floating rate equal to LIBOR (1.16% at September 30, 2003) plus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applicable margin of 1.25 to 2.0 and a 26.3 million ($29.6 million) Euros term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expiring on May 1, 2008 which bears interest at a floating rate equal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LIBOR (2.13% at September 30, 2003) plus an applicable margin of 1.25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The loan agreement contains customary financial and non-financial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 Such covenants specify that we must maintain certain liquidity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measures. The loan agreement also contains customary restrictions on, among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things, additional indebtedness, liens on our assets, sales or transfers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assets, investments, restricted payments (including payment of dividends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repurchases), issuance of equity securities, and mergers, acquisitions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fundamental changes in the Company's business. The credit agreement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un-collateralized except for the pledge of stock of certain foreign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We were in compliance with all such covenants as of September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 In connection with this refinancing, capitalized costs in the amount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$455,000 associated with the paid-off credit facilities were written-off during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three month period ended June 30, 2003 and are included as a component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expense.</w:t>
      </w:r>
    </w:p>
    <w:p>
      <w:pPr>
        <w:spacing w:after="0" w:line="174"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On October 9, 2003, we acquired certain assets comprised of land, building and machinery and equipment of the precision ball operations of KLF - Gulickaren ("KLF"), based in Kysucke Nove Mesto, Slovakia. We paid consideration of approximately 1.7 million Euros ($2.0 million). The assets will be utilized by our newly established subsidiary AKMCH s.r.o. ("AKMCH") based in Kysucke Nove Mesto, Slovakia, which will begin production in early 2004. The financial results of the operations will be included in our NN Europe Segment.</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70" w:orient="portrait"/>
          <w:cols w:equalWidth="0" w:num="1">
            <w:col w:w="10219"/>
          </w:cols>
          <w:pgMar w:left="240" w:top="309" w:right="1440" w:bottom="0" w:gutter="0" w:footer="0" w:header="0"/>
        </w:sectPr>
      </w:pPr>
    </w:p>
    <w:bookmarkStart w:id="11" w:name="page12"/>
    <w:bookmarkEnd w:id="1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133985</wp:posOffset>
            </wp:positionH>
            <wp:positionV relativeFrom="page">
              <wp:posOffset>386715</wp:posOffset>
            </wp:positionV>
            <wp:extent cx="729361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ind w:right="3119"/>
        <w:spacing w:after="0"/>
        <w:rPr>
          <w:sz w:val="20"/>
          <w:szCs w:val="20"/>
          <w:color w:val="auto"/>
        </w:rPr>
      </w:pPr>
      <w:r>
        <w:rPr>
          <w:rFonts w:ascii="Courier New" w:cs="Courier New" w:eastAsia="Courier New" w:hAnsi="Courier New"/>
          <w:sz w:val="15"/>
          <w:szCs w:val="15"/>
          <w:color w:val="auto"/>
        </w:rPr>
        <w:t>In connection with the acquisition of KLF's operations in Slovakia, on September 23, 2003 we entered into a $2.0 million short-term unsecured promissory note with AmSouth as the lender. This note, which bears interest at the prime rate (4.0% at September 30, 2003), matured on November 14, 2003. We have extended the maturity date of this note for an additional 90 days.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b w:val="1"/>
          <w:bCs w:val="1"/>
          <w:color w:val="auto"/>
        </w:rPr>
        <w:t>Note 10.</w:t>
      </w:r>
      <w:r>
        <w:rPr>
          <w:sz w:val="20"/>
          <w:szCs w:val="20"/>
          <w:color w:val="auto"/>
        </w:rPr>
        <w:tab/>
      </w:r>
      <w:r>
        <w:rPr>
          <w:rFonts w:ascii="Courier New" w:cs="Courier New" w:eastAsia="Courier New" w:hAnsi="Courier New"/>
          <w:sz w:val="14"/>
          <w:szCs w:val="14"/>
          <w:b w:val="1"/>
          <w:bCs w:val="1"/>
          <w:color w:val="auto"/>
        </w:rPr>
        <w:t>Sale of Common Stock</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During May 2003, we completed a public offering of 3.6 million shares of our stock by a group of selling shareholders. We did not receive any proceeds from the sale of the shares previously held by the group of selling shareholders, however, the underwriters did exercise their over-allotment option of 533,600 shares, which were offered by us. Net proceeds received by us in connection with the exercise of the over-allotment option were approximately $5.1 million.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Note 11. Subsequent Events</w:t>
      </w:r>
    </w:p>
    <w:p>
      <w:pPr>
        <w:spacing w:after="0" w:line="174"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On October 9, 2003, we acquired certain assets comprised of land, building and machinery and equipment of the precision ball operations of KLF - Gulickaren ("KLF"), based in Kysucke Nove Mesto, Slovakia. We paid consideration of approximately 1.7 million Euros ($2.0 million). The assets will be utilized by our newly established subsidiary AKMCH based in Kysucke Nove Mesto, Slovakia, which will begin production in early 2004. The financial results of the operations will be included in our NN Europe Segment. See Note 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Note 12. Restatement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has restated its Consolidated Financial Statements for the year ended December 31, 2002 and the three and nine months ended September 30, 2002 solely to amend the financial reporting of certain transactions related to the formation of Euroball on July 31, 2000 and the subsequent purchases of the minority interests held by INA/FAG and SKF on December 20, 2002 and May 2, 2003, respectively. These restatements had no material effect on</w:t>
      </w:r>
    </w:p>
    <w:p>
      <w:pPr>
        <w:spacing w:after="0" w:line="4" w:lineRule="exact"/>
        <w:rPr>
          <w:sz w:val="20"/>
          <w:szCs w:val="20"/>
          <w:color w:val="auto"/>
        </w:rPr>
      </w:pPr>
    </w:p>
    <w:p>
      <w:pPr>
        <w:ind w:right="3759"/>
        <w:spacing w:after="0" w:line="239" w:lineRule="auto"/>
        <w:rPr>
          <w:sz w:val="20"/>
          <w:szCs w:val="20"/>
          <w:color w:val="auto"/>
        </w:rPr>
      </w:pPr>
      <w:r>
        <w:rPr>
          <w:rFonts w:ascii="Courier New" w:cs="Courier New" w:eastAsia="Courier New" w:hAnsi="Courier New"/>
          <w:sz w:val="15"/>
          <w:szCs w:val="15"/>
          <w:color w:val="auto"/>
        </w:rPr>
        <w:t>the Company's reported net sales, gross profit, income from operations or cash flows for the three and nine month periods ended September 30, 2003 and September 30, 2002.</w:t>
      </w:r>
    </w:p>
    <w:p>
      <w:pPr>
        <w:spacing w:after="0" w:line="17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We have revised the valuation of the original purchase associated with the formation of Euroball in July 2000. This revision resulted in a reduction of goodwill of approximately 4,108 Euro ($3,792). Further, we increased stockholders' equity by approximately 10,044 Euro ($9,270) to reflect the amount by which the Company's proportionate interest in Euroball exceeded the book value of the net assets exchanged by the Company. As a result of these two adjustments, minority interest in consolidated subsidiaries has been reduced by approximately $7,421 at December 31, 2002, goodwill has decreased by $4,308 at December 31, 2002 and paid-in-capital increased by $9,270 at December 31, 2002 from amounts previously reported. Comprehensive income has also been restated at December 31, 2002 and for the three and nine months ended September 30, 2002 for foreign currency translation effects of these adjustments.</w:t>
      </w:r>
    </w:p>
    <w:p>
      <w:pPr>
        <w:spacing w:after="0" w:line="16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 the previously issued December 31, 2002 Consolidated Financial Statements, when the Company acquired the 23% interests in Euroball held by INA/FAG in December 2002 and the 23% interest held by SKF in May 2003, the excess of minority interest in consolidated subsidiaries over the purchase price was recorded as a non-taxable gain in the amount of approximately $5,904 and $6,600, respectively. As restated in the accompanying Consolidated Financial Statements, the non-taxable gains have been excluded and the excess of the purchase price over the fair value of INA/FAG's 23% interest and SKF's 23% interest in the net assets of Euroball was allocated to goodwill. The resulting impact to the Consolidated Financial Statements is an increase to goodwill of approximately $1,517 and $3,667 and a decrease in retained earnings of approximately $5,904 and $12,504 at December 31, 2002 and September 30, 2003, respectively, and reversal of the gain previously recorded in the Consolidated Statement of Income and Comprehensive Income for the year ended December 31, 2002.</w:t>
      </w:r>
    </w:p>
    <w:p>
      <w:pPr>
        <w:spacing w:after="0" w:line="335"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Additionally, the Company has reclassified minority interest in consolidated subsidiaries from a component of total liabilities to a separate line item in the Consolidated Balance Sheet at December 31, 2002.</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299085</wp:posOffset>
            </wp:positionV>
            <wp:extent cx="729361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b w:val="1"/>
          <w:bCs w:val="1"/>
          <w:color w:val="auto"/>
        </w:rPr>
        <w:t>Effect on selected Consolidated Financial Statement data as of December 31, 2002, 2001 and 2000:</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6400" w:type="dxa"/>
            <w:vAlign w:val="bottom"/>
            <w:gridSpan w:val="2"/>
          </w:tcPr>
          <w:p>
            <w:pPr>
              <w:jc w:val="right"/>
              <w:ind w:right="726"/>
              <w:spacing w:after="0"/>
              <w:rPr>
                <w:sz w:val="20"/>
                <w:szCs w:val="20"/>
                <w:color w:val="auto"/>
              </w:rPr>
            </w:pPr>
            <w:r>
              <w:rPr>
                <w:rFonts w:ascii="Courier New" w:cs="Courier New" w:eastAsia="Courier New" w:hAnsi="Courier New"/>
                <w:sz w:val="15"/>
                <w:szCs w:val="15"/>
                <w:b w:val="1"/>
                <w:bCs w:val="1"/>
                <w:color w:val="auto"/>
              </w:rPr>
              <w:t>Selected Consolidated Balance Sheet Data</w:t>
            </w:r>
          </w:p>
        </w:tc>
        <w:tc>
          <w:tcPr>
            <w:tcW w:w="1240" w:type="dxa"/>
            <w:vAlign w:val="bottom"/>
          </w:tcPr>
          <w:p>
            <w:pPr>
              <w:spacing w:after="0"/>
              <w:rPr>
                <w:sz w:val="14"/>
                <w:szCs w:val="14"/>
                <w:color w:val="auto"/>
              </w:rPr>
            </w:pPr>
          </w:p>
        </w:tc>
      </w:tr>
      <w:tr>
        <w:trPr>
          <w:trHeight w:val="171"/>
        </w:trPr>
        <w:tc>
          <w:tcPr>
            <w:tcW w:w="4880" w:type="dxa"/>
            <w:vAlign w:val="bottom"/>
          </w:tcPr>
          <w:p>
            <w:pPr>
              <w:ind w:left="3200"/>
              <w:spacing w:after="0"/>
              <w:rPr>
                <w:sz w:val="20"/>
                <w:szCs w:val="20"/>
                <w:color w:val="auto"/>
              </w:rPr>
            </w:pPr>
            <w:r>
              <w:rPr>
                <w:rFonts w:ascii="Courier New" w:cs="Courier New" w:eastAsia="Courier New" w:hAnsi="Courier New"/>
                <w:sz w:val="15"/>
                <w:szCs w:val="15"/>
                <w:b w:val="1"/>
                <w:bCs w:val="1"/>
                <w:color w:val="auto"/>
              </w:rPr>
              <w:t>December 31, 2002</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880" w:type="dxa"/>
            <w:vAlign w:val="bottom"/>
          </w:tcPr>
          <w:p>
            <w:pPr>
              <w:ind w:left="3280"/>
              <w:spacing w:after="0"/>
              <w:rPr>
                <w:sz w:val="20"/>
                <w:szCs w:val="20"/>
                <w:color w:val="auto"/>
              </w:rPr>
            </w:pPr>
            <w:r>
              <w:rPr>
                <w:rFonts w:ascii="Courier New" w:cs="Courier New" w:eastAsia="Courier New" w:hAnsi="Courier New"/>
                <w:sz w:val="15"/>
                <w:szCs w:val="15"/>
                <w:b w:val="1"/>
                <w:bCs w:val="1"/>
                <w:color w:val="auto"/>
              </w:rPr>
              <w:t>(In thousands)</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880" w:type="dxa"/>
            <w:vAlign w:val="bottom"/>
          </w:tcPr>
          <w:p>
            <w:pPr>
              <w:spacing w:after="0"/>
              <w:rPr>
                <w:sz w:val="14"/>
                <w:szCs w:val="14"/>
                <w:color w:val="auto"/>
              </w:rPr>
            </w:pP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As Previously</w:t>
            </w:r>
          </w:p>
        </w:tc>
        <w:tc>
          <w:tcPr>
            <w:tcW w:w="1240" w:type="dxa"/>
            <w:vAlign w:val="bottom"/>
          </w:tcPr>
          <w:p>
            <w:pPr>
              <w:spacing w:after="0"/>
              <w:rPr>
                <w:sz w:val="14"/>
                <w:szCs w:val="14"/>
                <w:color w:val="auto"/>
              </w:rPr>
            </w:pPr>
          </w:p>
        </w:tc>
      </w:tr>
      <w:tr>
        <w:trPr>
          <w:trHeight w:val="171"/>
        </w:trPr>
        <w:tc>
          <w:tcPr>
            <w:tcW w:w="488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Reported</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As Restated</w:t>
            </w:r>
          </w:p>
        </w:tc>
      </w:tr>
      <w:tr>
        <w:trPr>
          <w:trHeight w:val="171"/>
        </w:trPr>
        <w:tc>
          <w:tcPr>
            <w:tcW w:w="4880" w:type="dxa"/>
            <w:vAlign w:val="bottom"/>
          </w:tcPr>
          <w:p>
            <w:pPr>
              <w:spacing w:after="0"/>
              <w:rPr>
                <w:sz w:val="14"/>
                <w:szCs w:val="14"/>
                <w:color w:val="auto"/>
              </w:rPr>
            </w:pP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$ 42,166</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$ 39,374</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198,007</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195,215</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124,728</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105,022</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subsidiaries</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19,706</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12,285</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31,187</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40,457</w:t>
            </w:r>
          </w:p>
        </w:tc>
      </w:tr>
    </w:tbl>
    <w:p>
      <w:pPr>
        <w:sectPr>
          <w:pgSz w:w="11900" w:h="16848" w:orient="portrait"/>
          <w:cols w:equalWidth="0" w:num="1">
            <w:col w:w="10219"/>
          </w:cols>
          <w:pgMar w:left="240" w:top="1143" w:right="1440" w:bottom="0" w:gutter="0" w:footer="0" w:header="0"/>
        </w:sectPr>
      </w:pPr>
    </w:p>
    <w:bookmarkStart w:id="12" w:name="page13"/>
    <w:bookmarkEnd w:id="12"/>
    <w:p>
      <w:pPr>
        <w:spacing w:after="0" w:line="1"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44,888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38,984</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loss</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(2,950)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(1,687)</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73,279</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77,908</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198,007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195,215</w:t>
            </w:r>
          </w:p>
        </w:tc>
      </w:tr>
      <w:tr>
        <w:trPr>
          <w:trHeight w:val="512"/>
        </w:trPr>
        <w:tc>
          <w:tcPr>
            <w:tcW w:w="7640" w:type="dxa"/>
            <w:vAlign w:val="bottom"/>
            <w:gridSpan w:val="3"/>
          </w:tcPr>
          <w:p>
            <w:pPr>
              <w:ind w:left="800"/>
              <w:spacing w:after="0"/>
              <w:rPr>
                <w:sz w:val="20"/>
                <w:szCs w:val="20"/>
                <w:color w:val="auto"/>
              </w:rPr>
            </w:pPr>
            <w:r>
              <w:rPr>
                <w:rFonts w:ascii="Courier New" w:cs="Courier New" w:eastAsia="Courier New" w:hAnsi="Courier New"/>
                <w:sz w:val="15"/>
                <w:szCs w:val="15"/>
                <w:b w:val="1"/>
                <w:bCs w:val="1"/>
                <w:color w:val="auto"/>
              </w:rPr>
              <w:t>Selected Consolidated Statement of Income and Comprehensive Income Data</w:t>
            </w:r>
          </w:p>
        </w:tc>
      </w:tr>
      <w:tr>
        <w:trPr>
          <w:trHeight w:val="171"/>
        </w:trPr>
        <w:tc>
          <w:tcPr>
            <w:tcW w:w="6440" w:type="dxa"/>
            <w:vAlign w:val="bottom"/>
            <w:gridSpan w:val="2"/>
          </w:tcPr>
          <w:p>
            <w:pPr>
              <w:jc w:val="right"/>
              <w:ind w:right="766"/>
              <w:spacing w:after="0"/>
              <w:rPr>
                <w:sz w:val="20"/>
                <w:szCs w:val="20"/>
                <w:color w:val="auto"/>
              </w:rPr>
            </w:pPr>
            <w:r>
              <w:rPr>
                <w:rFonts w:ascii="Courier New" w:cs="Courier New" w:eastAsia="Courier New" w:hAnsi="Courier New"/>
                <w:sz w:val="15"/>
                <w:szCs w:val="15"/>
                <w:b w:val="1"/>
                <w:bCs w:val="1"/>
                <w:color w:val="auto"/>
              </w:rPr>
              <w:t>Three months ended September 30, 2002</w:t>
            </w:r>
          </w:p>
        </w:tc>
        <w:tc>
          <w:tcPr>
            <w:tcW w:w="1200" w:type="dxa"/>
            <w:vAlign w:val="bottom"/>
          </w:tcPr>
          <w:p>
            <w:pPr>
              <w:spacing w:after="0"/>
              <w:rPr>
                <w:sz w:val="14"/>
                <w:szCs w:val="14"/>
                <w:color w:val="auto"/>
              </w:rPr>
            </w:pPr>
          </w:p>
        </w:tc>
      </w:tr>
      <w:tr>
        <w:trPr>
          <w:trHeight w:val="171"/>
        </w:trPr>
        <w:tc>
          <w:tcPr>
            <w:tcW w:w="4800" w:type="dxa"/>
            <w:vAlign w:val="bottom"/>
          </w:tcPr>
          <w:p>
            <w:pPr>
              <w:jc w:val="center"/>
              <w:ind w:left="2926"/>
              <w:spacing w:after="0"/>
              <w:rPr>
                <w:sz w:val="20"/>
                <w:szCs w:val="20"/>
                <w:color w:val="auto"/>
              </w:rPr>
            </w:pPr>
            <w:r>
              <w:rPr>
                <w:rFonts w:ascii="Courier New" w:cs="Courier New" w:eastAsia="Courier New" w:hAnsi="Courier New"/>
                <w:sz w:val="15"/>
                <w:szCs w:val="15"/>
                <w:b w:val="1"/>
                <w:bCs w:val="1"/>
                <w:color w:val="auto"/>
                <w:w w:val="98"/>
              </w:rPr>
              <w:t>(In thousands)</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800" w:type="dxa"/>
            <w:vAlign w:val="bottom"/>
          </w:tcPr>
          <w:p>
            <w:pPr>
              <w:spacing w:after="0"/>
              <w:rPr>
                <w:sz w:val="14"/>
                <w:szCs w:val="14"/>
                <w:color w:val="auto"/>
              </w:rPr>
            </w:pP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As Previously</w:t>
            </w:r>
          </w:p>
        </w:tc>
        <w:tc>
          <w:tcPr>
            <w:tcW w:w="1200" w:type="dxa"/>
            <w:vAlign w:val="bottom"/>
          </w:tcPr>
          <w:p>
            <w:pPr>
              <w:spacing w:after="0"/>
              <w:rPr>
                <w:sz w:val="14"/>
                <w:szCs w:val="14"/>
                <w:color w:val="auto"/>
              </w:rPr>
            </w:pPr>
          </w:p>
        </w:tc>
      </w:tr>
      <w:tr>
        <w:trPr>
          <w:trHeight w:val="171"/>
        </w:trPr>
        <w:tc>
          <w:tcPr>
            <w:tcW w:w="4800" w:type="dxa"/>
            <w:vAlign w:val="bottom"/>
          </w:tcPr>
          <w:p>
            <w:pPr>
              <w:spacing w:after="0"/>
              <w:rPr>
                <w:sz w:val="14"/>
                <w:szCs w:val="14"/>
                <w:color w:val="auto"/>
              </w:rPr>
            </w:pPr>
          </w:p>
        </w:tc>
        <w:tc>
          <w:tcPr>
            <w:tcW w:w="16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Reported</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As Restated</w:t>
            </w:r>
          </w:p>
        </w:tc>
      </w:tr>
      <w:tr>
        <w:trPr>
          <w:trHeight w:val="171"/>
        </w:trPr>
        <w:tc>
          <w:tcPr>
            <w:tcW w:w="4800" w:type="dxa"/>
            <w:vAlign w:val="bottom"/>
          </w:tcPr>
          <w:p>
            <w:pPr>
              <w:spacing w:after="0"/>
              <w:rPr>
                <w:sz w:val="14"/>
                <w:szCs w:val="14"/>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(66)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(125)</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2,053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341"/>
        </w:trPr>
        <w:tc>
          <w:tcPr>
            <w:tcW w:w="6440" w:type="dxa"/>
            <w:vAlign w:val="bottom"/>
            <w:gridSpan w:val="2"/>
          </w:tcPr>
          <w:p>
            <w:pPr>
              <w:jc w:val="center"/>
              <w:ind w:left="1306"/>
              <w:spacing w:after="0"/>
              <w:rPr>
                <w:sz w:val="20"/>
                <w:szCs w:val="20"/>
                <w:color w:val="auto"/>
              </w:rPr>
            </w:pPr>
            <w:r>
              <w:rPr>
                <w:rFonts w:ascii="Courier New" w:cs="Courier New" w:eastAsia="Courier New" w:hAnsi="Courier New"/>
                <w:sz w:val="15"/>
                <w:szCs w:val="15"/>
                <w:b w:val="1"/>
                <w:bCs w:val="1"/>
                <w:color w:val="auto"/>
                <w:w w:val="98"/>
              </w:rPr>
              <w:t>Nine months ended September 30, 2002</w:t>
            </w:r>
          </w:p>
        </w:tc>
        <w:tc>
          <w:tcPr>
            <w:tcW w:w="1200" w:type="dxa"/>
            <w:vAlign w:val="bottom"/>
          </w:tcPr>
          <w:p>
            <w:pPr>
              <w:spacing w:after="0"/>
              <w:rPr>
                <w:sz w:val="24"/>
                <w:szCs w:val="24"/>
                <w:color w:val="auto"/>
              </w:rPr>
            </w:pPr>
          </w:p>
        </w:tc>
      </w:tr>
      <w:tr>
        <w:trPr>
          <w:trHeight w:val="171"/>
        </w:trPr>
        <w:tc>
          <w:tcPr>
            <w:tcW w:w="4800" w:type="dxa"/>
            <w:vAlign w:val="bottom"/>
          </w:tcPr>
          <w:p>
            <w:pPr>
              <w:jc w:val="center"/>
              <w:ind w:left="2926"/>
              <w:spacing w:after="0"/>
              <w:rPr>
                <w:sz w:val="20"/>
                <w:szCs w:val="20"/>
                <w:color w:val="auto"/>
              </w:rPr>
            </w:pPr>
            <w:r>
              <w:rPr>
                <w:rFonts w:ascii="Courier New" w:cs="Courier New" w:eastAsia="Courier New" w:hAnsi="Courier New"/>
                <w:sz w:val="15"/>
                <w:szCs w:val="15"/>
                <w:b w:val="1"/>
                <w:bCs w:val="1"/>
                <w:color w:val="auto"/>
                <w:w w:val="98"/>
              </w:rPr>
              <w:t>(In thousands)</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800" w:type="dxa"/>
            <w:vAlign w:val="bottom"/>
          </w:tcPr>
          <w:p>
            <w:pPr>
              <w:spacing w:after="0"/>
              <w:rPr>
                <w:sz w:val="14"/>
                <w:szCs w:val="14"/>
                <w:color w:val="auto"/>
              </w:rPr>
            </w:pP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As Previously</w:t>
            </w:r>
          </w:p>
        </w:tc>
        <w:tc>
          <w:tcPr>
            <w:tcW w:w="1200" w:type="dxa"/>
            <w:vAlign w:val="bottom"/>
          </w:tcPr>
          <w:p>
            <w:pPr>
              <w:spacing w:after="0"/>
              <w:rPr>
                <w:sz w:val="14"/>
                <w:szCs w:val="14"/>
                <w:color w:val="auto"/>
              </w:rPr>
            </w:pPr>
          </w:p>
        </w:tc>
      </w:tr>
      <w:tr>
        <w:trPr>
          <w:trHeight w:val="171"/>
        </w:trPr>
        <w:tc>
          <w:tcPr>
            <w:tcW w:w="4800" w:type="dxa"/>
            <w:vAlign w:val="bottom"/>
          </w:tcPr>
          <w:p>
            <w:pPr>
              <w:spacing w:after="0"/>
              <w:rPr>
                <w:sz w:val="14"/>
                <w:szCs w:val="14"/>
                <w:color w:val="auto"/>
              </w:rPr>
            </w:pPr>
          </w:p>
        </w:tc>
        <w:tc>
          <w:tcPr>
            <w:tcW w:w="16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Reported</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As Restated</w:t>
            </w:r>
          </w:p>
        </w:tc>
      </w:tr>
      <w:tr>
        <w:trPr>
          <w:trHeight w:val="171"/>
        </w:trPr>
        <w:tc>
          <w:tcPr>
            <w:tcW w:w="4800" w:type="dxa"/>
            <w:vAlign w:val="bottom"/>
          </w:tcPr>
          <w:p>
            <w:pPr>
              <w:spacing w:after="0"/>
              <w:rPr>
                <w:sz w:val="14"/>
                <w:szCs w:val="14"/>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$ 1,268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$ 2,255</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7,643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190500</wp:posOffset>
            </wp:positionV>
            <wp:extent cx="729361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b w:val="1"/>
          <w:bCs w:val="1"/>
          <w:color w:val="auto"/>
        </w:rPr>
        <w:t>MANAGEMENT'S DISCUSSION AND ANALYSIS OF</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b w:val="1"/>
          <w:bCs w:val="1"/>
          <w:color w:val="auto"/>
        </w:rPr>
        <w:t>FINANCIAL CONDITION AND RESULTS OF OPERATIONS</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b w:val="1"/>
          <w:bCs w:val="1"/>
          <w:color w:val="auto"/>
        </w:rPr>
        <w:t>Results of Operations</w:t>
      </w:r>
    </w:p>
    <w:p>
      <w:pPr>
        <w:spacing w:after="0" w:line="174" w:lineRule="exact"/>
        <w:rPr>
          <w:sz w:val="20"/>
          <w:szCs w:val="20"/>
          <w:color w:val="auto"/>
        </w:rPr>
      </w:pPr>
    </w:p>
    <w:p>
      <w:pPr>
        <w:ind w:left="9" w:right="3839"/>
        <w:spacing w:after="0" w:line="238" w:lineRule="auto"/>
        <w:rPr>
          <w:sz w:val="20"/>
          <w:szCs w:val="20"/>
          <w:color w:val="auto"/>
        </w:rPr>
      </w:pPr>
      <w:r>
        <w:rPr>
          <w:rFonts w:ascii="Courier New" w:cs="Courier New" w:eastAsia="Courier New" w:hAnsi="Courier New"/>
          <w:sz w:val="15"/>
          <w:szCs w:val="15"/>
          <w:b w:val="1"/>
          <w:bCs w:val="1"/>
          <w:color w:val="auto"/>
        </w:rPr>
        <w:t>Three Months Ended September 30, 2003 Compared to the Three Months Ended September 30, 2002</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i w:val="1"/>
          <w:iCs w:val="1"/>
          <w:color w:val="auto"/>
        </w:rPr>
        <w:t xml:space="preserve">Net Sales. </w:t>
      </w:r>
      <w:r>
        <w:rPr>
          <w:rFonts w:ascii="Courier New" w:cs="Courier New" w:eastAsia="Courier New" w:hAnsi="Courier New"/>
          <w:sz w:val="15"/>
          <w:szCs w:val="15"/>
          <w:color w:val="auto"/>
        </w:rPr>
        <w:t>Net sales increased by approximately $17.1 million or 36.2% from</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$47.5 million for the third quarter of 2002 to $64.6 million for the third quarter of 2003. By segment, net sales increased $1.2 million, and $16.0 million for the Domestic Ball and Roller Segment and the NN Europe Segment, respectively. Net sales for the Plastic and Rubber Components Segment decreased by $0.1 million. Within the NN Europe Segment, $12.5 million of the increase is related to our May 2, 2003 acquisition of Veenendaal and the inclusion of three months of its operations. Of the remaining $3.5 million increase $3.2 million is related to the impact of currency exchange rates and $0.3 million is related to increased demand. Within the Domestic Ball and Roller Segment the $1.2 million increase is related to increased demand.</w:t>
      </w:r>
    </w:p>
    <w:p>
      <w:pPr>
        <w:spacing w:after="0" w:line="179"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i w:val="1"/>
          <w:iCs w:val="1"/>
          <w:color w:val="auto"/>
        </w:rPr>
        <w:t xml:space="preserve">Cost of Goods Sold. </w:t>
      </w:r>
      <w:r>
        <w:rPr>
          <w:rFonts w:ascii="Courier New" w:cs="Courier New" w:eastAsia="Courier New" w:hAnsi="Courier New"/>
          <w:sz w:val="15"/>
          <w:szCs w:val="15"/>
          <w:color w:val="auto"/>
        </w:rPr>
        <w:t>Cost of goods sold increased by $14.7 million or 41.2% from</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$35.6 million in the third quarter of 2002 to $50.3 million in the third quarter of 2003. By segment, cost of goods sold increased $1.2 million for the Domestic Ball and Roller Segment, $0.2 million for the Plastic and Rubber Components Segment and $13.3 million for the NN Europe Segment. Within the Domestic Ball and Roller Segment the increase is principally related to increased net sales demand. Within the NN Europe Segment, $10.2 million is related to the inclusion of Veenendaal results due to the May 2, 2003 acquisition, $2.5 million is related to impact of currency exchange rates and $0.6 million is principally related to increases in net sales demand and material surcharges. Within the Plastic and Rubber Components Segment the increase is related to cost increases within the Guadalajara, Mexico facility.</w:t>
      </w:r>
    </w:p>
    <w:p>
      <w:pPr>
        <w:spacing w:after="0" w:line="17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i w:val="1"/>
          <w:iCs w:val="1"/>
          <w:color w:val="auto"/>
        </w:rPr>
        <w:t>Selling, General and Administrative Expenses</w:t>
      </w:r>
      <w:r>
        <w:rPr>
          <w:rFonts w:ascii="Courier New" w:cs="Courier New" w:eastAsia="Courier New" w:hAnsi="Courier New"/>
          <w:sz w:val="15"/>
          <w:szCs w:val="15"/>
          <w:color w:val="auto"/>
        </w:rPr>
        <w:t>. Selling, general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administrative expenses increased by $1.1 million, or 28.7%, from $4.1 million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the third quarter of 2002 to $5.2 million in the third quarter of 2003. By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segment, selling, general and administrative expenses increased by $0.9 million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$0.3 million for the Domestic Ball and Roller Segment and the NN Europe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Segment, respectively. Within the NN Europe Segment, the inclusion of a full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quarter of Veenendaal results due to the May 2, 2003 acquisition contributed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$0.9 million of the increase and the impact of currency exchange rates resulted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a $0.2 million increase. Selling, general and administrative expenses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remained unchanged for the Plastic and Rubber Components Segment. As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percentage of net sales, selling, general and administrative expenses decreased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from 8.6% in the third quarter of 2002 to 8.1% in the third quarter of 2003.</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i w:val="1"/>
          <w:iCs w:val="1"/>
          <w:color w:val="auto"/>
        </w:rPr>
        <w:t xml:space="preserve">Depreciation and Amortization. </w:t>
      </w:r>
      <w:r>
        <w:rPr>
          <w:rFonts w:ascii="Courier New" w:cs="Courier New" w:eastAsia="Courier New" w:hAnsi="Courier New"/>
          <w:sz w:val="15"/>
          <w:szCs w:val="15"/>
          <w:color w:val="auto"/>
        </w:rPr>
        <w:t>Depreciation and amortization expenses increased</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by $0.8 million, or 26.4%, from $2.8 million in the third quarter of 2002 to $3.6 million in the third quarter of 2003. Within the NN Europe Segment the inclusion of a full quarter of Veenendaal results due to the May 2, 2003 acquisition contributed $0.6 million of the increase and currency impacts resulted in a $0.2 million increase. Depreciation and amortization expense remained unchanged for the Domestic Ball and Roller and Plastic and Rubber Components Segments. As a percentage of net sales, depreciation and amortization decreased from 6.1% in the third quarter of 2002 to 5.6% in the third quarter of 2003.</w:t>
      </w:r>
    </w:p>
    <w:p>
      <w:pPr>
        <w:spacing w:after="0" w:line="178"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i w:val="1"/>
          <w:iCs w:val="1"/>
          <w:color w:val="auto"/>
        </w:rPr>
        <w:t xml:space="preserve">Restructuring and Impairment Costs. </w:t>
      </w:r>
      <w:r>
        <w:rPr>
          <w:rFonts w:ascii="Courier New" w:cs="Courier New" w:eastAsia="Courier New" w:hAnsi="Courier New"/>
          <w:sz w:val="14"/>
          <w:szCs w:val="14"/>
          <w:color w:val="auto"/>
        </w:rPr>
        <w:t>Restructuring and impairment costs decreased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by $0.2 million from $0 in the third quarter of 2002 to ($0.2 million) in the third quarter of 2003. The decrease is related to gains recorded during the third quarter of 2003 related to the disposition of certain previously impaired</w:t>
      </w:r>
    </w:p>
    <w:p>
      <w:pPr>
        <w:spacing w:after="0" w:line="1" w:lineRule="exact"/>
        <w:rPr>
          <w:sz w:val="20"/>
          <w:szCs w:val="20"/>
          <w:color w:val="auto"/>
        </w:rPr>
      </w:pPr>
    </w:p>
    <w:p>
      <w:pPr>
        <w:ind w:left="9" w:right="3219" w:hanging="9"/>
        <w:spacing w:after="0" w:line="238" w:lineRule="auto"/>
        <w:tabs>
          <w:tab w:leader="none" w:pos="27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Arte assets. Restructuring and impairment charges had no effect on net sales in the third quarter of 2002.</w:t>
      </w:r>
    </w:p>
    <w:p>
      <w:pPr>
        <w:sectPr>
          <w:pgSz w:w="11900" w:h="16838" w:orient="portrait"/>
          <w:cols w:equalWidth="0" w:num="1">
            <w:col w:w="10228"/>
          </w:cols>
          <w:pgMar w:left="231" w:top="139" w:right="1440" w:bottom="0" w:gutter="0" w:footer="0" w:header="0"/>
        </w:sectPr>
      </w:pPr>
    </w:p>
    <w:bookmarkStart w:id="13" w:name="page14"/>
    <w:bookmarkEnd w:id="13"/>
    <w:p>
      <w:pPr>
        <w:ind w:right="3119"/>
        <w:spacing w:after="0"/>
        <w:rPr>
          <w:sz w:val="20"/>
          <w:szCs w:val="20"/>
          <w:color w:val="auto"/>
        </w:rPr>
      </w:pPr>
      <w:r>
        <w:rPr>
          <w:rFonts w:ascii="Courier New" w:cs="Courier New" w:eastAsia="Courier New" w:hAnsi="Courier New"/>
          <w:sz w:val="15"/>
          <w:szCs w:val="15"/>
          <w:i w:val="1"/>
          <w:iCs w:val="1"/>
          <w:color w:val="auto"/>
        </w:rPr>
        <w:t>Interest Expense</w:t>
      </w:r>
      <w:r>
        <w:rPr>
          <w:rFonts w:ascii="Courier New" w:cs="Courier New" w:eastAsia="Courier New" w:hAnsi="Courier New"/>
          <w:sz w:val="15"/>
          <w:szCs w:val="15"/>
          <w:color w:val="auto"/>
        </w:rPr>
        <w:t>. Interest expense increased by $0.3 million from $0.6 million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in the third quarter of 2002 to $0.9 million in the third quarter of 2003. The increase is attributed to increased debt levels due to the previously announced acquisition of Veenendaal during May 2003, the previously announced purchase of the 23% interest in Euroball held by INA/FAG during December 2002, and the previously announced purchase of the 23% interest in Euroball held by SKF during May 2003.</w:t>
      </w:r>
    </w:p>
    <w:p>
      <w:pPr>
        <w:spacing w:after="0" w:line="176"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i w:val="1"/>
          <w:iCs w:val="1"/>
          <w:color w:val="auto"/>
        </w:rPr>
        <w:t xml:space="preserve">Minority Interest in Consolidated Subsidiary. </w:t>
      </w:r>
      <w:r>
        <w:rPr>
          <w:rFonts w:ascii="Courier New" w:cs="Courier New" w:eastAsia="Courier New" w:hAnsi="Courier New"/>
          <w:sz w:val="15"/>
          <w:szCs w:val="15"/>
          <w:color w:val="auto"/>
        </w:rPr>
        <w:t>Minority interest of consolidated</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subsidiary decreased $0.6</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190500</wp:posOffset>
            </wp:positionV>
            <wp:extent cx="729361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million from $0.6 million in the third quarter of 2002 to $0 in the third quarter of 2003. This decrease is due entirely to the Euroball joint venture, which the Company has been required to consolidate since its formation on August 1, 2000. During the third quarter of 2002, minority interest in consolidated subsidiary represented the 46% of the shares of the joint venture held by the minority partners. On May 2, 2003 we purchased the 23% interest held by SKF. As previously announced, we purchased the 23% interest in Euroball held by INA/FAG on December 20, 2002. Effective May 2, 2003 and as of September 30, 2003, we own 100% of the shares of Euroball. Minority interest in consolidated subsidiary represents the combined interest in Euroball's earnings of the minority partner and the 49% interest in Arte's earnings of the minority partner (the 49% interest in NN Arte's earnings is zero in the third quarter of 2002).</w:t>
      </w:r>
    </w:p>
    <w:p>
      <w:pPr>
        <w:spacing w:after="0" w:line="16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i w:val="1"/>
          <w:iCs w:val="1"/>
          <w:color w:val="auto"/>
        </w:rPr>
        <w:t xml:space="preserve">Net Income. </w:t>
      </w:r>
      <w:r>
        <w:rPr>
          <w:rFonts w:ascii="Courier New" w:cs="Courier New" w:eastAsia="Courier New" w:hAnsi="Courier New"/>
          <w:sz w:val="15"/>
          <w:szCs w:val="15"/>
          <w:color w:val="auto"/>
        </w:rPr>
        <w:t>Net income increased by $1.1 million, or 49.3%, from $2.1 million in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the third quarter of 2002 to $3.2 million in the third quarter of 2003. As a percentage of net sales, net income increased from 4.5% in the third quarter of 2002 to 4.9% in the third quarter of 2003.</w:t>
      </w:r>
    </w:p>
    <w:p>
      <w:pPr>
        <w:spacing w:after="0" w:line="176"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b w:val="1"/>
          <w:bCs w:val="1"/>
          <w:color w:val="auto"/>
        </w:rPr>
        <w:t>Nine Months Ended September 30, 2003 Compared to the Nine Months Ended September 30, 2002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i w:val="1"/>
          <w:iCs w:val="1"/>
          <w:color w:val="auto"/>
        </w:rPr>
        <w:t xml:space="preserve">Net Sales. </w:t>
      </w:r>
      <w:r>
        <w:rPr>
          <w:rFonts w:ascii="Courier New" w:cs="Courier New" w:eastAsia="Courier New" w:hAnsi="Courier New"/>
          <w:sz w:val="15"/>
          <w:szCs w:val="15"/>
          <w:color w:val="auto"/>
        </w:rPr>
        <w:t>Net sales increased by approximately $42.6 million or 29.6% from</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$143.8 million for the first nine months of 2002 to $186.4 million for the first nine months of 2003. By segment, net sales increased $38.2 million, $2.0 million and $2.4 million for the NN Europe Segment, the Plastic and Rubber Components Segment and the Domestic Ball and Roller Segment, respectively. Within the NN Europe Segment, $21.8 million of the increase is related to the inclusion of five months of Veenendaal results which we acquired on May 2, 2003, $14.4 million is related to currency impacts and $2.0 million is related to increases in demand. Within the Plastic and Rubber Components Segment and Domestic Ball and Roller Segment the increase is principally related to increases in demand as well as new programs within the Plastic and Rubber Components Segment.</w:t>
      </w:r>
    </w:p>
    <w:p>
      <w:pPr>
        <w:spacing w:after="0" w:line="16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i w:val="1"/>
          <w:iCs w:val="1"/>
          <w:color w:val="auto"/>
        </w:rPr>
        <w:t xml:space="preserve">Cost of Goods Sold. </w:t>
      </w:r>
      <w:r>
        <w:rPr>
          <w:rFonts w:ascii="Courier New" w:cs="Courier New" w:eastAsia="Courier New" w:hAnsi="Courier New"/>
          <w:sz w:val="15"/>
          <w:szCs w:val="15"/>
          <w:color w:val="auto"/>
        </w:rPr>
        <w:t>Cost of goods sold increased by $35.5 million or 33.0% from</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$107.3 million for the first nine months of 2002 to $142.8 million for the first nine months of 2003. By segment, cost of goods sold increased $1.9 million for the Domestic Ball and Roller Segment, $2.9 million for the Plastic and Rubber Components Segment and $30.7 million for the NN Europe Segment. Within the Domestic Ball and Roller Segment the increase is principally related to increased net sales demand. Within the NN Europe Segment, $18.2 million is related to the inclusion of Veenendaal results due to the May 2, 2003 acquisition, $10.8 million is related to impact of currency exchange rates and $1.7 million is principally related to increases in net sales demand and material surcharges. Within the Plastic and Rubber Components Segment $0.2 million of the increase is related to cost increases and $0.1 million is related to inventory write-offs within the Guadalajara, Mexico facility and $2.1 of the increase is related to net sales demand related to other business units included in the Segment.</w:t>
      </w:r>
    </w:p>
    <w:p>
      <w:pPr>
        <w:spacing w:after="0" w:line="18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i w:val="1"/>
          <w:iCs w:val="1"/>
          <w:color w:val="auto"/>
        </w:rPr>
        <w:t xml:space="preserve">Selling, General and Administrative. </w:t>
      </w:r>
      <w:r>
        <w:rPr>
          <w:rFonts w:ascii="Courier New" w:cs="Courier New" w:eastAsia="Courier New" w:hAnsi="Courier New"/>
          <w:sz w:val="15"/>
          <w:szCs w:val="15"/>
          <w:color w:val="auto"/>
        </w:rPr>
        <w:t>Selling, general and administrative</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expenses increased by approximately $2.3 million, or 17.6%, from $13.3 million for the first nine months of 2002 to $15.6 million for the first nine months of 2003. By segment, selling general and administrative expenses decreased $0.2 million for the Plastic and Rubber Components Segment due principally to staffing reductions. For the Domestic Ball and Roller Segment and the NN Europe Segment, selling, general and administrative expenses increased $0.1 million and $2.4 million, respectively. Within the Domestic Ball and Roller Segment the increase of $0.1 million consists of $0.3 million of non-cash compensation charges associated with a portion of certain employee stock options offset by $0.2 million of cost reductions. Within the NN Europe Segment, $1.6 million of the increase is related to the inclusion of five months of Veenendaal results which we acquired on May 2, 2003 and $1.1 million of the increase is related to currency impacts. As a percentage of net sales, selling, general and administrative expenses decreased from 9.3% for the first nine months of 2002 to 8.4% for the first nine months of 2003.</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i w:val="1"/>
          <w:iCs w:val="1"/>
          <w:color w:val="auto"/>
        </w:rPr>
        <w:t>Depreciation and Amortization</w:t>
      </w:r>
      <w:r>
        <w:rPr>
          <w:rFonts w:ascii="Courier New" w:cs="Courier New" w:eastAsia="Courier New" w:hAnsi="Courier New"/>
          <w:sz w:val="15"/>
          <w:szCs w:val="15"/>
          <w:color w:val="auto"/>
        </w:rPr>
        <w:t>. Depreciation and amortization expenses increased</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by $1.8 million, or 20.9%, from $8.4 million in the first nine months of 2002 to $10.2 million for the first nine months of 2003. Within the NN Europe Segments $1.0 million of the increase is related to the inclusion of five months of Veenendaal results due to the May 2, 2003 acquisition and $0.7 million of the increase is related to currency impacts. As a percentage of net sales, depreciation and amortization expenses decreased from 5.9% for the first nine months of 2002 to 5.5% for the first nine months of 2003.</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190500</wp:posOffset>
            </wp:positionV>
            <wp:extent cx="729361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ectPr>
          <w:pgSz w:w="11900" w:h="16838" w:orient="portrait"/>
          <w:cols w:equalWidth="0" w:num="1">
            <w:col w:w="10219"/>
          </w:cols>
          <w:pgMar w:left="240" w:top="141" w:right="1440" w:bottom="0" w:gutter="0" w:footer="0" w:header="0"/>
        </w:sectPr>
      </w:pPr>
    </w:p>
    <w:bookmarkStart w:id="14" w:name="page15"/>
    <w:bookmarkEnd w:id="14"/>
    <w:p>
      <w:pPr>
        <w:spacing w:after="0" w:line="3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i w:val="1"/>
          <w:iCs w:val="1"/>
          <w:color w:val="auto"/>
        </w:rPr>
        <w:t xml:space="preserve">Restructuring and Impairment Costs. </w:t>
      </w:r>
      <w:r>
        <w:rPr>
          <w:rFonts w:ascii="Courier New" w:cs="Courier New" w:eastAsia="Courier New" w:hAnsi="Courier New"/>
          <w:sz w:val="15"/>
          <w:szCs w:val="15"/>
          <w:color w:val="auto"/>
        </w:rPr>
        <w:t>Restructuring and impairment costs increased</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by $2.4 million from $0.1 million for the first nine months of 2002 to $2.5 million for the first nine months of 2003. The increase is related to the restructuring and impairment charges recorded in the second and third quarters of 2003 due to the previously announced closure of our Guadalajara, Mexico injection molding facility. The charges, net of gains recorded related to the disposition of certain assets, consist of $2.2 million related to asset write-downs to their estimated fair market values, including $1.3 million related to goodwill, and $0.9 million related to property, plant and equipment. In addition, a $0.3 million charge related to employee severance costs and lease exit costs has been recorded.</w:t>
      </w:r>
    </w:p>
    <w:p>
      <w:pPr>
        <w:spacing w:after="0" w:line="179"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i w:val="1"/>
          <w:iCs w:val="1"/>
          <w:color w:val="auto"/>
        </w:rPr>
        <w:t>Interest Expense</w:t>
      </w:r>
      <w:r>
        <w:rPr>
          <w:rFonts w:ascii="Courier New" w:cs="Courier New" w:eastAsia="Courier New" w:hAnsi="Courier New"/>
          <w:sz w:val="15"/>
          <w:szCs w:val="15"/>
          <w:color w:val="auto"/>
        </w:rPr>
        <w:t>. Interest expense increased by $0.3 million from $1.9 million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for the first nine months of 2002 to $2.2 million for the first nine months of 2003. The increase is attributed to increased debt levels due to the previously announced acquisition of Veenendaal during May 2003, the previously announced purchase of the 23% interest in Euroball held by INA/FAG during December 2002, and the previously announced purchase of the 23% interest in Euroball held by SKF during May 2003.</w:t>
      </w:r>
    </w:p>
    <w:p>
      <w:pPr>
        <w:spacing w:after="0" w:line="176"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i w:val="1"/>
          <w:iCs w:val="1"/>
          <w:color w:val="auto"/>
        </w:rPr>
        <w:t xml:space="preserve">Minority Interest in Consolidated Subsidiary. </w:t>
      </w:r>
      <w:r>
        <w:rPr>
          <w:rFonts w:ascii="Courier New" w:cs="Courier New" w:eastAsia="Courier New" w:hAnsi="Courier New"/>
          <w:sz w:val="14"/>
          <w:szCs w:val="14"/>
          <w:color w:val="auto"/>
        </w:rPr>
        <w:t>Minority interest of consolidated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subsidiary decreased $1.3 million from $2.0 million for the first nine months of 2002 to $0.7 million for the first nine months of 2003. This decrease is due entirely to the Euroball joint venture, which the Company has been required to consolidate since its formation on August 1, 2000. During the first nine months of 2002, minority interest in consolidated subsidiary represented the 46% of the shares of the joint venture held by the minority partners. During the first nine months of 2003, minority interest in consolidated subsidiary represents the 23% of the shares of the joint venture held by SKF through May 2, 2003. On May 2, 2003 we purchased the 23% interest held by SKF. Effective May 2, 2003 and as of September 30, 2003, we own 100% of the shares of Euroball. Minority interest in consolidated subsidiary represents the combined interest in Euroball's earnings of the minority partner and the 49% interest in NN Arte's earnings of the minority partner (the 49% interest in NN Arte's earnings is zero in the first nine months of 2002 and 2003).</w:t>
      </w:r>
    </w:p>
    <w:p>
      <w:pPr>
        <w:spacing w:after="0" w:line="33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i w:val="1"/>
          <w:iCs w:val="1"/>
          <w:color w:val="auto"/>
        </w:rPr>
        <w:t xml:space="preserve">Net Income. </w:t>
      </w:r>
      <w:r>
        <w:rPr>
          <w:rFonts w:ascii="Courier New" w:cs="Courier New" w:eastAsia="Courier New" w:hAnsi="Courier New"/>
          <w:sz w:val="15"/>
          <w:szCs w:val="15"/>
          <w:color w:val="auto"/>
        </w:rPr>
        <w:t>Net income increased by $1.1 million, or 17.7%, from $6.4 million in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the first nine months of 2002 to $7.5 million in the first nine months of 2003. As a percentage of net sales, net income decreased from 4.4% in the first nine months of 2002 to 4.0% in the first nine months of 2003.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Recent Developments</w:t>
      </w:r>
    </w:p>
    <w:p>
      <w:pPr>
        <w:spacing w:after="0" w:line="174"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On October 9, 2003 we acquired certain assets comprised of land, building and machinery and equipment of the precision ball operations of KLF - Gulickaren ("KLF"), based in Kysucke Nove Mesto, Slovakia. We paid consideration of approximately 1.7 million Euros ($2.0 million). The assets will be utilized by our newly established subsidiary AKMCH based in Kysucke Nove Mesto, Slovakia, which will begin production in early 2004. The financial results of the operations will be included in our NN Europe Segment.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Liquidity and Capital Resources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connection with the acquisition of KLF's operations in Slovakia, on September 23, 2003 we entered into a $2.0 million short-term promissory note with AmSouth Bank ("AmSouth") as the lender. This note, which bears interest at the prime rate (4.0% at September 30, 2003), matures on November 14, 2003. We have extended the maturity of this note for an additional 90 days. See Note 9 and Note 11 of the Notes to Consolidated Financial Statements.</w:t>
      </w:r>
    </w:p>
    <w:p>
      <w:pPr>
        <w:spacing w:after="0" w:line="175"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On May 1, 2003 in connection with the purchase of SKF's Veenendaal component manufacturing operations and SKF's 23 percent interest in Euroball, we entered into a new $90 million syndicated credit facility with AmSouth Bank ("AmSouth") as the administrative agent and Suntrust Bank as the Euro loan agent for the lenders under which we borrowed $60.4 million and 26.3 million Euros ($29.6 million). This new financing arrangement replaces our prior credit facility with AmSouth and Euroball's credit facility with Hypo Vereinsbank Luxembourg, S.A. The credit facility consists of a $30.0 million revolver expiring on March 1, 2005, bearing interest at a floating rate equal to LIBOR (1.16% at September 30, 2003) plus an applicable margin of 1.25 to 2.0, a $30.4 million term loan expiring on May 1, 2008, bearing interest at a floating rate equal to LIBOR (1.16% at September 30, 2003) plus an applicable margin of 1.25 to 2.0 and a</w:t>
      </w:r>
    </w:p>
    <w:p>
      <w:pPr>
        <w:spacing w:after="0" w:line="2"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26.3 million ($29.6 million) Euros term loan expiring on May 1, 2008 which bears interest at a floating rate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190500</wp:posOffset>
            </wp:positionV>
            <wp:extent cx="729361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equal to Euro LIBOR (2.13% at September 30, 2003) plus an applicable margin of 1.25 to 2.0.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credit facility is un-collateralized except for the pledge of stock of certain foreign subsidiaries. We were in compliance with all such covenants as of September 30, 2003.</w:t>
      </w:r>
    </w:p>
    <w:p>
      <w:pPr>
        <w:spacing w:after="0" w:line="179"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Our arrangements with our domestic customers typically provide that payments are due within 30 days following the date of shipment of goods by us, while arrangements with certain export customers (other than export customers that</w:t>
      </w:r>
    </w:p>
    <w:p>
      <w:pPr>
        <w:sectPr>
          <w:pgSz w:w="11900" w:h="16869" w:orient="portrait"/>
          <w:cols w:equalWidth="0" w:num="1">
            <w:col w:w="10219"/>
          </w:cols>
          <w:pgMar w:left="240" w:top="312" w:right="1440" w:bottom="0" w:gutter="0" w:footer="0" w:header="0"/>
        </w:sectPr>
      </w:pPr>
    </w:p>
    <w:bookmarkStart w:id="15" w:name="page16"/>
    <w:bookmarkEnd w:id="15"/>
    <w:p>
      <w:pPr>
        <w:spacing w:after="0" w:line="4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have entered into an inventory management program with the Company) generally provide that payments are due within either 90 or 120 days following the date of shipment. Our net sales have historically been of a seasonal nature due to our relative percentage of European business coupled with slower European production during the month of August.</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We bill and receive payment from some of our customers in Euro as well as other currencies. To date, we have not been materially adversely affected by currency fluctuations. Nonetheless, as a result of these sales, our foreign exchange transaction and translation risk has increased. Various strategies to manage this risk are available to management including producing and selling in local currencies and hedging programs. As of September 30, 2003, no currency hedges were in place. In addition, a strengthening of the U.S. dollar and/or Euro against foreign currencies could impair our ability to compete with international competitors for foreign as well as domestic sales.</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Working capital, which consists principally of accounts receivable and inventories, was $28.2 million at September 30, 2003 as compared to $21.2 million at December 31, 2002. The ratio of current assets to current liabilities decreased from 1.53:1 at December 31, 2002 to 1.45:1 at September 30, 2003. Cash flow from operations decreased to $8.3 million during the first nine months of 2003 from $21.4 million during the first nine months of 2002.</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During 2003, we plan to spend approximately $9.0 million to $10.0 million on capital expenditures of which approximately $7.1 million has been spent through September 30, 2003 including the purchase of additional machinery and equipment for all of our domestic facilities as well as four European facilities.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and projected capital expenditure requirements through December 2004.</w:t>
      </w:r>
    </w:p>
    <w:p>
      <w:pPr>
        <w:spacing w:after="0" w:line="200" w:lineRule="exact"/>
        <w:rPr>
          <w:sz w:val="20"/>
          <w:szCs w:val="20"/>
          <w:color w:val="auto"/>
        </w:rPr>
      </w:pPr>
    </w:p>
    <w:p>
      <w:pPr>
        <w:spacing w:after="0" w:line="31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190500</wp:posOffset>
            </wp:positionV>
            <wp:extent cx="729361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The Euro</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We currently have operations in Italy, Germany, Ireland, and The Netherlands, all of which are Euro participating countries, and sell product to customers in many of the participating countries. The Euro has been adopted as the functional currency at these locations.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Seasonality and Fluctuation in Quarterly Results</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Our net sales historically have been of a seasonal nature due to a significant portion of our sales to European customers that cease or significantly slow production during the month of August.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Inflation and Changes in Prices</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While the Company's operations have not been materially affected by inflation during recent years, prices for 52100 Steel, engineered resins and other raw materials purchased by the Company are subject to material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In the Company's U.S. operations our typical pricing arrangements with steel suppliers are subject to adjustment once every six months. The Company's NN Europe Segment has entered into long term agreements with its primary steel supplier, which provide for standard terms and conditions and annual pricing adjustments to offset material price fluctuations in steel. The Company typically reserves the right to increase product prices periodically in the event of increases in its raw material costs. In the past, the Company has been able to minimize the impact on its operations resulting from the 52100 Steel price fluctuations by taking such measures. Certain sales agreements are in effect with SKF and INA/FAG, which provide for minimum purchase quantities and specified, annual sales price reductions that may be modified up or down for changes in material costs. These agreements expire during 2006 and 2008.</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Critical Accounting Policies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Our significant accounting policies, including the assumptions and judgments underlying them, are disclosed in the Company's Annual Report on Form 10-K, as amended, for the fiscal year ended December 31, 2002 including those policies as discussed in Note 2.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80"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b w:val="1"/>
          <w:bCs w:val="1"/>
          <w:color w:val="auto"/>
        </w:rPr>
        <w:t xml:space="preserve">Accounts Receivable. </w:t>
      </w:r>
      <w:r>
        <w:rPr>
          <w:rFonts w:ascii="Courier New" w:cs="Courier New" w:eastAsia="Courier New" w:hAnsi="Courier New"/>
          <w:sz w:val="14"/>
          <w:szCs w:val="14"/>
          <w:color w:val="auto"/>
        </w:rPr>
        <w:t>Substantially all of the Company's accounts receivable are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due primarily from the served markets: bearing manufacturers, automotive industry, electronics, industrial, agricultural and aerospace.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w:t>
      </w:r>
    </w:p>
    <w:p>
      <w:pPr>
        <w:sectPr>
          <w:pgSz w:w="11900" w:h="16882" w:orient="portrait"/>
          <w:cols w:equalWidth="0" w:num="1">
            <w:col w:w="10219"/>
          </w:cols>
          <w:pgMar w:left="240" w:top="141" w:right="1440" w:bottom="0" w:gutter="0" w:footer="0" w:header="0"/>
        </w:sectPr>
      </w:pPr>
    </w:p>
    <w:bookmarkStart w:id="16" w:name="page17"/>
    <w:bookmarkEnd w:id="16"/>
    <w:p>
      <w:pPr>
        <w:ind w:right="3219"/>
        <w:spacing w:after="0" w:line="264" w:lineRule="auto"/>
        <w:rPr>
          <w:sz w:val="20"/>
          <w:szCs w:val="20"/>
          <w:color w:val="auto"/>
        </w:rPr>
      </w:pPr>
      <w:r>
        <w:rPr>
          <w:rFonts w:ascii="Courier New" w:cs="Courier New" w:eastAsia="Courier New" w:hAnsi="Courier New"/>
          <w:sz w:val="14"/>
          <w:szCs w:val="14"/>
          <w:color w:val="auto"/>
        </w:rPr>
        <w:t>prospects. While management believes that adequate allowances for doubtful accounts have been provided in the Consolidated Financial Statements, it is possible that the Company could experience additional unexpected credit losses.</w:t>
      </w:r>
    </w:p>
    <w:p>
      <w:pPr>
        <w:spacing w:after="0" w:line="159"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b w:val="1"/>
          <w:bCs w:val="1"/>
          <w:color w:val="auto"/>
        </w:rPr>
        <w:t xml:space="preserve">Inventories. </w:t>
      </w:r>
      <w:r>
        <w:rPr>
          <w:rFonts w:ascii="Courier New" w:cs="Courier New" w:eastAsia="Courier New" w:hAnsi="Courier New"/>
          <w:sz w:val="14"/>
          <w:szCs w:val="14"/>
          <w:color w:val="auto"/>
        </w:rPr>
        <w:t>Inventories are stated at the lower of cost or market. Cost is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190500</wp:posOffset>
            </wp:positionV>
            <wp:extent cx="729361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b w:val="1"/>
          <w:bCs w:val="1"/>
          <w:color w:val="auto"/>
        </w:rPr>
        <w:t xml:space="preserve">Acquisitions and Acquired Intangibles. </w:t>
      </w:r>
      <w:r>
        <w:rPr>
          <w:rFonts w:ascii="Courier New" w:cs="Courier New" w:eastAsia="Courier New" w:hAnsi="Courier New"/>
          <w:sz w:val="15"/>
          <w:szCs w:val="15"/>
          <w:color w:val="auto"/>
        </w:rPr>
        <w:t>For new acquisitions, the Company uses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79"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b w:val="1"/>
          <w:bCs w:val="1"/>
          <w:color w:val="auto"/>
        </w:rPr>
        <w:t xml:space="preserve">Impairment of Long-Lived Assets. </w:t>
      </w:r>
      <w:r>
        <w:rPr>
          <w:rFonts w:ascii="Courier New" w:cs="Courier New" w:eastAsia="Courier New" w:hAnsi="Courier New"/>
          <w:sz w:val="15"/>
          <w:szCs w:val="15"/>
          <w:color w:val="auto"/>
        </w:rPr>
        <w:t>The Company's long-lived assets include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property, plant and equipment. The recoverability of the long-term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For assets held for sale, appraisals are relied upon to assess the fair market value of those assets. Future adverse changes in market conditions or adverse operating results of the underlying assets could result in the Company having to record additional impairment charges not previously recognized.</w:t>
      </w:r>
    </w:p>
    <w:p>
      <w:pPr>
        <w:spacing w:after="0" w:line="178"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b w:val="1"/>
          <w:bCs w:val="1"/>
          <w:color w:val="auto"/>
        </w:rPr>
        <w:t xml:space="preserve">Pension and Post-Retirement Obligations. </w:t>
      </w:r>
      <w:r>
        <w:rPr>
          <w:rFonts w:ascii="Courier New" w:cs="Courier New" w:eastAsia="Courier New" w:hAnsi="Courier New"/>
          <w:sz w:val="15"/>
          <w:szCs w:val="15"/>
          <w:color w:val="auto"/>
        </w:rPr>
        <w:t>The Company uses several assumptions in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 expense and obligations based upon these assumptions and actual employee census data.</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190500</wp:posOffset>
            </wp:positionV>
            <wp:extent cx="729361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b w:val="1"/>
          <w:bCs w:val="1"/>
          <w:color w:val="auto"/>
        </w:rPr>
        <w:t>Cautionary Statements for Purposes of the "Safe Harbor" Provisions of the Private Securities Litigation Reform Act of 1995</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Statements regarding capital expenditures, future borrowings, and financial commitments are forward-looking statements. Readers can identify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180"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i w:val="1"/>
          <w:iCs w:val="1"/>
          <w:color w:val="auto"/>
        </w:rPr>
        <w:t>You should carefully consider the following risks and uncertainties, and all other information contained in or incorporated by reference in this quarterly report on Form 10-Q,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i w:val="1"/>
          <w:iCs w:val="1"/>
          <w:color w:val="auto"/>
        </w:rPr>
        <w:t>The demand for our products is cyclical, which could adversely impact our revenues.</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76" w:lineRule="exact"/>
        <w:rPr>
          <w:sz w:val="20"/>
          <w:szCs w:val="20"/>
          <w:color w:val="auto"/>
        </w:rPr>
      </w:pPr>
    </w:p>
    <w:p>
      <w:pPr>
        <w:ind w:right="3759"/>
        <w:spacing w:after="0" w:line="271" w:lineRule="auto"/>
        <w:rPr>
          <w:sz w:val="20"/>
          <w:szCs w:val="20"/>
          <w:color w:val="auto"/>
        </w:rPr>
      </w:pPr>
      <w:r>
        <w:rPr>
          <w:rFonts w:ascii="Courier New" w:cs="Courier New" w:eastAsia="Courier New" w:hAnsi="Courier New"/>
          <w:sz w:val="14"/>
          <w:szCs w:val="14"/>
          <w:b w:val="1"/>
          <w:bCs w:val="1"/>
          <w:i w:val="1"/>
          <w:iCs w:val="1"/>
          <w:color w:val="auto"/>
        </w:rPr>
        <w:t>We depend on a very limited number of foreign sources for our primary raw material and are subject to risks of shortages and price fluctuation.</w:t>
      </w:r>
    </w:p>
    <w:p>
      <w:pPr>
        <w:sectPr>
          <w:pgSz w:w="11900" w:h="16838" w:orient="portrait"/>
          <w:cols w:equalWidth="0" w:num="1">
            <w:col w:w="10219"/>
          </w:cols>
          <w:pgMar w:left="240" w:top="141" w:right="1440" w:bottom="0" w:gutter="0" w:footer="0" w:header="0"/>
        </w:sectPr>
      </w:pPr>
    </w:p>
    <w:bookmarkStart w:id="17" w:name="page18"/>
    <w:bookmarkEnd w:id="17"/>
    <w:p>
      <w:pPr>
        <w:ind w:right="3219"/>
        <w:spacing w:after="0" w:line="259" w:lineRule="auto"/>
        <w:rPr>
          <w:sz w:val="20"/>
          <w:szCs w:val="20"/>
          <w:color w:val="auto"/>
        </w:rPr>
      </w:pPr>
      <w:r>
        <w:rPr>
          <w:rFonts w:ascii="Courier New" w:cs="Courier New" w:eastAsia="Courier New" w:hAnsi="Courier New"/>
          <w:sz w:val="14"/>
          <w:szCs w:val="14"/>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6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b w:val="1"/>
          <w:bCs w:val="1"/>
          <w:i w:val="1"/>
          <w:iCs w:val="1"/>
          <w:color w:val="auto"/>
        </w:rPr>
        <w:t>We operate in and sell products to customers outside the U.S. and are subject to several related risks.</w:t>
      </w:r>
    </w:p>
    <w:p>
      <w:pPr>
        <w:spacing w:after="0" w:line="175"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81915</wp:posOffset>
            </wp:positionV>
            <wp:extent cx="729361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880" w:hanging="445"/>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foreign currency fluctuations;</w:t>
      </w:r>
    </w:p>
    <w:p>
      <w:pPr>
        <w:spacing w:after="0" w:line="174" w:lineRule="exact"/>
        <w:rPr>
          <w:rFonts w:ascii="Courier New" w:cs="Courier New" w:eastAsia="Courier New" w:hAnsi="Courier New"/>
          <w:sz w:val="15"/>
          <w:szCs w:val="15"/>
          <w:color w:val="auto"/>
        </w:rPr>
      </w:pPr>
    </w:p>
    <w:p>
      <w:pPr>
        <w:ind w:left="880" w:right="3219" w:hanging="445"/>
        <w:spacing w:after="0" w:line="239"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trade, monetary and fiscal policies, laws and regulations, and other activities of governments, agencies and similar organizations;</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trade restrictions or prohibitions;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tax rates that discourage the repatriation of funds to the U.S.;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import or other duties or taxes; and</w:t>
      </w:r>
    </w:p>
    <w:p>
      <w:pPr>
        <w:spacing w:after="0" w:line="174" w:lineRule="exact"/>
        <w:rPr>
          <w:rFonts w:ascii="Courier New" w:cs="Courier New" w:eastAsia="Courier New" w:hAnsi="Courier New"/>
          <w:sz w:val="15"/>
          <w:szCs w:val="15"/>
          <w:color w:val="auto"/>
        </w:rPr>
      </w:pPr>
    </w:p>
    <w:p>
      <w:pPr>
        <w:jc w:val="both"/>
        <w:ind w:left="880" w:right="3759" w:hanging="445"/>
        <w:spacing w:after="0" w:line="271"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unstable governments or legal systems in countries in which our suppliers, manufacturing operations, and customers are located.</w:t>
      </w:r>
    </w:p>
    <w:p>
      <w:pPr>
        <w:spacing w:after="0" w:line="15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In the first nine months of 2003, approximately 34% of the $42.6 million increase in revenues was attributable to favorable currency fluctuations. Also, a decline in the value of the Euro relative to the U.S. Dollar will negatively impact our consolidated financial results, which are denominated in U.S. Dollars.</w:t>
      </w:r>
    </w:p>
    <w:p>
      <w:pPr>
        <w:spacing w:after="0" w:line="177"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59"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b w:val="1"/>
          <w:bCs w:val="1"/>
          <w:i w:val="1"/>
          <w:iCs w:val="1"/>
          <w:color w:val="auto"/>
        </w:rPr>
        <w:t>We depend heavily on a relatively limited number of customers, and the loss of any major customer would have a material adverse effect on our business</w:t>
      </w:r>
      <w:r>
        <w:rPr>
          <w:rFonts w:ascii="Courier New" w:cs="Courier New" w:eastAsia="Courier New" w:hAnsi="Courier New"/>
          <w:sz w:val="15"/>
          <w:szCs w:val="15"/>
          <w:b w:val="1"/>
          <w:bCs w:val="1"/>
          <w:color w:val="auto"/>
        </w:rPr>
        <w:t>.</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Sales to various U.S. and foreign divisions of SKF, which is one of the largest bearing manufacturers in the world, accounted for approximately 33% of consolidated net sales in 2002, and sales to INA/FAG accounted for approximately 19% of consolidated net sales in 2002. Our recent acquisition at SKF's tapered roller and metal cage production facility, along with the related long-term supply agreement with SKF, will increase our dependence on SKF in the future. During 2002, our ten largest customers accounted for approximately 73% of our consolidated net sales. None of our other customers individually accounted for more than 5% of our consolidated net sales for 2002. Recent consolidation of certain of our bearing customers, including the acquisition at the Torrington Company by Timken, will increase our dependence on a smaller number of customers. The loss of all or a substantial portion of sales to these customers would cause us to lose a substantial portion of our revenue and would lower our profit margin and cash flows from operations.</w:t>
      </w:r>
    </w:p>
    <w:p>
      <w:pPr>
        <w:spacing w:after="0" w:line="18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b w:val="1"/>
          <w:bCs w:val="1"/>
          <w:i w:val="1"/>
          <w:iCs w:val="1"/>
          <w:color w:val="auto"/>
        </w:rPr>
        <w:t>The costs and difficulties of integrating acquired business could impede our future growth.</w:t>
      </w:r>
    </w:p>
    <w:p>
      <w:pPr>
        <w:spacing w:after="0" w:line="175"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6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b w:val="1"/>
          <w:bCs w:val="1"/>
          <w:i w:val="1"/>
          <w:iCs w:val="1"/>
          <w:color w:val="auto"/>
        </w:rPr>
        <w:t>We may not be able to continue to make the acquisitions necessary for us to realize our growth strategy.</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Euroball with our two largest bearing customers, SKF and INA/FAG, in 2000 and acquired our bearing seal operations in</w:t>
      </w:r>
    </w:p>
    <w:p>
      <w:pPr>
        <w:sectPr>
          <w:pgSz w:w="11900" w:h="16838" w:orient="portrait"/>
          <w:cols w:equalWidth="0" w:num="1">
            <w:col w:w="10219"/>
          </w:cols>
          <w:pgMar w:left="240" w:top="141" w:right="1440" w:bottom="0" w:gutter="0" w:footer="0" w:header="0"/>
        </w:sectPr>
      </w:pPr>
    </w:p>
    <w:bookmarkStart w:id="18" w:name="page19"/>
    <w:bookmarkEnd w:id="18"/>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190500</wp:posOffset>
            </wp:positionV>
            <wp:extent cx="729361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2001. During 2002, we purchased INA/FAG's minority interest in Euroball and on May 2, 2003, we acquired SKF's minority interest in Euroball, to become the sole owner at Euroball. On May 2, 2003 we acquired SKF's tapered roller and metal cage manufacturing operations in Veenendaal, The Netherlands.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78"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4"/>
          <w:szCs w:val="14"/>
          <w:b w:val="1"/>
          <w:bCs w:val="1"/>
          <w:i w:val="1"/>
          <w:iCs w:val="1"/>
          <w:color w:val="auto"/>
        </w:rPr>
        <w:t>Our growth strategy depends on outsourcing, and if the industry trend toward outsourcing does not continue, our business could be adversely affected</w:t>
      </w:r>
      <w:r>
        <w:rPr>
          <w:rFonts w:ascii="Courier New" w:cs="Courier New" w:eastAsia="Courier New" w:hAnsi="Courier New"/>
          <w:sz w:val="14"/>
          <w:szCs w:val="14"/>
          <w:b w:val="1"/>
          <w:bCs w:val="1"/>
          <w:color w:val="auto"/>
        </w:rPr>
        <w:t>.</w:t>
      </w:r>
    </w:p>
    <w:p>
      <w:pPr>
        <w:spacing w:after="0" w:line="15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76"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b w:val="1"/>
          <w:bCs w:val="1"/>
          <w:i w:val="1"/>
          <w:iCs w:val="1"/>
          <w:color w:val="auto"/>
        </w:rPr>
        <w:t>Our market is highly competitive and many of our competitors have significant advantages that could adversely affect our business.</w:t>
      </w:r>
    </w:p>
    <w:p>
      <w:pPr>
        <w:spacing w:after="0" w:line="175"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66"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have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i w:val="1"/>
          <w:iCs w:val="1"/>
          <w:color w:val="auto"/>
        </w:rPr>
        <w:t>The price of our common stock may be volatile.</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The market price of our common stock could be subject to significant fluctuations and may decline. Among the factors that could affect our stock price are:</w:t>
      </w:r>
    </w:p>
    <w:p>
      <w:pPr>
        <w:spacing w:after="0" w:line="172" w:lineRule="exact"/>
        <w:rPr>
          <w:sz w:val="20"/>
          <w:szCs w:val="20"/>
          <w:color w:val="auto"/>
        </w:rPr>
      </w:pPr>
    </w:p>
    <w:p>
      <w:pPr>
        <w:ind w:left="880" w:hanging="445"/>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operating and financial performance and prospects;</w:t>
      </w:r>
    </w:p>
    <w:p>
      <w:pPr>
        <w:spacing w:after="0" w:line="174" w:lineRule="exact"/>
        <w:rPr>
          <w:rFonts w:ascii="Courier New" w:cs="Courier New" w:eastAsia="Courier New" w:hAnsi="Courier New"/>
          <w:sz w:val="15"/>
          <w:szCs w:val="15"/>
          <w:color w:val="auto"/>
        </w:rPr>
      </w:pPr>
    </w:p>
    <w:p>
      <w:pPr>
        <w:ind w:left="880" w:right="3659" w:hanging="445"/>
        <w:spacing w:after="0" w:line="271"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variations in the rate of growth of our financial indicators, such as earnings per share, net income and revenues;</w:t>
      </w:r>
    </w:p>
    <w:p>
      <w:pPr>
        <w:spacing w:after="0" w:line="153" w:lineRule="exact"/>
        <w:rPr>
          <w:rFonts w:ascii="Courier New" w:cs="Courier New" w:eastAsia="Courier New" w:hAnsi="Courier New"/>
          <w:sz w:val="14"/>
          <w:szCs w:val="14"/>
          <w:color w:val="auto"/>
        </w:rPr>
      </w:pPr>
    </w:p>
    <w:p>
      <w:pPr>
        <w:ind w:left="880" w:right="3399" w:hanging="445"/>
        <w:spacing w:after="0" w:line="238"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revenue or earnings estimates or publication of research reports by analysts;</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any member of our senior management team;</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speculation in the press or investment community;</w:t>
      </w:r>
    </w:p>
    <w:p>
      <w:pPr>
        <w:spacing w:after="0" w:line="174" w:lineRule="exact"/>
        <w:rPr>
          <w:rFonts w:ascii="Courier New" w:cs="Courier New" w:eastAsia="Courier New" w:hAnsi="Courier New"/>
          <w:sz w:val="15"/>
          <w:szCs w:val="15"/>
          <w:color w:val="auto"/>
        </w:rPr>
      </w:pPr>
    </w:p>
    <w:p>
      <w:pPr>
        <w:ind w:left="880" w:right="3399" w:hanging="445"/>
        <w:spacing w:after="0" w:line="238"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actions by us or our competitors, such as acquisitions or restructurings;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190500</wp:posOffset>
            </wp:positionV>
            <wp:extent cx="729361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80" w:hanging="445"/>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our common stock by stockholders;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conditions; and</w:t>
      </w:r>
    </w:p>
    <w:p>
      <w:pPr>
        <w:spacing w:after="0" w:line="174" w:lineRule="exact"/>
        <w:rPr>
          <w:rFonts w:ascii="Courier New" w:cs="Courier New" w:eastAsia="Courier New" w:hAnsi="Courier New"/>
          <w:sz w:val="15"/>
          <w:szCs w:val="15"/>
          <w:color w:val="auto"/>
        </w:rPr>
      </w:pPr>
    </w:p>
    <w:p>
      <w:pPr>
        <w:ind w:left="880" w:right="3579" w:hanging="445"/>
        <w:spacing w:after="0" w:line="238"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and international economic, legal and regulatory factors unrelated to our performance.</w:t>
      </w:r>
    </w:p>
    <w:p>
      <w:pPr>
        <w:spacing w:after="0" w:line="175"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59"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b w:val="1"/>
          <w:bCs w:val="1"/>
          <w:i w:val="1"/>
          <w:iCs w:val="1"/>
          <w:color w:val="auto"/>
        </w:rPr>
        <w:t>Provisions in our charter documents and Delaware law may inhibit a takeover, which could adversely affect the value of our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certificate of incorporation and bylaws, as well as Delaware corporate law,</w:t>
      </w:r>
    </w:p>
    <w:p>
      <w:pPr>
        <w:sectPr>
          <w:pgSz w:w="11900" w:h="16839" w:orient="portrait"/>
          <w:cols w:equalWidth="0" w:num="1">
            <w:col w:w="10219"/>
          </w:cols>
          <w:pgMar w:left="240" w:top="309" w:right="1440" w:bottom="0" w:gutter="0" w:footer="0" w:header="0"/>
        </w:sectPr>
      </w:pPr>
    </w:p>
    <w:bookmarkStart w:id="19" w:name="page20"/>
    <w:bookmarkEnd w:id="19"/>
    <w:p>
      <w:pPr>
        <w:ind w:right="3119"/>
        <w:spacing w:after="0"/>
        <w:rPr>
          <w:sz w:val="20"/>
          <w:szCs w:val="20"/>
          <w:color w:val="auto"/>
        </w:rPr>
      </w:pPr>
      <w:r>
        <w:rPr>
          <w:rFonts w:ascii="Courier New" w:cs="Courier New" w:eastAsia="Courier New" w:hAnsi="Courier New"/>
          <w:sz w:val="15"/>
          <w:szCs w:val="15"/>
          <w:color w:val="auto"/>
        </w:rPr>
        <w:t>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76"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6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b w:val="1"/>
          <w:bCs w:val="1"/>
          <w:color w:val="auto"/>
        </w:rPr>
        <w:t>Item 3.</w:t>
      </w:r>
      <w:r>
        <w:rPr>
          <w:sz w:val="20"/>
          <w:szCs w:val="20"/>
          <w:color w:val="auto"/>
        </w:rPr>
        <w:tab/>
      </w:r>
      <w:r>
        <w:rPr>
          <w:rFonts w:ascii="Courier New" w:cs="Courier New" w:eastAsia="Courier New" w:hAnsi="Courier New"/>
          <w:sz w:val="14"/>
          <w:szCs w:val="14"/>
          <w:b w:val="1"/>
          <w:bCs w:val="1"/>
          <w:color w:val="auto"/>
        </w:rPr>
        <w:t>Quantitative and Qualitative Disclosures About Market Risk</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September 30, 2003, these borrowings included a $30 million term loan and a $30 million revolving credit facility which was used to maintain liquidity and fund our business operations. At September 30, 2003, we had $55.9 million outstanding under the domestic credit facilities and Euroball had 25.0 million Euro ($28.5 million) outstanding under the Euro term loan. At September 30, 2003, a one-percent increase in the interest rate charged on our outstanding borrowings under both credit facilities would result in interest expense increasing annually by approximately $0.8 million. In connection with a variable EURIBOR rate debt financing in July 2000 our majority owned subsidiary, Euroball entered into an interest rate swap with a notional amount of Euro 12.5 million for the purpose of fixing the interest rate on a portion of their debt financing. The interest rate swap provides for us to receive variable Euribor interest payments and pay 5.51% fixed interest. The interest rate swap agreement expires in July 2006 and the notional amount amortizes in relation to principal payments on the underlying debt over the life of the swap. This original debt was repaid in May 2003, however, the swap remains pursuant to its original terms. On May 1, 2003, we entered into a new $90 million syndicated credit facility. This new financing arrangement replaces our prior credit facility with AmSouth and Euroball's credit facility with Hypo Vereinsbank Luxembourg, S.A., see "Management's Discussion and Analysis of Financial</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190500</wp:posOffset>
            </wp:positionV>
            <wp:extent cx="729361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3579"/>
        <w:spacing w:after="0" w:line="239" w:lineRule="auto"/>
        <w:rPr>
          <w:sz w:val="20"/>
          <w:szCs w:val="20"/>
          <w:color w:val="auto"/>
        </w:rPr>
      </w:pPr>
      <w:r>
        <w:rPr>
          <w:rFonts w:ascii="Courier New" w:cs="Courier New" w:eastAsia="Courier New" w:hAnsi="Courier New"/>
          <w:sz w:val="15"/>
          <w:szCs w:val="15"/>
          <w:color w:val="auto"/>
        </w:rPr>
        <w:t>Condition and Results of Operations - Liquidity and Capital Resources". The nature and amount of our borrowings may vary as a result of future business requirements, market conditions and other factors.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Translation of our operating cash flows denominated in foreign currencies is impacted by changes in foreign exchange rates. Our NN Europe Segment, bills and receives payments from some of its foreign customers in their own currency. To date, we have not been materially adversely affected by currency fluctuations of foreign exchange restrictions. However, to help reduce exposure to foreign currency fluctuation, management has incurred debt in Euros and has periodically used foreign currency hedges. These currency hedging programs allow management to hedge currency exposures when these exposures meet certain discretionary levels. We did not hold a position in any foreign currency hedging instruments as of September 30, 2003.</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b w:val="1"/>
          <w:bCs w:val="1"/>
          <w:color w:val="auto"/>
        </w:rPr>
        <w:t>Item 4.</w:t>
      </w:r>
      <w:r>
        <w:rPr>
          <w:sz w:val="20"/>
          <w:szCs w:val="20"/>
          <w:color w:val="auto"/>
        </w:rPr>
        <w:tab/>
      </w:r>
      <w:r>
        <w:rPr>
          <w:rFonts w:ascii="Courier New" w:cs="Courier New" w:eastAsia="Courier New" w:hAnsi="Courier New"/>
          <w:sz w:val="14"/>
          <w:szCs w:val="14"/>
          <w:b w:val="1"/>
          <w:bCs w:val="1"/>
          <w:color w:val="auto"/>
        </w:rPr>
        <w:t>Controls and Procedures</w:t>
      </w:r>
    </w:p>
    <w:p>
      <w:pPr>
        <w:spacing w:after="0" w:line="174" w:lineRule="exact"/>
        <w:rPr>
          <w:sz w:val="20"/>
          <w:szCs w:val="20"/>
          <w:color w:val="auto"/>
        </w:rPr>
      </w:pPr>
    </w:p>
    <w:p>
      <w:pPr>
        <w:ind w:left="880" w:right="3119" w:hanging="445"/>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30, 2003,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Exchange Act filings.</w:t>
      </w:r>
    </w:p>
    <w:p>
      <w:pPr>
        <w:spacing w:after="0" w:line="179" w:lineRule="exact"/>
        <w:rPr>
          <w:rFonts w:ascii="Courier New" w:cs="Courier New" w:eastAsia="Courier New" w:hAnsi="Courier New"/>
          <w:sz w:val="15"/>
          <w:szCs w:val="15"/>
          <w:color w:val="auto"/>
        </w:rPr>
      </w:pPr>
    </w:p>
    <w:p>
      <w:pPr>
        <w:ind w:left="880" w:right="3399" w:hanging="445"/>
        <w:spacing w:after="0" w:line="262" w:lineRule="auto"/>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have been no changes in this fiscal quarter in the Company's internal control over financial reporting or in other factors that have materially affected, or are reasonably likely to materially affect, the registrant's internal control over financial reporting.</w:t>
      </w:r>
    </w:p>
    <w:p>
      <w:pPr>
        <w:sectPr>
          <w:pgSz w:w="11900" w:h="16838" w:orient="portrait"/>
          <w:cols w:equalWidth="0" w:num="1">
            <w:col w:w="10219"/>
          </w:cols>
          <w:pgMar w:left="240" w:top="141" w:right="1440" w:bottom="102" w:gutter="0" w:footer="0" w:header="0"/>
        </w:sectPr>
      </w:pPr>
    </w:p>
    <w:bookmarkStart w:id="20" w:name="page21"/>
    <w:bookmarkEnd w:id="20"/>
    <w:p>
      <w:pPr>
        <w:ind w:left="346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190500</wp:posOffset>
            </wp:positionV>
            <wp:extent cx="729361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Part II. Other Information</w:t>
      </w:r>
    </w:p>
    <w:p>
      <w:pPr>
        <w:spacing w:after="0" w:line="34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b w:val="1"/>
          <w:bCs w:val="1"/>
          <w:color w:val="auto"/>
        </w:rPr>
        <w:t>Item 1.</w:t>
      </w:r>
      <w:r>
        <w:rPr>
          <w:sz w:val="20"/>
          <w:szCs w:val="20"/>
          <w:color w:val="auto"/>
        </w:rPr>
        <w:tab/>
      </w:r>
      <w:r>
        <w:rPr>
          <w:rFonts w:ascii="Courier New" w:cs="Courier New" w:eastAsia="Courier New" w:hAnsi="Courier New"/>
          <w:sz w:val="14"/>
          <w:szCs w:val="14"/>
          <w:b w:val="1"/>
          <w:bCs w:val="1"/>
          <w:color w:val="auto"/>
        </w:rPr>
        <w:t>Legal Proceedings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b w:val="1"/>
          <w:bCs w:val="1"/>
          <w:color w:val="auto"/>
        </w:rPr>
        <w:t>Item 2.</w:t>
      </w:r>
      <w:r>
        <w:rPr>
          <w:sz w:val="20"/>
          <w:szCs w:val="20"/>
          <w:color w:val="auto"/>
        </w:rPr>
        <w:tab/>
      </w:r>
      <w:r>
        <w:rPr>
          <w:rFonts w:ascii="Courier New" w:cs="Courier New" w:eastAsia="Courier New" w:hAnsi="Courier New"/>
          <w:sz w:val="14"/>
          <w:szCs w:val="14"/>
          <w:b w:val="1"/>
          <w:bCs w:val="1"/>
          <w:color w:val="auto"/>
        </w:rPr>
        <w:t>Change in Securities and Use of Proceeds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b w:val="1"/>
          <w:bCs w:val="1"/>
          <w:color w:val="auto"/>
        </w:rPr>
        <w:t>Item 3.</w:t>
      </w:r>
      <w:r>
        <w:rPr>
          <w:sz w:val="20"/>
          <w:szCs w:val="20"/>
          <w:color w:val="auto"/>
        </w:rPr>
        <w:tab/>
      </w:r>
      <w:r>
        <w:rPr>
          <w:rFonts w:ascii="Courier New" w:cs="Courier New" w:eastAsia="Courier New" w:hAnsi="Courier New"/>
          <w:sz w:val="14"/>
          <w:szCs w:val="14"/>
          <w:b w:val="1"/>
          <w:bCs w:val="1"/>
          <w:color w:val="auto"/>
        </w:rPr>
        <w:t>Defaults upon Senior Securities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b w:val="1"/>
          <w:bCs w:val="1"/>
          <w:color w:val="auto"/>
        </w:rPr>
        <w:t>Item 4.</w:t>
      </w:r>
      <w:r>
        <w:rPr>
          <w:sz w:val="20"/>
          <w:szCs w:val="20"/>
          <w:color w:val="auto"/>
        </w:rPr>
        <w:tab/>
      </w:r>
      <w:r>
        <w:rPr>
          <w:rFonts w:ascii="Courier New" w:cs="Courier New" w:eastAsia="Courier New" w:hAnsi="Courier New"/>
          <w:sz w:val="14"/>
          <w:szCs w:val="14"/>
          <w:b w:val="1"/>
          <w:bCs w:val="1"/>
          <w:color w:val="auto"/>
        </w:rPr>
        <w:t>Other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b w:val="1"/>
          <w:bCs w:val="1"/>
          <w:color w:val="auto"/>
        </w:rPr>
        <w:t>Item 5.</w:t>
      </w:r>
      <w:r>
        <w:rPr>
          <w:sz w:val="20"/>
          <w:szCs w:val="20"/>
          <w:color w:val="auto"/>
        </w:rPr>
        <w:tab/>
      </w:r>
      <w:r>
        <w:rPr>
          <w:rFonts w:ascii="Courier New" w:cs="Courier New" w:eastAsia="Courier New" w:hAnsi="Courier New"/>
          <w:sz w:val="14"/>
          <w:szCs w:val="14"/>
          <w:b w:val="1"/>
          <w:bCs w:val="1"/>
          <w:color w:val="auto"/>
        </w:rPr>
        <w:t>Exhibits and Reports on Form 8-K.</w:t>
      </w:r>
    </w:p>
    <w:p>
      <w:pPr>
        <w:spacing w:after="0" w:line="171" w:lineRule="exact"/>
        <w:rPr>
          <w:sz w:val="20"/>
          <w:szCs w:val="20"/>
          <w:color w:val="auto"/>
        </w:rPr>
      </w:pPr>
    </w:p>
    <w:p>
      <w:pPr>
        <w:ind w:left="880" w:hanging="445"/>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by Item 601 of Regulation S-K</w:t>
      </w:r>
    </w:p>
    <w:p>
      <w:pPr>
        <w:spacing w:after="0" w:line="174" w:lineRule="exact"/>
        <w:rPr>
          <w:sz w:val="20"/>
          <w:szCs w:val="20"/>
          <w:color w:val="auto"/>
        </w:rPr>
      </w:pPr>
    </w:p>
    <w:p>
      <w:pPr>
        <w:ind w:left="880" w:right="3399" w:hanging="443"/>
        <w:spacing w:after="0" w:line="238" w:lineRule="auto"/>
        <w:rPr>
          <w:sz w:val="20"/>
          <w:szCs w:val="20"/>
          <w:color w:val="auto"/>
        </w:rPr>
      </w:pPr>
      <w:r>
        <w:rPr>
          <w:rFonts w:ascii="Courier New" w:cs="Courier New" w:eastAsia="Courier New" w:hAnsi="Courier New"/>
          <w:sz w:val="15"/>
          <w:szCs w:val="15"/>
          <w:color w:val="auto"/>
        </w:rPr>
        <w:t>31.1 Certification of Chief Executive Officer pursuant to Section 302 of Sarbanes-Oxley Act.</w:t>
      </w:r>
    </w:p>
    <w:p>
      <w:pPr>
        <w:spacing w:after="0" w:line="175" w:lineRule="exact"/>
        <w:rPr>
          <w:sz w:val="20"/>
          <w:szCs w:val="20"/>
          <w:color w:val="auto"/>
        </w:rPr>
      </w:pPr>
    </w:p>
    <w:p>
      <w:pPr>
        <w:ind w:left="880" w:right="3399" w:hanging="443"/>
        <w:spacing w:after="0" w:line="238" w:lineRule="auto"/>
        <w:rPr>
          <w:sz w:val="20"/>
          <w:szCs w:val="20"/>
          <w:color w:val="auto"/>
        </w:rPr>
      </w:pPr>
      <w:r>
        <w:rPr>
          <w:rFonts w:ascii="Courier New" w:cs="Courier New" w:eastAsia="Courier New" w:hAnsi="Courier New"/>
          <w:sz w:val="15"/>
          <w:szCs w:val="15"/>
          <w:color w:val="auto"/>
        </w:rPr>
        <w:t>31.2 Certification of Chief Financial Officer pursuant to Section 302 of Sarbanes-Oxley Act.</w:t>
      </w:r>
    </w:p>
    <w:p>
      <w:pPr>
        <w:spacing w:after="0" w:line="175" w:lineRule="exact"/>
        <w:rPr>
          <w:sz w:val="20"/>
          <w:szCs w:val="20"/>
          <w:color w:val="auto"/>
        </w:rPr>
      </w:pPr>
    </w:p>
    <w:p>
      <w:pPr>
        <w:ind w:left="880" w:right="3399" w:hanging="443"/>
        <w:spacing w:after="0" w:line="238" w:lineRule="auto"/>
        <w:rPr>
          <w:sz w:val="20"/>
          <w:szCs w:val="20"/>
          <w:color w:val="auto"/>
        </w:rPr>
      </w:pPr>
      <w:r>
        <w:rPr>
          <w:rFonts w:ascii="Courier New" w:cs="Courier New" w:eastAsia="Courier New" w:hAnsi="Courier New"/>
          <w:sz w:val="15"/>
          <w:szCs w:val="15"/>
          <w:color w:val="auto"/>
        </w:rPr>
        <w:t>32.1 Certification of Chief Executive Officer pursuant to Section 906 of Sarbanes-Oxley Act.</w:t>
      </w:r>
    </w:p>
    <w:p>
      <w:pPr>
        <w:spacing w:after="0" w:line="175" w:lineRule="exact"/>
        <w:rPr>
          <w:sz w:val="20"/>
          <w:szCs w:val="20"/>
          <w:color w:val="auto"/>
        </w:rPr>
      </w:pPr>
    </w:p>
    <w:p>
      <w:pPr>
        <w:ind w:left="880" w:right="3399" w:hanging="443"/>
        <w:spacing w:after="0" w:line="238" w:lineRule="auto"/>
        <w:rPr>
          <w:sz w:val="20"/>
          <w:szCs w:val="20"/>
          <w:color w:val="auto"/>
        </w:rPr>
      </w:pPr>
      <w:r>
        <w:rPr>
          <w:rFonts w:ascii="Courier New" w:cs="Courier New" w:eastAsia="Courier New" w:hAnsi="Courier New"/>
          <w:sz w:val="15"/>
          <w:szCs w:val="15"/>
          <w:color w:val="auto"/>
        </w:rPr>
        <w:t>32.2 Certification of Chief Financial Officer pursuant to Section 906 of Sarbanes-Oxley Act.</w:t>
      </w:r>
    </w:p>
    <w:p>
      <w:pPr>
        <w:spacing w:after="0" w:line="343" w:lineRule="exact"/>
        <w:rPr>
          <w:sz w:val="20"/>
          <w:szCs w:val="20"/>
          <w:color w:val="auto"/>
        </w:rPr>
      </w:pPr>
    </w:p>
    <w:p>
      <w:pPr>
        <w:ind w:left="880" w:hanging="445"/>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ind w:left="880"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furnished a Form 8-K, in response to Items 12 and 7, on July 29, 2003 announcing its second quarter 2003 earnings.</w:t>
      </w:r>
    </w:p>
    <w:p>
      <w:pPr>
        <w:spacing w:after="0" w:line="174" w:lineRule="exact"/>
        <w:rPr>
          <w:rFonts w:ascii="Courier New" w:cs="Courier New" w:eastAsia="Courier New" w:hAnsi="Courier New"/>
          <w:sz w:val="15"/>
          <w:szCs w:val="15"/>
          <w:color w:val="auto"/>
        </w:rPr>
      </w:pPr>
    </w:p>
    <w:p>
      <w:pPr>
        <w:ind w:left="880"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in response to Item 4, on August 25, 2003 announcing the dismissal of KPMG LLP as the Company's independent auditors, following approval by the Audit Committee of the Company's Board of Directors.</w:t>
      </w:r>
    </w:p>
    <w:p>
      <w:pPr>
        <w:spacing w:after="0" w:line="176" w:lineRule="exact"/>
        <w:rPr>
          <w:rFonts w:ascii="Courier New" w:cs="Courier New" w:eastAsia="Courier New" w:hAnsi="Courier New"/>
          <w:sz w:val="15"/>
          <w:szCs w:val="15"/>
          <w:color w:val="auto"/>
        </w:rPr>
      </w:pPr>
    </w:p>
    <w:p>
      <w:pPr>
        <w:ind w:left="880"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an amended Form 8-K, in response to Items 4 and 7, on August 26, 2003 to file the letter from KPMG to the Securities and Exchange Commission.</w:t>
      </w:r>
    </w:p>
    <w:p>
      <w:pPr>
        <w:spacing w:after="0" w:line="175" w:lineRule="exact"/>
        <w:rPr>
          <w:rFonts w:ascii="Courier New" w:cs="Courier New" w:eastAsia="Courier New" w:hAnsi="Courier New"/>
          <w:sz w:val="15"/>
          <w:szCs w:val="15"/>
          <w:color w:val="auto"/>
        </w:rPr>
      </w:pPr>
    </w:p>
    <w:p>
      <w:pPr>
        <w:ind w:left="880"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in response to Item 4, on August 26, 2003 announcing the appointment of PricewaterhouseCooopers LLP to serve as the Company's independent auditors for the year ending December 31, 2003, following approval by the Audit Committee of the Company's Board of Directors.</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190500</wp:posOffset>
            </wp:positionV>
            <wp:extent cx="729361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b w:val="1"/>
          <w:bCs w:val="1"/>
          <w:color w:val="auto"/>
        </w:rPr>
        <w:t>SIGNATURES</w:t>
      </w:r>
    </w:p>
    <w:p>
      <w:pPr>
        <w:spacing w:after="0" w:line="345" w:lineRule="exact"/>
        <w:rPr>
          <w:sz w:val="20"/>
          <w:szCs w:val="20"/>
          <w:color w:val="auto"/>
        </w:rPr>
      </w:pPr>
    </w:p>
    <w:p>
      <w:pPr>
        <w:jc w:val="both"/>
        <w:ind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4"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NN, Inc.</w:t>
      </w:r>
    </w:p>
    <w:p>
      <w:pPr>
        <w:spacing w:after="0" w:line="171"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(Registrant)</w:t>
      </w:r>
    </w:p>
    <w:p>
      <w:pPr>
        <w:sectPr>
          <w:pgSz w:w="11900" w:h="16839" w:orient="portrait"/>
          <w:cols w:equalWidth="0" w:num="1">
            <w:col w:w="10219"/>
          </w:cols>
          <w:pgMar w:left="240" w:top="309" w:right="1440" w:bottom="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30, 2004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 Roderick R. Baty</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Roderick R. Baty,</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Chairman, President and</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Executive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(Duly Authorized Officer)</w:t>
      </w:r>
    </w:p>
    <w:p>
      <w:pPr>
        <w:spacing w:after="0" w:line="200" w:lineRule="exact"/>
        <w:rPr>
          <w:sz w:val="20"/>
          <w:szCs w:val="20"/>
          <w:color w:val="auto"/>
        </w:rPr>
      </w:pPr>
    </w:p>
    <w:p>
      <w:pPr>
        <w:sectPr>
          <w:pgSz w:w="11900" w:h="16839" w:orient="portrait"/>
          <w:cols w:equalWidth="0" w:num="3">
            <w:col w:w="440" w:space="340"/>
            <w:col w:w="3100" w:space="720"/>
            <w:col w:w="5619"/>
          </w:cols>
          <w:pgMar w:left="240" w:top="309" w:right="1440" w:bottom="0" w:gutter="0" w:footer="0" w:header="0"/>
          <w:type w:val="continuous"/>
        </w:sectPr>
      </w:pP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30, 2004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L. Dyckman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9" w:orient="portrait"/>
          <w:cols w:equalWidth="0" w:num="3">
            <w:col w:w="440" w:space="340"/>
            <w:col w:w="3200" w:space="720"/>
            <w:col w:w="5519"/>
          </w:cols>
          <w:pgMar w:left="240" w:top="309" w:right="1440" w:bottom="0" w:gutter="0" w:footer="0" w:header="0"/>
          <w:type w:val="continuous"/>
        </w:sectPr>
      </w:pPr>
    </w:p>
    <w:bookmarkStart w:id="21" w:name="page22"/>
    <w:bookmarkEnd w:id="21"/>
    <w:p>
      <w:pPr>
        <w:ind w:left="4960"/>
        <w:spacing w:after="0"/>
        <w:rPr>
          <w:sz w:val="20"/>
          <w:szCs w:val="20"/>
          <w:color w:val="auto"/>
        </w:rPr>
      </w:pPr>
      <w:r>
        <w:rPr>
          <w:rFonts w:ascii="Courier New" w:cs="Courier New" w:eastAsia="Courier New" w:hAnsi="Courier New"/>
          <w:sz w:val="15"/>
          <w:szCs w:val="15"/>
          <w:color w:val="auto"/>
        </w:rPr>
        <w:t>David L. Dyckman</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Vice President - Corporate Development</w:t>
      </w:r>
    </w:p>
    <w:p>
      <w:pPr>
        <w:spacing w:after="0" w:line="9"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Chief Financial Officer</w:t>
      </w:r>
    </w:p>
    <w:p>
      <w:pPr>
        <w:spacing w:after="0" w:line="1"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(Principal Financial Officer)</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(Duly Authorized Officer)</w:t>
      </w:r>
    </w:p>
    <w:p>
      <w:pPr>
        <w:sectPr>
          <w:pgSz w:w="11900" w:h="16838" w:orient="portrait"/>
          <w:cols w:equalWidth="0" w:num="1">
            <w:col w:w="10219"/>
          </w:cols>
          <w:pgMar w:left="240" w:top="139"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30, 2004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 William C. Kelly, Jr.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William C. Kelly, Jr.,</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Treasurer, Secretary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Chief Administrative Officer</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(Duly Authorized Officer)</w:t>
      </w:r>
    </w:p>
    <w:p>
      <w:pPr>
        <w:sectPr>
          <w:pgSz w:w="11900" w:h="16838" w:orient="portrait"/>
          <w:cols w:equalWidth="0" w:num="3">
            <w:col w:w="440" w:space="340"/>
            <w:col w:w="3100" w:space="720"/>
            <w:col w:w="5619"/>
          </w:cols>
          <w:pgMar w:left="240" w:top="139" w:right="1440" w:bottom="1440" w:gutter="0" w:footer="0" w:header="0"/>
          <w:type w:val="continuous"/>
        </w:sectPr>
      </w:pPr>
    </w:p>
    <w:bookmarkStart w:id="22" w:name="page23"/>
    <w:bookmarkEnd w:id="22"/>
    <w:p>
      <w:pPr>
        <w:ind w:left="4980"/>
        <w:spacing w:after="0"/>
        <w:rPr>
          <w:sz w:val="20"/>
          <w:szCs w:val="20"/>
          <w:color w:val="auto"/>
        </w:rPr>
      </w:pPr>
      <w:r>
        <w:rPr>
          <w:rFonts w:ascii="Courier New" w:cs="Courier New" w:eastAsia="Courier New" w:hAnsi="Courier New"/>
          <w:sz w:val="15"/>
          <w:szCs w:val="15"/>
          <w:color w:val="auto"/>
        </w:rPr>
        <w:t>Exhibit 31.1</w:t>
      </w:r>
    </w:p>
    <w:p>
      <w:pPr>
        <w:spacing w:after="0" w:line="171"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b w:val="1"/>
          <w:bCs w:val="1"/>
          <w:color w:val="auto"/>
        </w:rPr>
        <w:t>CERTIFICATIONS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Roderick R. Baty, certify that:</w:t>
      </w:r>
    </w:p>
    <w:p>
      <w:pPr>
        <w:spacing w:after="0" w:line="171" w:lineRule="exact"/>
        <w:rPr>
          <w:sz w:val="20"/>
          <w:szCs w:val="20"/>
          <w:color w:val="auto"/>
        </w:rPr>
      </w:pPr>
    </w:p>
    <w:p>
      <w:pPr>
        <w:ind w:left="360" w:hanging="262"/>
        <w:spacing w:after="0"/>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NN, Inc.;</w:t>
      </w:r>
    </w:p>
    <w:p>
      <w:pPr>
        <w:spacing w:after="0" w:line="174" w:lineRule="exact"/>
        <w:rPr>
          <w:rFonts w:ascii="Courier New" w:cs="Courier New" w:eastAsia="Courier New" w:hAnsi="Courier New"/>
          <w:sz w:val="15"/>
          <w:szCs w:val="15"/>
          <w:color w:val="auto"/>
        </w:rPr>
      </w:pPr>
    </w:p>
    <w:p>
      <w:pPr>
        <w:ind w:left="-340" w:right="3219" w:firstLine="438"/>
        <w:spacing w:after="0"/>
        <w:tabs>
          <w:tab w:leader="none" w:pos="3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Courier New" w:cs="Courier New" w:eastAsia="Courier New" w:hAnsi="Courier New"/>
          <w:sz w:val="15"/>
          <w:szCs w:val="15"/>
          <w:color w:val="auto"/>
        </w:rPr>
      </w:pPr>
    </w:p>
    <w:p>
      <w:pPr>
        <w:ind w:left="-340" w:right="3299" w:firstLine="438"/>
        <w:spacing w:after="0"/>
        <w:tabs>
          <w:tab w:leader="none" w:pos="3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Courier New" w:cs="Courier New" w:eastAsia="Courier New" w:hAnsi="Courier New"/>
          <w:sz w:val="15"/>
          <w:szCs w:val="15"/>
          <w:color w:val="auto"/>
        </w:rPr>
      </w:pPr>
    </w:p>
    <w:p>
      <w:pPr>
        <w:ind w:left="-340" w:right="3299" w:firstLine="438"/>
        <w:spacing w:after="0" w:line="239" w:lineRule="auto"/>
        <w:tabs>
          <w:tab w:leader="none" w:pos="3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sz w:val="20"/>
          <w:szCs w:val="20"/>
          <w:color w:val="auto"/>
        </w:rPr>
      </w:pPr>
    </w:p>
    <w:p>
      <w:pPr>
        <w:ind w:left="540" w:right="3219" w:hanging="442"/>
        <w:spacing w:after="0"/>
        <w:tabs>
          <w:tab w:leader="none" w:pos="5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540" w:right="3399" w:hanging="442"/>
        <w:spacing w:after="0"/>
        <w:tabs>
          <w:tab w:leader="none" w:pos="5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74" w:lineRule="exact"/>
        <w:rPr>
          <w:rFonts w:ascii="Courier New" w:cs="Courier New" w:eastAsia="Courier New" w:hAnsi="Courier New"/>
          <w:sz w:val="15"/>
          <w:szCs w:val="15"/>
          <w:color w:val="auto"/>
        </w:rPr>
      </w:pPr>
    </w:p>
    <w:p>
      <w:pPr>
        <w:ind w:left="540" w:right="3219" w:hanging="442"/>
        <w:spacing w:after="0"/>
        <w:tabs>
          <w:tab w:leader="none" w:pos="5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right="3399" w:firstLine="438"/>
        <w:spacing w:after="0"/>
        <w:tabs>
          <w:tab w:leader="none" w:pos="3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left="540" w:right="3219" w:hanging="442"/>
        <w:spacing w:after="0"/>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Courier New" w:cs="Courier New" w:eastAsia="Courier New" w:hAnsi="Courier New"/>
          <w:sz w:val="15"/>
          <w:szCs w:val="15"/>
          <w:color w:val="auto"/>
        </w:rPr>
      </w:pPr>
    </w:p>
    <w:p>
      <w:pPr>
        <w:jc w:val="both"/>
        <w:ind w:left="540" w:right="3299" w:hanging="442"/>
        <w:spacing w:after="0" w:line="239"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January 30, 2004</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 Roderick R. Baty</w:t>
      </w:r>
    </w:p>
    <w:p>
      <w:pPr>
        <w:spacing w:after="0" w:line="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Roderick R. Baty</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Chairman, President and</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9439"/>
          </w:cols>
          <w:pgMar w:left="1020" w:top="480" w:right="1440" w:bottom="1440" w:gutter="0" w:footer="0" w:header="0"/>
        </w:sectPr>
      </w:pPr>
    </w:p>
    <w:bookmarkStart w:id="23" w:name="page24"/>
    <w:bookmarkEnd w:id="23"/>
    <w:p>
      <w:pPr>
        <w:ind w:left="4800"/>
        <w:spacing w:after="0"/>
        <w:rPr>
          <w:sz w:val="20"/>
          <w:szCs w:val="20"/>
          <w:color w:val="auto"/>
        </w:rPr>
      </w:pPr>
      <w:r>
        <w:rPr>
          <w:rFonts w:ascii="Courier New" w:cs="Courier New" w:eastAsia="Courier New" w:hAnsi="Courier New"/>
          <w:sz w:val="15"/>
          <w:szCs w:val="15"/>
          <w:color w:val="auto"/>
        </w:rPr>
        <w:t>Exhibit 31.2</w:t>
      </w:r>
    </w:p>
    <w:p>
      <w:pPr>
        <w:spacing w:after="0" w:line="171"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b w:val="1"/>
          <w:bCs w:val="1"/>
          <w:color w:val="auto"/>
        </w:rPr>
        <w:t>CERTIFICATIONS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David L. Dyckman, certify that:</w:t>
      </w:r>
    </w:p>
    <w:p>
      <w:pPr>
        <w:spacing w:after="0" w:line="171" w:lineRule="exact"/>
        <w:rPr>
          <w:sz w:val="20"/>
          <w:szCs w:val="20"/>
          <w:color w:val="auto"/>
        </w:rPr>
      </w:pPr>
    </w:p>
    <w:p>
      <w:pPr>
        <w:ind w:left="360" w:hanging="262"/>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NN, Inc.;</w:t>
      </w:r>
    </w:p>
    <w:p>
      <w:pPr>
        <w:spacing w:after="0" w:line="174" w:lineRule="exact"/>
        <w:rPr>
          <w:rFonts w:ascii="Courier New" w:cs="Courier New" w:eastAsia="Courier New" w:hAnsi="Courier New"/>
          <w:sz w:val="15"/>
          <w:szCs w:val="15"/>
          <w:color w:val="auto"/>
        </w:rPr>
      </w:pPr>
    </w:p>
    <w:p>
      <w:pPr>
        <w:ind w:left="-340" w:right="3219" w:firstLine="438"/>
        <w:spacing w:after="0"/>
        <w:tabs>
          <w:tab w:leader="none" w:pos="3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Courier New" w:cs="Courier New" w:eastAsia="Courier New" w:hAnsi="Courier New"/>
          <w:sz w:val="15"/>
          <w:szCs w:val="15"/>
          <w:color w:val="auto"/>
        </w:rPr>
      </w:pPr>
    </w:p>
    <w:p>
      <w:pPr>
        <w:ind w:left="-340" w:right="3299" w:firstLine="438"/>
        <w:spacing w:after="0"/>
        <w:tabs>
          <w:tab w:leader="none" w:pos="3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Courier New" w:cs="Courier New" w:eastAsia="Courier New" w:hAnsi="Courier New"/>
          <w:sz w:val="15"/>
          <w:szCs w:val="15"/>
          <w:color w:val="auto"/>
        </w:rPr>
      </w:pPr>
    </w:p>
    <w:p>
      <w:pPr>
        <w:ind w:left="-340" w:right="3299" w:firstLine="438"/>
        <w:spacing w:after="0" w:line="239" w:lineRule="auto"/>
        <w:tabs>
          <w:tab w:leader="none" w:pos="3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sz w:val="20"/>
          <w:szCs w:val="20"/>
          <w:color w:val="auto"/>
        </w:rPr>
      </w:pPr>
    </w:p>
    <w:p>
      <w:pPr>
        <w:ind w:left="540" w:right="3219" w:hanging="442"/>
        <w:spacing w:after="0"/>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540" w:right="3399" w:hanging="442"/>
        <w:spacing w:after="0"/>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74" w:lineRule="exact"/>
        <w:rPr>
          <w:rFonts w:ascii="Courier New" w:cs="Courier New" w:eastAsia="Courier New" w:hAnsi="Courier New"/>
          <w:sz w:val="15"/>
          <w:szCs w:val="15"/>
          <w:color w:val="auto"/>
        </w:rPr>
      </w:pPr>
    </w:p>
    <w:p>
      <w:pPr>
        <w:ind w:left="540" w:right="3219" w:hanging="442"/>
        <w:spacing w:after="0"/>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right="3399" w:firstLine="438"/>
        <w:spacing w:after="0"/>
        <w:tabs>
          <w:tab w:leader="none" w:pos="3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left="540" w:right="3219" w:hanging="442"/>
        <w:spacing w:after="0"/>
        <w:tabs>
          <w:tab w:leader="none" w:pos="5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sz w:val="20"/>
          <w:szCs w:val="20"/>
          <w:color w:val="auto"/>
        </w:rPr>
      </w:pPr>
    </w:p>
    <w:p>
      <w:pPr>
        <w:jc w:val="both"/>
        <w:ind w:left="540" w:right="3299" w:hanging="442"/>
        <w:spacing w:after="0" w:line="239"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January 30, 2004</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 David L. Dyckman</w:t>
      </w:r>
    </w:p>
    <w:p>
      <w:pPr>
        <w:spacing w:after="0" w:line="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David L. Dyckman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1">
            <w:col w:w="9439"/>
          </w:cols>
          <w:pgMar w:left="1020" w:top="139" w:right="1440" w:bottom="1440" w:gutter="0" w:footer="0" w:header="0"/>
        </w:sectPr>
      </w:pPr>
    </w:p>
    <w:bookmarkStart w:id="24" w:name="page25"/>
    <w:bookmarkEnd w:id="24"/>
    <w:p>
      <w:pPr>
        <w:ind w:left="5940"/>
        <w:spacing w:after="0"/>
        <w:rPr>
          <w:sz w:val="20"/>
          <w:szCs w:val="20"/>
          <w:color w:val="auto"/>
        </w:rPr>
      </w:pPr>
      <w:r>
        <w:rPr>
          <w:rFonts w:ascii="Courier New" w:cs="Courier New" w:eastAsia="Courier New" w:hAnsi="Courier New"/>
          <w:sz w:val="15"/>
          <w:szCs w:val="15"/>
          <w:color w:val="auto"/>
        </w:rPr>
        <w:t>Exhibit 32.1</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CERTIFICATION OF CHIEF EXECUTIVE OFFICER PURSUANT</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TO SECTION 906 OF THE SARBANES-OXLEY ACT OF 2002</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 connection with the Quarterly Report of NN, Inc. (the "Company") on Form 10-Q for the interim period ended September 30, 2003,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19"/>
          </w:cols>
          <w:pgMar w:left="240" w:top="480" w:right="1440" w:bottom="1440" w:gutter="0" w:footer="0" w:header="0"/>
        </w:sect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30, 2004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Roderick R. Baty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Roderick R. Baty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 Chief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w:t>
      </w:r>
    </w:p>
    <w:p>
      <w:pPr>
        <w:spacing w:after="0" w:line="200" w:lineRule="exact"/>
        <w:rPr>
          <w:sz w:val="20"/>
          <w:szCs w:val="20"/>
          <w:color w:val="auto"/>
        </w:rPr>
      </w:pPr>
    </w:p>
    <w:p>
      <w:pPr>
        <w:sectPr>
          <w:pgSz w:w="11900" w:h="16838" w:orient="portrait"/>
          <w:cols w:equalWidth="0" w:num="3">
            <w:col w:w="440" w:space="180"/>
            <w:col w:w="3000" w:space="720"/>
            <w:col w:w="5879"/>
          </w:cols>
          <w:pgMar w:left="240" w:top="480" w:right="1440" w:bottom="1440" w:gutter="0" w:footer="0" w:header="0"/>
          <w:type w:val="continuous"/>
        </w:sectPr>
      </w:pPr>
    </w:p>
    <w:p>
      <w:pPr>
        <w:spacing w:after="0" w:line="145" w:lineRule="exact"/>
        <w:rPr>
          <w:sz w:val="20"/>
          <w:szCs w:val="20"/>
          <w:color w:val="auto"/>
        </w:rPr>
      </w:pPr>
    </w:p>
    <w:p>
      <w:pPr>
        <w:ind w:left="440" w:right="3119"/>
        <w:spacing w:after="0" w:line="239"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0219"/>
          </w:cols>
          <w:pgMar w:left="240" w:top="480" w:right="1440" w:bottom="1440" w:gutter="0" w:footer="0" w:header="0"/>
          <w:type w:val="continuous"/>
        </w:sectPr>
      </w:pPr>
    </w:p>
    <w:bookmarkStart w:id="25" w:name="page26"/>
    <w:bookmarkEnd w:id="25"/>
    <w:p>
      <w:pPr>
        <w:ind w:left="5760"/>
        <w:spacing w:after="0"/>
        <w:rPr>
          <w:sz w:val="20"/>
          <w:szCs w:val="20"/>
          <w:color w:val="auto"/>
        </w:rPr>
      </w:pPr>
      <w:r>
        <w:rPr>
          <w:rFonts w:ascii="Courier New" w:cs="Courier New" w:eastAsia="Courier New" w:hAnsi="Courier New"/>
          <w:sz w:val="15"/>
          <w:szCs w:val="15"/>
          <w:color w:val="auto"/>
        </w:rPr>
        <w:t>Exhibit 32.2</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CERTIFICATION OF CHIEF FINANCIAL OFFICER PURSUANT</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TO SECTION 906 OF THE SARBANES-OXLEY ACT OF 2002</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 connection with the Quarterly Report of NN, Inc. (the "Company") on Form 10-Q for the interim period ended September 30, 2003,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19"/>
          </w:cols>
          <w:pgMar w:left="240" w:top="309" w:right="1440" w:bottom="1440" w:gutter="0" w:footer="0" w:header="0"/>
        </w:sect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30, 2004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L. Dyckman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L. Dyckman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83" w:lineRule="exact"/>
        <w:rPr>
          <w:sz w:val="20"/>
          <w:szCs w:val="20"/>
          <w:color w:val="auto"/>
        </w:rPr>
      </w:pPr>
    </w:p>
    <w:p>
      <w:pPr>
        <w:sectPr>
          <w:pgSz w:w="11900" w:h="16838" w:orient="portrait"/>
          <w:cols w:equalWidth="0" w:num="3">
            <w:col w:w="440" w:space="180"/>
            <w:col w:w="4160" w:space="720"/>
            <w:col w:w="4719"/>
          </w:cols>
          <w:pgMar w:left="240" w:top="309" w:right="1440" w:bottom="1440" w:gutter="0" w:footer="0" w:header="0"/>
          <w:type w:val="continuous"/>
        </w:sectPr>
      </w:pPr>
    </w:p>
    <w:p>
      <w:pPr>
        <w:ind w:right="3399"/>
        <w:spacing w:after="0" w:line="239"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0219"/>
      </w:cols>
      <w:pgMar w:left="240" w:top="30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upperLetter"/>
      <w:start w:val="40"/>
    </w:lvl>
  </w:abstractNum>
  <w:abstractNum w:abstractNumId="5">
    <w:nsid w:val="3352255A"/>
    <w:multiLevelType w:val="hybridMultilevel"/>
    <w:lvl w:ilvl="0">
      <w:lvlJc w:val="left"/>
      <w:lvlText w:val="o"/>
      <w:numFmt w:val="bullet"/>
      <w:start w:val="1"/>
    </w:lvl>
  </w:abstractNum>
  <w:abstractNum w:abstractNumId="6">
    <w:nsid w:val="109CF92E"/>
    <w:multiLevelType w:val="hybridMultilevel"/>
    <w:lvl w:ilvl="0">
      <w:lvlJc w:val="left"/>
      <w:lvlText w:val="o"/>
      <w:numFmt w:val="bullet"/>
      <w:start w:val="1"/>
    </w:lvl>
  </w:abstractNum>
  <w:abstractNum w:abstractNumId="7">
    <w:nsid w:val="DED7263"/>
    <w:multiLevelType w:val="hybridMultilevel"/>
    <w:lvl w:ilvl="0">
      <w:lvlJc w:val="left"/>
      <w:lvlText w:val="o"/>
      <w:numFmt w:val="bullet"/>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2"/>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5"/>
    </w:lvl>
  </w:abstractNum>
  <w:abstractNum w:abstractNumId="18">
    <w:nsid w:val="257130A3"/>
    <w:multiLevelType w:val="hybridMultilevel"/>
    <w:lvl w:ilvl="0">
      <w:lvlJc w:val="left"/>
      <w:lvlText w:val="(%1)"/>
      <w:numFmt w:val="lowerLetter"/>
      <w:start w:val="4"/>
    </w:lvl>
  </w:abstractNum>
  <w:abstractNum w:abstractNumId="19">
    <w:nsid w:val="62BBD9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2019-12-11T22:54:24Z</dcterms:created>
  <dcterms:modified xsi:type="dcterms:W3CDTF">2019-12-11T22:54:24Z</dcterms:modified>
</cp:coreProperties>
</file>