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gridSpan w:val="2"/>
          </w:tcPr>
          <w:p>
            <w:pPr>
              <w:ind w:left="960"/>
              <w:spacing w:after="0"/>
              <w:rPr>
                <w:sz w:val="20"/>
                <w:szCs w:val="20"/>
                <w:color w:val="auto"/>
              </w:rPr>
            </w:pPr>
            <w:r>
              <w:rPr>
                <w:rFonts w:ascii="Courier New" w:cs="Courier New" w:eastAsia="Courier New" w:hAnsi="Courier New"/>
                <w:sz w:val="5"/>
                <w:szCs w:val="5"/>
                <w:color w:val="auto"/>
                <w:w w:val="87"/>
              </w:rPr>
              <w:t>-----------------------------</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736,150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gridSpan w:val="2"/>
          </w:tcPr>
          <w:p>
            <w:pPr>
              <w:ind w:left="960"/>
              <w:spacing w:after="0"/>
              <w:rPr>
                <w:sz w:val="20"/>
                <w:szCs w:val="20"/>
                <w:color w:val="auto"/>
              </w:rPr>
            </w:pPr>
            <w:r>
              <w:rPr>
                <w:rFonts w:ascii="Courier New" w:cs="Courier New" w:eastAsia="Courier New" w:hAnsi="Courier New"/>
                <w:sz w:val="5"/>
                <w:szCs w:val="5"/>
                <w:color w:val="auto"/>
                <w:w w:val="87"/>
              </w:rPr>
              <w:t>-----------------------------</w:t>
            </w:r>
          </w:p>
        </w:tc>
        <w:tc>
          <w:tcPr>
            <w:tcW w:w="184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bl>
    <w:p>
      <w:pPr>
        <w:sectPr>
          <w:pgSz w:w="11900" w:h="16855" w:orient="portrait"/>
          <w:cols w:equalWidth="0" w:num="1">
            <w:col w:w="10219"/>
          </w:cols>
          <w:pgMar w:left="240" w:top="649" w:right="1440" w:bottom="0" w:gutter="0" w:footer="0" w:header="0"/>
        </w:sectPr>
      </w:pPr>
    </w:p>
    <w:bookmarkStart w:id="1" w:name="page2"/>
    <w:bookmarkEnd w:id="1"/>
    <w:p>
      <w:pPr>
        <w:ind w:left="120"/>
        <w:spacing w:after="0"/>
        <w:tabs>
          <w:tab w:leader="none" w:pos="3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4099" w:hanging="626"/>
        <w:spacing w:after="0" w:line="235" w:lineRule="auto"/>
        <w:tabs>
          <w:tab w:leader="none" w:pos="358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1,211,150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1,211,150</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rPr>
          <w:sz w:val="20"/>
          <w:szCs w:val="20"/>
          <w:color w:val="auto"/>
        </w:rPr>
      </w:pPr>
      <w:r>
        <w:rPr>
          <w:rFonts w:ascii="Courier New" w:cs="Courier New" w:eastAsia="Courier New" w:hAnsi="Courier New"/>
          <w:sz w:val="18"/>
          <w:szCs w:val="18"/>
          <w:color w:val="auto"/>
        </w:rPr>
        <w:t>7.94%</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7159" w:hanging="952"/>
        <w:spacing w:after="0" w:line="235" w:lineRule="auto"/>
        <w:tabs>
          <w:tab w:leader="none" w:pos="53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2000 Waters Edge Drive, Building C, Suite 12</w:t>
      </w:r>
    </w:p>
    <w:p>
      <w:pPr>
        <w:ind w:left="17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Johnson City TN</w:t>
        <w:tab/>
        <w:t>37604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 parent holding company or control person in accordance</w:t>
      </w:r>
    </w:p>
    <w:p>
      <w:pPr>
        <w:sectPr>
          <w:pgSz w:w="11900" w:h="16838" w:orient="portrait"/>
          <w:cols w:equalWidth="0" w:num="1">
            <w:col w:w="10219"/>
          </w:cols>
          <w:pgMar w:left="240" w:top="136" w:right="1440" w:bottom="0" w:gutter="0" w:footer="0" w:header="0"/>
        </w:sectPr>
      </w:pPr>
    </w:p>
    <w:bookmarkStart w:id="2" w:name="page3"/>
    <w:bookmarkEnd w:id="2"/>
    <w:p>
      <w:pPr>
        <w:ind w:left="1700"/>
        <w:spacing w:after="0"/>
        <w:tabs>
          <w:tab w:leader="none" w:pos="4940" w:val="left"/>
        </w:tabs>
        <w:rPr>
          <w:sz w:val="20"/>
          <w:szCs w:val="20"/>
          <w:color w:val="auto"/>
        </w:rPr>
      </w:pPr>
      <w:r>
        <w:rPr>
          <w:rFonts w:ascii="Courier New" w:cs="Courier New" w:eastAsia="Courier New" w:hAnsi="Courier New"/>
          <w:sz w:val="18"/>
          <w:szCs w:val="18"/>
          <w:color w:val="auto"/>
        </w:rPr>
        <w:t>with Rule 13d-1(b)(1)(ii)(G);</w:t>
      </w:r>
      <w:r>
        <w:rPr>
          <w:sz w:val="20"/>
          <w:szCs w:val="20"/>
          <w:color w:val="auto"/>
        </w:rPr>
        <w:tab/>
      </w:r>
      <w:r>
        <w:rPr>
          <w:rFonts w:ascii="Courier New" w:cs="Courier New" w:eastAsia="Courier New" w:hAnsi="Courier New"/>
          <w:sz w:val="16"/>
          <w:szCs w:val="16"/>
          <w:color w:val="auto"/>
        </w:rPr>
        <w:t>see item 7;</w:t>
      </w:r>
    </w:p>
    <w:p>
      <w:pPr>
        <w:spacing w:after="0" w:line="207" w:lineRule="exact"/>
        <w:rPr>
          <w:sz w:val="20"/>
          <w:szCs w:val="20"/>
          <w:color w:val="auto"/>
        </w:rPr>
      </w:pPr>
    </w:p>
    <w:p>
      <w:pPr>
        <w:ind w:left="1480" w:right="293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1,211,150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7.94%</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736,150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1,211,150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certification shall be included if the statement</w:t>
      </w:r>
    </w:p>
    <w:p>
      <w:pPr>
        <w:sectPr>
          <w:pgSz w:w="11900" w:h="16838" w:orient="portrait"/>
          <w:cols w:equalWidth="0" w:num="1">
            <w:col w:w="10219"/>
          </w:cols>
          <w:pgMar w:left="240" w:top="136"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is filed pursuant to Rule 13d-1(b):</w:t>
      </w:r>
    </w:p>
    <w:p>
      <w:pPr>
        <w:spacing w:after="0" w:line="207" w:lineRule="exact"/>
        <w:rPr>
          <w:sz w:val="20"/>
          <w:szCs w:val="20"/>
          <w:color w:val="auto"/>
        </w:rPr>
      </w:pPr>
    </w:p>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Assistant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2019-12-11T21:49:02Z</dcterms:created>
  <dcterms:modified xsi:type="dcterms:W3CDTF">2019-12-11T21:49:02Z</dcterms:modified>
</cp:coreProperties>
</file>