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469265</wp:posOffset>
            </wp:positionV>
            <wp:extent cx="7063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494665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116840</wp:posOffset>
            </wp:positionV>
            <wp:extent cx="259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6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142875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2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63500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200660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660" w:type="dxa"/>
        <w:tblCellMar>
          <w:top w:w="0" w:type="dxa"/>
          <w:left w:w="0" w:type="dxa"/>
          <w:bottom w:w="0" w:type="dxa"/>
          <w:right w:w="0" w:type="dxa"/>
        </w:tblCellMar>
      </w:tblPr>
      <w:tr>
        <w:trPr>
          <w:trHeight w:val="392"/>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32"/>
                <w:szCs w:val="32"/>
                <w:b w:val="1"/>
                <w:bCs w:val="1"/>
                <w:color w:val="auto"/>
                <w:w w:val="97"/>
              </w:rPr>
              <w:t>NN, Inc.</w:t>
            </w:r>
          </w:p>
        </w:tc>
        <w:tc>
          <w:tcPr>
            <w:tcW w:w="2920" w:type="dxa"/>
            <w:vAlign w:val="bottom"/>
          </w:tcPr>
          <w:p>
            <w:pPr>
              <w:spacing w:after="0"/>
              <w:rPr>
                <w:sz w:val="24"/>
                <w:szCs w:val="24"/>
                <w:color w:val="auto"/>
              </w:rPr>
            </w:pPr>
          </w:p>
        </w:tc>
      </w:t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920" w:type="dxa"/>
            <w:vAlign w:val="bottom"/>
          </w:tcPr>
          <w:p>
            <w:pPr>
              <w:spacing w:after="0"/>
              <w:rPr>
                <w:sz w:val="18"/>
                <w:szCs w:val="18"/>
                <w:color w:val="auto"/>
              </w:rPr>
            </w:pPr>
          </w:p>
        </w:tc>
      </w:tr>
      <w:tr>
        <w:trPr>
          <w:trHeight w:val="182"/>
        </w:trPr>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311"/>
        </w:trPr>
        <w:tc>
          <w:tcPr>
            <w:tcW w:w="3060" w:type="dxa"/>
            <w:vAlign w:val="bottom"/>
            <w:gridSpan w:val="2"/>
          </w:tcPr>
          <w:p>
            <w:pPr>
              <w:jc w:val="center"/>
              <w:ind w:left="1043"/>
              <w:spacing w:after="0"/>
              <w:rPr>
                <w:sz w:val="20"/>
                <w:szCs w:val="20"/>
                <w:color w:val="auto"/>
              </w:rPr>
            </w:pPr>
            <w:r>
              <w:rPr>
                <w:rFonts w:ascii="Arial" w:cs="Arial" w:eastAsia="Arial" w:hAnsi="Arial"/>
                <w:sz w:val="16"/>
                <w:szCs w:val="16"/>
                <w:b w:val="1"/>
                <w:bCs w:val="1"/>
                <w:color w:val="auto"/>
                <w:w w:val="93"/>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Arial" w:cs="Arial" w:eastAsia="Arial" w:hAnsi="Arial"/>
                <w:sz w:val="16"/>
                <w:szCs w:val="16"/>
                <w:b w:val="1"/>
                <w:bCs w:val="1"/>
                <w:color w:val="auto"/>
                <w:w w:val="93"/>
              </w:rPr>
              <w:t>62-1096725</w:t>
            </w:r>
          </w:p>
        </w:tc>
      </w:tr>
      <w:tr>
        <w:trPr>
          <w:trHeight w:val="172"/>
        </w:trPr>
        <w:tc>
          <w:tcPr>
            <w:tcW w:w="3060" w:type="dxa"/>
            <w:vAlign w:val="bottom"/>
            <w:gridSpan w:val="2"/>
          </w:tcPr>
          <w:p>
            <w:pPr>
              <w:jc w:val="center"/>
              <w:ind w:left="1043"/>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960" w:type="dxa"/>
            <w:vAlign w:val="bottom"/>
          </w:tcPr>
          <w:p>
            <w:pPr>
              <w:spacing w:after="0"/>
              <w:rPr>
                <w:sz w:val="14"/>
                <w:szCs w:val="14"/>
                <w:color w:val="auto"/>
              </w:rPr>
            </w:pPr>
          </w:p>
        </w:tc>
        <w:tc>
          <w:tcPr>
            <w:tcW w:w="2920" w:type="dxa"/>
            <w:vAlign w:val="bottom"/>
          </w:tcPr>
          <w:p>
            <w:pPr>
              <w:jc w:val="center"/>
              <w:ind w:right="1243"/>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7020" w:type="dxa"/>
            <w:vAlign w:val="bottom"/>
            <w:gridSpan w:val="3"/>
          </w:tcPr>
          <w:p>
            <w:pPr>
              <w:jc w:val="center"/>
              <w:ind w:right="2734"/>
              <w:spacing w:after="0"/>
              <w:rPr>
                <w:sz w:val="20"/>
                <w:szCs w:val="20"/>
                <w:color w:val="auto"/>
              </w:rPr>
            </w:pPr>
            <w:r>
              <w:rPr>
                <w:rFonts w:ascii="Arial" w:cs="Arial" w:eastAsia="Arial" w:hAnsi="Arial"/>
                <w:sz w:val="16"/>
                <w:szCs w:val="16"/>
                <w:i w:val="1"/>
                <w:iCs w:val="1"/>
                <w:color w:val="auto"/>
                <w:w w:val="96"/>
              </w:rPr>
              <w:t>incorporation or organization)</w:t>
            </w:r>
          </w:p>
        </w:tc>
        <w:tc>
          <w:tcPr>
            <w:tcW w:w="2920" w:type="dxa"/>
            <w:vAlign w:val="bottom"/>
          </w:tcPr>
          <w:p>
            <w:pPr>
              <w:jc w:val="center"/>
              <w:ind w:right="1243"/>
              <w:spacing w:after="0"/>
              <w:rPr>
                <w:sz w:val="20"/>
                <w:szCs w:val="20"/>
                <w:color w:val="auto"/>
              </w:rPr>
            </w:pPr>
            <w:r>
              <w:rPr>
                <w:rFonts w:ascii="Arial" w:cs="Arial" w:eastAsia="Arial" w:hAnsi="Arial"/>
                <w:sz w:val="16"/>
                <w:szCs w:val="16"/>
                <w:i w:val="1"/>
                <w:iCs w:val="1"/>
                <w:color w:val="auto"/>
                <w:w w:val="94"/>
              </w:rPr>
              <w:t>Identification Number)</w:t>
            </w: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6210 Ardrey Kell Road, Suite 600</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Charlotte, North Carolina 28277</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920" w:type="dxa"/>
            <w:vAlign w:val="bottom"/>
          </w:tcPr>
          <w:p>
            <w:pPr>
              <w:spacing w:after="0"/>
              <w:rPr>
                <w:sz w:val="24"/>
                <w:szCs w:val="24"/>
                <w:color w:val="auto"/>
              </w:rPr>
            </w:pPr>
          </w:p>
        </w:tc>
      </w:tr>
      <w:tr>
        <w:trPr>
          <w:trHeight w:val="24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(980) 264-4300</w:t>
            </w:r>
          </w:p>
        </w:tc>
        <w:tc>
          <w:tcPr>
            <w:tcW w:w="2920" w:type="dxa"/>
            <w:vAlign w:val="bottom"/>
          </w:tcPr>
          <w:p>
            <w:pPr>
              <w:spacing w:after="0"/>
              <w:rPr>
                <w:sz w:val="21"/>
                <w:szCs w:val="21"/>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114"/>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920" w:type="dxa"/>
            <w:vAlign w:val="bottom"/>
          </w:tcPr>
          <w:p>
            <w:pPr>
              <w:spacing w:after="0"/>
              <w:rPr>
                <w:sz w:val="24"/>
                <w:szCs w:val="24"/>
                <w:color w:val="auto"/>
              </w:rPr>
            </w:pPr>
          </w:p>
        </w:tc>
      </w:tr>
      <w:tr>
        <w:trPr>
          <w:trHeight w:val="250"/>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20" w:type="dxa"/>
            <w:vAlign w:val="bottom"/>
          </w:tcPr>
          <w:p>
            <w:pPr>
              <w:spacing w:after="0"/>
              <w:rPr>
                <w:sz w:val="21"/>
                <w:szCs w:val="21"/>
                <w:color w:val="auto"/>
              </w:rPr>
            </w:pPr>
          </w:p>
        </w:tc>
      </w:tr>
      <w:tr>
        <w:trPr>
          <w:trHeight w:val="189"/>
        </w:trPr>
        <w:tc>
          <w:tcPr>
            <w:tcW w:w="306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w w:val="92"/>
              </w:rPr>
              <w:t>Title of each class</w:t>
            </w:r>
          </w:p>
        </w:tc>
        <w:tc>
          <w:tcPr>
            <w:tcW w:w="3960" w:type="dxa"/>
            <w:vAlign w:val="bottom"/>
          </w:tcPr>
          <w:p>
            <w:pPr>
              <w:jc w:val="center"/>
              <w:ind w:right="14"/>
              <w:spacing w:after="0"/>
              <w:rPr>
                <w:sz w:val="20"/>
                <w:szCs w:val="20"/>
                <w:color w:val="auto"/>
              </w:rPr>
            </w:pPr>
            <w:r>
              <w:rPr>
                <w:rFonts w:ascii="Arial" w:cs="Arial" w:eastAsia="Arial" w:hAnsi="Arial"/>
                <w:sz w:val="14"/>
                <w:szCs w:val="14"/>
                <w:i w:val="1"/>
                <w:iCs w:val="1"/>
                <w:color w:val="auto"/>
                <w:w w:val="94"/>
              </w:rPr>
              <w:t>Trading symbol</w:t>
            </w:r>
          </w:p>
        </w:tc>
        <w:tc>
          <w:tcPr>
            <w:tcW w:w="2920" w:type="dxa"/>
            <w:vAlign w:val="bottom"/>
          </w:tcPr>
          <w:p>
            <w:pPr>
              <w:jc w:val="center"/>
              <w:ind w:left="303"/>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189"/>
        </w:trPr>
        <w:tc>
          <w:tcPr>
            <w:tcW w:w="3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960" w:type="dxa"/>
            <w:vAlign w:val="bottom"/>
          </w:tcPr>
          <w:p>
            <w:pPr>
              <w:jc w:val="center"/>
              <w:ind w:right="14"/>
              <w:spacing w:after="0"/>
              <w:rPr>
                <w:sz w:val="20"/>
                <w:szCs w:val="20"/>
                <w:color w:val="auto"/>
              </w:rPr>
            </w:pPr>
            <w:r>
              <w:rPr>
                <w:rFonts w:ascii="Arial" w:cs="Arial" w:eastAsia="Arial" w:hAnsi="Arial"/>
                <w:sz w:val="14"/>
                <w:szCs w:val="14"/>
                <w:b w:val="1"/>
                <w:bCs w:val="1"/>
                <w:color w:val="auto"/>
              </w:rPr>
              <w:t>NNBR</w:t>
            </w:r>
          </w:p>
        </w:tc>
        <w:tc>
          <w:tcPr>
            <w:tcW w:w="2920" w:type="dxa"/>
            <w:vAlign w:val="bottom"/>
          </w:tcPr>
          <w:p>
            <w:pPr>
              <w:jc w:val="center"/>
              <w:ind w:left="303"/>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96"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70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during the preceding 12 months (or for such shorter period that the registrant was required to submit such files).  Yes </w:t>
            </w:r>
            <w:r>
              <w:rPr>
                <w:rFonts w:ascii="MS PGothic" w:cs="MS PGothic" w:eastAsia="MS PGothic" w:hAnsi="MS PGothic"/>
                <w:sz w:val="14"/>
                <w:szCs w:val="14"/>
                <w:color w:val="auto"/>
                <w:w w:val="95"/>
              </w:rPr>
              <w:t>☒</w:t>
            </w:r>
          </w:p>
        </w:tc>
        <w:tc>
          <w:tcPr>
            <w:tcW w:w="37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80" w:type="dxa"/>
            <w:vAlign w:val="bottom"/>
          </w:tcPr>
          <w:p>
            <w:pPr>
              <w:spacing w:after="0"/>
              <w:rPr>
                <w:sz w:val="18"/>
                <w:szCs w:val="18"/>
                <w:color w:val="auto"/>
              </w:rPr>
            </w:pPr>
          </w:p>
        </w:tc>
      </w:tr>
      <w:tr>
        <w:trPr>
          <w:trHeight w:val="162"/>
        </w:trPr>
        <w:tc>
          <w:tcPr>
            <w:tcW w:w="1076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a smaller reporting company, or an emerging growth company. See</w:t>
            </w:r>
          </w:p>
        </w:tc>
        <w:tc>
          <w:tcPr>
            <w:tcW w:w="280" w:type="dxa"/>
            <w:vAlign w:val="bottom"/>
          </w:tcPr>
          <w:p>
            <w:pPr>
              <w:spacing w:after="0"/>
              <w:rPr>
                <w:sz w:val="14"/>
                <w:szCs w:val="14"/>
                <w:color w:val="auto"/>
              </w:rPr>
            </w:pPr>
          </w:p>
        </w:tc>
      </w:tr>
      <w:tr>
        <w:trPr>
          <w:trHeight w:val="175"/>
        </w:trPr>
        <w:tc>
          <w:tcPr>
            <w:tcW w:w="107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80" w:type="dxa"/>
            <w:vAlign w:val="bottom"/>
          </w:tcPr>
          <w:p>
            <w:pPr>
              <w:spacing w:after="0"/>
              <w:rPr>
                <w:sz w:val="15"/>
                <w:szCs w:val="15"/>
                <w:color w:val="auto"/>
              </w:rPr>
            </w:pP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700" w:type="dxa"/>
            <w:vAlign w:val="bottom"/>
          </w:tcPr>
          <w:p>
            <w:pPr>
              <w:ind w:left="11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52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 2021, there were 43,033,548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93980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119380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12"/>
          </w:tcPr>
          <w:p>
            <w:pPr>
              <w:jc w:val="center"/>
              <w:ind w:right="3600"/>
              <w:spacing w:after="0"/>
              <w:rPr>
                <w:sz w:val="20"/>
                <w:szCs w:val="20"/>
                <w:color w:val="auto"/>
              </w:rPr>
            </w:pPr>
            <w:r>
              <w:rPr>
                <w:rFonts w:ascii="Arial" w:cs="Arial" w:eastAsia="Arial" w:hAnsi="Arial"/>
                <w:sz w:val="18"/>
                <w:szCs w:val="18"/>
                <w:b w:val="1"/>
                <w:bCs w:val="1"/>
                <w:color w:val="auto"/>
                <w:w w:val="95"/>
              </w:rPr>
              <w:t>NN, Inc.</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20" w:type="dxa"/>
            <w:vAlign w:val="bottom"/>
            <w:gridSpan w:val="12"/>
          </w:tcPr>
          <w:p>
            <w:pPr>
              <w:jc w:val="center"/>
              <w:ind w:right="3580"/>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tcPr>
          <w:p>
            <w:pPr>
              <w:spacing w:after="0"/>
              <w:rPr>
                <w:sz w:val="16"/>
                <w:szCs w:val="16"/>
                <w:color w:val="auto"/>
              </w:rPr>
            </w:pPr>
          </w:p>
        </w:tc>
        <w:tc>
          <w:tcPr>
            <w:tcW w:w="2900" w:type="dxa"/>
            <w:vAlign w:val="bottom"/>
            <w:gridSpan w:val="9"/>
          </w:tcPr>
          <w:p>
            <w:pPr>
              <w:spacing w:after="0" w:line="190"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6860" w:type="dxa"/>
            <w:vAlign w:val="bottom"/>
            <w:gridSpan w:val="25"/>
          </w:tcPr>
          <w:p>
            <w:pPr>
              <w:spacing w:after="0"/>
              <w:rPr>
                <w:sz w:val="16"/>
                <w:szCs w:val="16"/>
                <w:color w:val="auto"/>
              </w:rPr>
            </w:pPr>
          </w:p>
        </w:tc>
        <w:tc>
          <w:tcPr>
            <w:tcW w:w="1440" w:type="dxa"/>
            <w:vAlign w:val="bottom"/>
            <w:gridSpan w:val="3"/>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200" w:type="dxa"/>
            <w:vAlign w:val="bottom"/>
            <w:gridSpan w:val="3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Income (Loss) (Unaudited)</w:t>
              </w:r>
            </w:hyperlink>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4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86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7"/>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Changes in Stockholders’ Equity (Unaudited)</w:t>
              </w:r>
            </w:hyperlink>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0" w:type="dxa"/>
            <w:vAlign w:val="bottom"/>
            <w:gridSpan w:val="3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4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6"/>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Note 1. Interim Financial Statements</w:t>
              </w:r>
            </w:hyperlink>
          </w:p>
        </w:tc>
        <w:tc>
          <w:tcPr>
            <w:tcW w:w="2020" w:type="dxa"/>
            <w:vAlign w:val="bottom"/>
            <w:gridSpan w:val="9"/>
          </w:tcPr>
          <w:p>
            <w:pPr>
              <w:spacing w:after="0"/>
              <w:rPr>
                <w:sz w:val="18"/>
                <w:szCs w:val="18"/>
                <w:color w:val="auto"/>
              </w:rPr>
            </w:pPr>
          </w:p>
        </w:tc>
        <w:tc>
          <w:tcPr>
            <w:tcW w:w="3100" w:type="dxa"/>
            <w:vAlign w:val="bottom"/>
            <w:gridSpan w:val="4"/>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Discontinued Operations</w:t>
              </w:r>
            </w:hyperlink>
          </w:p>
        </w:tc>
        <w:tc>
          <w:tcPr>
            <w:tcW w:w="5120" w:type="dxa"/>
            <w:vAlign w:val="bottom"/>
            <w:gridSpan w:val="1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1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3. Segment Information</w:t>
              </w:r>
            </w:hyperlink>
          </w:p>
        </w:tc>
        <w:tc>
          <w:tcPr>
            <w:tcW w:w="5420" w:type="dxa"/>
            <w:vAlign w:val="bottom"/>
            <w:gridSpan w:val="16"/>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0000FF"/>
            </w:tcBorders>
            <w:gridSpan w:val="1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4. Inventories</w:t>
              </w:r>
            </w:hyperlink>
          </w:p>
        </w:tc>
        <w:tc>
          <w:tcPr>
            <w:tcW w:w="5620" w:type="dxa"/>
            <w:vAlign w:val="bottom"/>
            <w:gridSpan w:val="17"/>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3"/>
              </w:rPr>
            </w:pPr>
            <w:hyperlink w:anchor="page12">
              <w:r>
                <w:rPr>
                  <w:rFonts w:ascii="Arial" w:cs="Arial" w:eastAsia="Arial" w:hAnsi="Arial"/>
                  <w:sz w:val="18"/>
                  <w:szCs w:val="18"/>
                  <w:color w:val="0000FF"/>
                  <w:w w:val="93"/>
                </w:rPr>
                <w:t>Note 5. Goodwill</w:t>
              </w:r>
            </w:hyperlink>
          </w:p>
        </w:tc>
        <w:tc>
          <w:tcPr>
            <w:tcW w:w="120" w:type="dxa"/>
            <w:vAlign w:val="bottom"/>
            <w:tcBorders>
              <w:top w:val="single" w:sz="8" w:color="0000FF"/>
            </w:tcBorders>
            <w:gridSpan w:val="2"/>
          </w:tcPr>
          <w:p>
            <w:pPr>
              <w:spacing w:after="0"/>
              <w:rPr>
                <w:sz w:val="18"/>
                <w:szCs w:val="18"/>
                <w:color w:val="auto"/>
              </w:rPr>
            </w:pPr>
          </w:p>
        </w:tc>
        <w:tc>
          <w:tcPr>
            <w:tcW w:w="6400" w:type="dxa"/>
            <w:vAlign w:val="bottom"/>
            <w:gridSpan w:val="2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6. Intangible Assets, Net</w:t>
              </w:r>
            </w:hyperlink>
          </w:p>
        </w:tc>
        <w:tc>
          <w:tcPr>
            <w:tcW w:w="144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Note 7. Investment in Joint Venture</w:t>
              </w:r>
            </w:hyperlink>
          </w:p>
        </w:tc>
        <w:tc>
          <w:tcPr>
            <w:tcW w:w="5220" w:type="dxa"/>
            <w:vAlign w:val="bottom"/>
            <w:gridSpan w:val="14"/>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Note 8. Income Taxes</w:t>
              </w:r>
            </w:hyperlink>
          </w:p>
        </w:tc>
        <w:tc>
          <w:tcPr>
            <w:tcW w:w="6200" w:type="dxa"/>
            <w:vAlign w:val="bottom"/>
            <w:gridSpan w:val="19"/>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9"/>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Note 9. Debt</w:t>
              </w:r>
            </w:hyperlink>
          </w:p>
        </w:tc>
        <w:tc>
          <w:tcPr>
            <w:tcW w:w="144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5">
              <w:r>
                <w:rPr>
                  <w:rFonts w:ascii="Arial" w:cs="Arial" w:eastAsia="Arial" w:hAnsi="Arial"/>
                  <w:sz w:val="18"/>
                  <w:szCs w:val="18"/>
                  <w:color w:val="0000FF"/>
                  <w:w w:val="86"/>
                </w:rPr>
                <w:t>Note 10. Leases</w:t>
              </w:r>
            </w:hyperlink>
          </w:p>
        </w:tc>
        <w:tc>
          <w:tcPr>
            <w:tcW w:w="6620" w:type="dxa"/>
            <w:vAlign w:val="bottom"/>
            <w:gridSpan w:val="2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Note 11. Commitments and Contingencies</w:t>
              </w:r>
            </w:hyperlink>
          </w:p>
        </w:tc>
        <w:tc>
          <w:tcPr>
            <w:tcW w:w="4720" w:type="dxa"/>
            <w:vAlign w:val="bottom"/>
            <w:gridSpan w:val="12"/>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Note 12. Preferred Stock and Stockholders' Equity</w:t>
              </w:r>
            </w:hyperlink>
          </w:p>
        </w:tc>
        <w:tc>
          <w:tcPr>
            <w:tcW w:w="414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Note 13. Revenue from Contracts with Customers</w:t>
              </w:r>
            </w:hyperlink>
          </w:p>
        </w:tc>
        <w:tc>
          <w:tcPr>
            <w:tcW w:w="4160" w:type="dxa"/>
            <w:vAlign w:val="bottom"/>
            <w:gridSpan w:val="1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Note 14. Share-Based Compensation</w:t>
              </w:r>
            </w:hyperlink>
          </w:p>
        </w:tc>
        <w:tc>
          <w:tcPr>
            <w:tcW w:w="5120" w:type="dxa"/>
            <w:vAlign w:val="bottom"/>
            <w:gridSpan w:val="1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Note 15. Accumulated Other Comprehensive Income</w:t>
              </w:r>
            </w:hyperlink>
          </w:p>
        </w:tc>
        <w:tc>
          <w:tcPr>
            <w:tcW w:w="394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Note 16. Net Income (Loss) Per Common Share</w:t>
              </w:r>
            </w:hyperlink>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Borders>
              <w:top w:val="single" w:sz="8" w:color="0000FF"/>
            </w:tcBorders>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Note 17. Fair Value Measurements</w:t>
              </w:r>
            </w:hyperlink>
          </w:p>
        </w:tc>
        <w:tc>
          <w:tcPr>
            <w:tcW w:w="4320" w:type="dxa"/>
            <w:vAlign w:val="bottom"/>
            <w:gridSpan w:val="11"/>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17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2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Quantitative and Qualitative Disclosures About Market Risk</w:t>
              </w:r>
            </w:hyperlink>
          </w:p>
        </w:tc>
        <w:tc>
          <w:tcPr>
            <w:tcW w:w="384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8200" w:type="dxa"/>
            <w:vAlign w:val="bottom"/>
            <w:gridSpan w:val="3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4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PART II. OTHER INFORMATION</w:t>
              </w:r>
            </w:hyperlink>
          </w:p>
        </w:tc>
        <w:tc>
          <w:tcPr>
            <w:tcW w:w="7180" w:type="dxa"/>
            <w:vAlign w:val="bottom"/>
            <w:gridSpan w:val="26"/>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Legal Proceedings</w:t>
              </w:r>
            </w:hyperlink>
          </w:p>
        </w:tc>
        <w:tc>
          <w:tcPr>
            <w:tcW w:w="6860" w:type="dxa"/>
            <w:vAlign w:val="bottom"/>
            <w:gridSpan w:val="25"/>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1A.</w:t>
            </w:r>
          </w:p>
        </w:tc>
        <w:tc>
          <w:tcPr>
            <w:tcW w:w="8200" w:type="dxa"/>
            <w:vAlign w:val="bottom"/>
            <w:gridSpan w:val="3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4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8200" w:type="dxa"/>
            <w:vAlign w:val="bottom"/>
            <w:gridSpan w:val="3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14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2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3860" w:type="dxa"/>
            <w:vAlign w:val="bottom"/>
            <w:gridSpan w:val="7"/>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5880" w:type="dxa"/>
            <w:vAlign w:val="bottom"/>
            <w:gridSpan w:val="1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5.</w:t>
            </w:r>
          </w:p>
        </w:tc>
        <w:tc>
          <w:tcPr>
            <w:tcW w:w="13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Other Information</w:t>
              </w:r>
            </w:hyperlink>
          </w:p>
        </w:tc>
        <w:tc>
          <w:tcPr>
            <w:tcW w:w="420" w:type="dxa"/>
            <w:vAlign w:val="bottom"/>
            <w:tcBorders>
              <w:top w:val="single" w:sz="8" w:color="0000FF"/>
            </w:tcBorders>
            <w:gridSpan w:val="4"/>
          </w:tcPr>
          <w:p>
            <w:pPr>
              <w:spacing w:after="0"/>
              <w:rPr>
                <w:sz w:val="18"/>
                <w:szCs w:val="18"/>
                <w:color w:val="auto"/>
              </w:rPr>
            </w:pPr>
          </w:p>
        </w:tc>
        <w:tc>
          <w:tcPr>
            <w:tcW w:w="6440" w:type="dxa"/>
            <w:vAlign w:val="bottom"/>
            <w:gridSpan w:val="21"/>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Exhibits</w:t>
              </w:r>
            </w:hyperlink>
          </w:p>
        </w:tc>
        <w:tc>
          <w:tcPr>
            <w:tcW w:w="7600" w:type="dxa"/>
            <w:vAlign w:val="bottom"/>
            <w:gridSpan w:val="2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113,761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367,205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308,506</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98,642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90,076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298,127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249,612</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44,178</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11,605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34,860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34,119</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operating expense (income),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4,138</w:t>
            </w:r>
          </w:p>
        </w:tc>
        <w:tc>
          <w:tcPr>
            <w:tcW w:w="0" w:type="dxa"/>
            <w:vAlign w:val="bottom"/>
          </w:tcPr>
          <w:p>
            <w:pPr>
              <w:spacing w:after="0"/>
              <w:rPr>
                <w:sz w:val="1"/>
                <w:szCs w:val="1"/>
                <w:color w:val="auto"/>
              </w:rPr>
            </w:pPr>
          </w:p>
        </w:tc>
      </w:tr>
      <w:tr>
        <w:trPr>
          <w:trHeight w:val="18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(116,483)</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17,036</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Derivative payments on interest rate swap</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interest rate swap</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18"/>
        </w:trPr>
        <w:tc>
          <w:tcPr>
            <w:tcW w:w="57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Loss from continuing operations before benefit (provision) for income taxes and share of net</w:t>
            </w: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(8,211)</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(17,749)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(133,730)</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joint venture</w:t>
            </w: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Benefit (provision) for income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 of net income from joint venture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17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(13,681)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(124,003)</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net of tax (Note 2)</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(123,966)</w:t>
            </w:r>
          </w:p>
        </w:tc>
        <w:tc>
          <w:tcPr>
            <w:tcW w:w="0" w:type="dxa"/>
            <w:vAlign w:val="bottom"/>
          </w:tcPr>
          <w:p>
            <w:pPr>
              <w:spacing w:after="0"/>
              <w:rPr>
                <w:sz w:val="1"/>
                <w:szCs w:val="1"/>
                <w:color w:val="auto"/>
              </w:rPr>
            </w:pPr>
          </w:p>
        </w:tc>
      </w:tr>
      <w:tr>
        <w:trPr>
          <w:trHeight w:val="17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(3,377)</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21,970</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(13,681)</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(247,969)</w:t>
            </w:r>
          </w:p>
        </w:tc>
        <w:tc>
          <w:tcPr>
            <w:tcW w:w="0" w:type="dxa"/>
            <w:vAlign w:val="bottom"/>
          </w:tcPr>
          <w:p>
            <w:pPr>
              <w:spacing w:after="0"/>
              <w:rPr>
                <w:sz w:val="1"/>
                <w:szCs w:val="1"/>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(2,612)</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6,712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(6,636)</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560"/>
              <w:spacing w:after="0"/>
              <w:rPr>
                <w:sz w:val="20"/>
                <w:szCs w:val="20"/>
                <w:color w:val="auto"/>
              </w:rPr>
            </w:pPr>
            <w:r>
              <w:rPr>
                <w:rFonts w:ascii="Arial" w:cs="Arial" w:eastAsia="Arial" w:hAnsi="Arial"/>
                <w:sz w:val="14"/>
                <w:szCs w:val="14"/>
                <w:color w:val="auto"/>
              </w:rPr>
              <w:t>Change in fair value, net of tax</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 for losses included in net income (loss), net of tax</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0" w:type="dxa"/>
            <w:vAlign w:val="bottom"/>
          </w:tcPr>
          <w:p>
            <w:pPr>
              <w:spacing w:after="0"/>
              <w:rPr>
                <w:sz w:val="1"/>
                <w:szCs w:val="1"/>
                <w:color w:val="auto"/>
              </w:rPr>
            </w:pPr>
          </w:p>
        </w:tc>
      </w:tr>
      <w:tr>
        <w:trPr>
          <w:trHeight w:val="17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(12,241)</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31,851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(260,210)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Basic net income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continuing operations per common share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 per common share</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43,862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42,170</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income (loss) per common share: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Income (loss) from continuing operations per common share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9"/>
        </w:trPr>
        <w:tc>
          <w:tcPr>
            <w:tcW w:w="5700" w:type="dxa"/>
            <w:vAlign w:val="bottom"/>
          </w:tcPr>
          <w:p>
            <w:pPr>
              <w:ind w:left="360"/>
              <w:spacing w:after="0"/>
              <w:rPr>
                <w:sz w:val="20"/>
                <w:szCs w:val="20"/>
                <w:color w:val="auto"/>
              </w:rPr>
            </w:pPr>
            <w:r>
              <w:rPr>
                <w:rFonts w:ascii="Arial" w:cs="Arial" w:eastAsia="Arial" w:hAnsi="Arial"/>
                <w:sz w:val="14"/>
                <w:szCs w:val="14"/>
                <w:color w:val="auto"/>
              </w:rPr>
              <w:t>Net income (loss) per common share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72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83,990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84,615</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62,517</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Income tax receivable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11,837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11,148</w:t>
            </w:r>
          </w:p>
        </w:tc>
        <w:tc>
          <w:tcPr>
            <w:tcW w:w="0" w:type="dxa"/>
            <w:vAlign w:val="bottom"/>
          </w:tcPr>
          <w:p>
            <w:pPr>
              <w:spacing w:after="0"/>
              <w:rPr>
                <w:sz w:val="1"/>
                <w:szCs w:val="1"/>
                <w:color w:val="auto"/>
              </w:rPr>
            </w:pPr>
          </w:p>
        </w:tc>
      </w:tr>
      <w:tr>
        <w:trPr>
          <w:trHeight w:val="179"/>
        </w:trPr>
        <w:tc>
          <w:tcPr>
            <w:tcW w:w="87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207,501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215,218</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212,468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223,690</w:t>
            </w:r>
          </w:p>
        </w:tc>
        <w:tc>
          <w:tcPr>
            <w:tcW w:w="0" w:type="dxa"/>
            <w:vAlign w:val="bottom"/>
          </w:tcPr>
          <w:p>
            <w:pPr>
              <w:spacing w:after="0"/>
              <w:rPr>
                <w:sz w:val="1"/>
                <w:szCs w:val="1"/>
                <w:color w:val="auto"/>
              </w:rPr>
            </w:pPr>
          </w:p>
        </w:tc>
      </w:tr>
      <w:tr>
        <w:trPr>
          <w:trHeight w:val="186"/>
        </w:trPr>
        <w:tc>
          <w:tcPr>
            <w:tcW w:w="872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47,449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50,264</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92,305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0" w:type="dxa"/>
            <w:vAlign w:val="bottom"/>
          </w:tcPr>
          <w:p>
            <w:pPr>
              <w:spacing w:after="0"/>
              <w:rPr>
                <w:sz w:val="1"/>
                <w:szCs w:val="1"/>
                <w:color w:val="auto"/>
              </w:rPr>
            </w:pPr>
          </w:p>
        </w:tc>
      </w:tr>
      <w:tr>
        <w:trPr>
          <w:trHeight w:val="186"/>
        </w:trPr>
        <w:tc>
          <w:tcPr>
            <w:tcW w:w="8720" w:type="dxa"/>
            <w:vAlign w:val="bottom"/>
          </w:tcPr>
          <w:p>
            <w:pPr>
              <w:ind w:left="140"/>
              <w:spacing w:after="0"/>
              <w:rPr>
                <w:sz w:val="20"/>
                <w:szCs w:val="20"/>
                <w:color w:val="auto"/>
              </w:rPr>
            </w:pPr>
            <w:r>
              <w:rPr>
                <w:rFonts w:ascii="Arial" w:cs="Arial" w:eastAsia="Arial" w:hAnsi="Arial"/>
                <w:sz w:val="14"/>
                <w:szCs w:val="14"/>
                <w:color w:val="auto"/>
              </w:rPr>
              <w:t>Investment in joint venture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30,799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26,983</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594,706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44,033</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37,435</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salaries, wages and benefits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21,296</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Current portion of operating lease liabilities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11,983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31,261</w:t>
            </w:r>
          </w:p>
        </w:tc>
        <w:tc>
          <w:tcPr>
            <w:tcW w:w="0" w:type="dxa"/>
            <w:vAlign w:val="bottom"/>
          </w:tcPr>
          <w:p>
            <w:pPr>
              <w:spacing w:after="0"/>
              <w:rPr>
                <w:sz w:val="1"/>
                <w:szCs w:val="1"/>
                <w:color w:val="auto"/>
              </w:rPr>
            </w:pPr>
          </w:p>
        </w:tc>
      </w:tr>
      <w:tr>
        <w:trPr>
          <w:trHeight w:val="179"/>
        </w:trPr>
        <w:tc>
          <w:tcPr>
            <w:tcW w:w="872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85,073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103,231</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0" w:type="dxa"/>
            <w:vAlign w:val="bottom"/>
          </w:tcPr>
          <w:p>
            <w:pPr>
              <w:spacing w:after="0"/>
              <w:rPr>
                <w:sz w:val="1"/>
                <w:szCs w:val="1"/>
                <w:color w:val="auto"/>
              </w:rPr>
            </w:pPr>
          </w:p>
        </w:tc>
      </w:tr>
      <w:tr>
        <w:trPr>
          <w:trHeight w:val="186"/>
        </w:trPr>
        <w:tc>
          <w:tcPr>
            <w:tcW w:w="8720" w:type="dxa"/>
            <w:vAlign w:val="bottom"/>
          </w:tcPr>
          <w:p>
            <w:pPr>
              <w:ind w:left="140"/>
              <w:spacing w:after="0"/>
              <w:rPr>
                <w:sz w:val="20"/>
                <w:szCs w:val="20"/>
                <w:color w:val="auto"/>
              </w:rPr>
            </w:pPr>
            <w:r>
              <w:rPr>
                <w:rFonts w:ascii="Arial" w:cs="Arial" w:eastAsia="Arial" w:hAnsi="Arial"/>
                <w:sz w:val="14"/>
                <w:szCs w:val="14"/>
                <w:color w:val="auto"/>
              </w:rPr>
              <w:t>Long-term debt, net of current portion</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151,323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79,025</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55,053</w:t>
            </w:r>
          </w:p>
        </w:tc>
        <w:tc>
          <w:tcPr>
            <w:tcW w:w="0" w:type="dxa"/>
            <w:vAlign w:val="bottom"/>
          </w:tcPr>
          <w:p>
            <w:pPr>
              <w:spacing w:after="0"/>
              <w:rPr>
                <w:sz w:val="1"/>
                <w:szCs w:val="1"/>
                <w:color w:val="auto"/>
              </w:rPr>
            </w:pPr>
          </w:p>
        </w:tc>
      </w:tr>
      <w:tr>
        <w:trPr>
          <w:trHeight w:val="186"/>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21,337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17,237</w:t>
            </w:r>
          </w:p>
        </w:tc>
        <w:tc>
          <w:tcPr>
            <w:tcW w:w="0" w:type="dxa"/>
            <w:vAlign w:val="bottom"/>
          </w:tcPr>
          <w:p>
            <w:pPr>
              <w:spacing w:after="0"/>
              <w:rPr>
                <w:sz w:val="1"/>
                <w:szCs w:val="1"/>
                <w:color w:val="auto"/>
              </w:rPr>
            </w:pPr>
          </w:p>
        </w:tc>
      </w:tr>
      <w:tr>
        <w:trPr>
          <w:trHeight w:val="186"/>
        </w:trPr>
        <w:tc>
          <w:tcPr>
            <w:tcW w:w="8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318,494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265,724</w:t>
            </w:r>
          </w:p>
        </w:tc>
        <w:tc>
          <w:tcPr>
            <w:tcW w:w="0" w:type="dxa"/>
            <w:vAlign w:val="bottom"/>
          </w:tcPr>
          <w:p>
            <w:pPr>
              <w:spacing w:after="0"/>
              <w:rPr>
                <w:sz w:val="1"/>
                <w:szCs w:val="1"/>
                <w:color w:val="auto"/>
              </w:rPr>
            </w:pPr>
          </w:p>
        </w:tc>
      </w:tr>
      <w:tr>
        <w:trPr>
          <w:trHeight w:val="166"/>
        </w:trPr>
        <w:tc>
          <w:tcPr>
            <w:tcW w:w="8720" w:type="dxa"/>
            <w:vAlign w:val="bottom"/>
          </w:tcPr>
          <w:p>
            <w:pPr>
              <w:ind w:left="140"/>
              <w:spacing w:after="0"/>
              <w:rPr>
                <w:sz w:val="20"/>
                <w:szCs w:val="20"/>
                <w:color w:val="auto"/>
              </w:rPr>
            </w:pPr>
            <w:r>
              <w:rPr>
                <w:rFonts w:ascii="Arial" w:cs="Arial" w:eastAsia="Arial" w:hAnsi="Arial"/>
                <w:sz w:val="14"/>
                <w:szCs w:val="14"/>
                <w:color w:val="auto"/>
              </w:rPr>
              <w:t>Commitments and contingencies (Note 11)</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D perpetual preferred stock - $0.01 par value per share, 65 shares authorized, issued and outstanding at September 30, 2021</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720" w:type="dxa"/>
            <w:vAlign w:val="bottom"/>
          </w:tcPr>
          <w:p>
            <w:pPr>
              <w:ind w:left="140"/>
              <w:spacing w:after="0"/>
              <w:rPr>
                <w:sz w:val="20"/>
                <w:szCs w:val="20"/>
                <w:color w:val="auto"/>
              </w:rPr>
            </w:pPr>
            <w:r>
              <w:rPr>
                <w:rFonts w:ascii="Arial" w:cs="Arial" w:eastAsia="Arial" w:hAnsi="Arial"/>
                <w:sz w:val="14"/>
                <w:szCs w:val="14"/>
                <w:color w:val="auto"/>
              </w:rPr>
              <w:t>Series B convertible preferred stock - $0.01 par value per share, 100 shares authorized, issued and outstanding at December 31, 2020</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105,086</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720" w:type="dxa"/>
            <w:vAlign w:val="bottom"/>
          </w:tcPr>
          <w:p>
            <w:pPr>
              <w:ind w:left="360"/>
              <w:spacing w:after="0" w:line="135" w:lineRule="exact"/>
              <w:rPr>
                <w:sz w:val="20"/>
                <w:szCs w:val="20"/>
                <w:color w:val="auto"/>
              </w:rPr>
            </w:pPr>
            <w:r>
              <w:rPr>
                <w:rFonts w:ascii="Arial" w:cs="Arial" w:eastAsia="Arial" w:hAnsi="Arial"/>
                <w:sz w:val="14"/>
                <w:szCs w:val="14"/>
                <w:color w:val="auto"/>
                <w:w w:val="93"/>
              </w:rPr>
              <w:t>Common stock - $0.01 par value per share, 90,000 shares authorized, 42,686 and 43,034 shares issued and outstanding at December 31, 2020</w:t>
            </w:r>
          </w:p>
        </w:tc>
        <w:tc>
          <w:tcPr>
            <w:tcW w:w="14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and September 30, 2021, respectively</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476,540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0" w:type="dxa"/>
            <w:vAlign w:val="bottom"/>
          </w:tcPr>
          <w:p>
            <w:pPr>
              <w:spacing w:after="0"/>
              <w:rPr>
                <w:sz w:val="1"/>
                <w:szCs w:val="1"/>
                <w:color w:val="auto"/>
              </w:rPr>
            </w:pPr>
          </w:p>
        </w:tc>
      </w:tr>
      <w:tr>
        <w:trPr>
          <w:trHeight w:val="186"/>
        </w:trPr>
        <w:tc>
          <w:tcPr>
            <w:tcW w:w="8720" w:type="dxa"/>
            <w:vAlign w:val="bottom"/>
          </w:tcPr>
          <w:p>
            <w:pPr>
              <w:ind w:left="3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(219,556)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(205,875)</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0" w:type="dxa"/>
            <w:vAlign w:val="bottom"/>
          </w:tcPr>
          <w:p>
            <w:pPr>
              <w:spacing w:after="0"/>
              <w:rPr>
                <w:sz w:val="1"/>
                <w:szCs w:val="1"/>
                <w:color w:val="auto"/>
              </w:rPr>
            </w:pPr>
          </w:p>
        </w:tc>
      </w:tr>
      <w:tr>
        <w:trPr>
          <w:trHeight w:val="179"/>
        </w:trPr>
        <w:tc>
          <w:tcPr>
            <w:tcW w:w="87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224,829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594,706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Accumulated 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43,034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477,923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232,355</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interest rate swap, net of tax of $53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w w:val="97"/>
              </w:rPr>
              <w:t>Reclassification of interest rate swap to net loss, net of tax of $7</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Arial" w:cs="Arial" w:eastAsia="Arial" w:hAnsi="Arial"/>
                <w:sz w:val="16"/>
                <w:szCs w:val="16"/>
                <w:color w:val="auto"/>
              </w:rPr>
              <w:t>Balance, September 30, 2021</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43,034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476,540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(219,556)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(32,585)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224,829</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42,747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498,294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(375,222)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57,899</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21,970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w w:val="97"/>
              </w:rPr>
              <w:t>Change in estimate of share-based award vesting</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warrants to liabilities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66"/>
        </w:trPr>
        <w:tc>
          <w:tcPr>
            <w:tcW w:w="3780" w:type="dxa"/>
            <w:vAlign w:val="bottom"/>
          </w:tcPr>
          <w:p>
            <w:pPr>
              <w:ind w:left="340"/>
              <w:spacing w:after="0" w:line="166" w:lineRule="exact"/>
              <w:rPr>
                <w:sz w:val="20"/>
                <w:szCs w:val="20"/>
                <w:color w:val="auto"/>
              </w:rPr>
            </w:pPr>
            <w:r>
              <w:rPr>
                <w:rFonts w:ascii="Arial" w:cs="Arial" w:eastAsia="Arial" w:hAnsi="Arial"/>
                <w:sz w:val="16"/>
                <w:szCs w:val="16"/>
                <w:color w:val="auto"/>
              </w:rPr>
              <w:t>Change in fair value of interest rate swap, net of</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780" w:type="dxa"/>
            <w:vAlign w:val="bottom"/>
          </w:tcPr>
          <w:p>
            <w:pPr>
              <w:ind w:left="340"/>
              <w:spacing w:after="0"/>
              <w:rPr>
                <w:sz w:val="20"/>
                <w:szCs w:val="20"/>
                <w:color w:val="auto"/>
              </w:rPr>
            </w:pPr>
            <w:r>
              <w:rPr>
                <w:rFonts w:ascii="Arial" w:cs="Arial" w:eastAsia="Arial" w:hAnsi="Arial"/>
                <w:sz w:val="16"/>
                <w:szCs w:val="16"/>
                <w:color w:val="auto"/>
              </w:rPr>
              <w:t>tax of $6</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6"/>
              </w:rPr>
              <w:t>Reclassification of interest rate swap settlement to</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net of tax of $952</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Foreign currency translation gain</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2020</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495,967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86,347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8"/>
              </w:rPr>
              <w:t>shares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42,686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(19,054)</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Shares issued for option exercises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Change in estimate of share-based award vesting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4780" w:type="dxa"/>
            <w:vAlign w:val="bottom"/>
            <w:gridSpan w:val="3"/>
          </w:tcPr>
          <w:p>
            <w:pPr>
              <w:ind w:left="360"/>
              <w:spacing w:after="0"/>
              <w:rPr>
                <w:sz w:val="20"/>
                <w:szCs w:val="20"/>
                <w:color w:val="auto"/>
              </w:rPr>
            </w:pPr>
            <w:r>
              <w:rPr>
                <w:rFonts w:ascii="Arial" w:cs="Arial" w:eastAsia="Arial" w:hAnsi="Arial"/>
                <w:sz w:val="16"/>
                <w:szCs w:val="16"/>
                <w:color w:val="auto"/>
              </w:rPr>
              <w:t>Change in fair value of interest rate swap, net of tax of $53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47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w w:val="93"/>
              </w:rPr>
              <w:t>Reclassification of interest rate swap to net loss, net of tax of $868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currency translation loss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2021</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43,034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860" w:type="dxa"/>
            <w:vAlign w:val="bottom"/>
          </w:tcPr>
          <w:p>
            <w:pPr>
              <w:spacing w:after="0"/>
              <w:rPr>
                <w:sz w:val="24"/>
                <w:szCs w:val="24"/>
                <w:color w:val="auto"/>
              </w:rPr>
            </w:pPr>
          </w:p>
        </w:tc>
        <w:tc>
          <w:tcPr>
            <w:tcW w:w="1560" w:type="dxa"/>
            <w:vAlign w:val="bottom"/>
            <w:tcBorders>
              <w:bottom w:val="single" w:sz="8" w:color="auto"/>
            </w:tcBorders>
            <w:gridSpan w:val="5"/>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501,615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(247,969)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(247,969)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4,138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4,142</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w w:val="98"/>
              </w:rPr>
              <w:t>Change in estimate of share-based award vesting</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of warrants to liabilities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66"/>
        </w:trPr>
        <w:tc>
          <w:tcPr>
            <w:tcW w:w="3860" w:type="dxa"/>
            <w:vAlign w:val="bottom"/>
          </w:tcPr>
          <w:p>
            <w:pPr>
              <w:ind w:left="360"/>
              <w:spacing w:after="0" w:line="166" w:lineRule="exact"/>
              <w:rPr>
                <w:sz w:val="20"/>
                <w:szCs w:val="20"/>
                <w:color w:val="auto"/>
              </w:rPr>
            </w:pPr>
            <w:r>
              <w:rPr>
                <w:rFonts w:ascii="Arial" w:cs="Arial" w:eastAsia="Arial" w:hAnsi="Arial"/>
                <w:sz w:val="16"/>
                <w:szCs w:val="16"/>
                <w:color w:val="auto"/>
                <w:w w:val="95"/>
              </w:rPr>
              <w:t>Change in fair value of interest rate swap, net of tax</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ind w:left="8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(12,443)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(12,443)</w:t>
            </w:r>
          </w:p>
        </w:tc>
        <w:tc>
          <w:tcPr>
            <w:tcW w:w="0" w:type="dxa"/>
            <w:vAlign w:val="bottom"/>
          </w:tcPr>
          <w:p>
            <w:pPr>
              <w:spacing w:after="0"/>
              <w:rPr>
                <w:sz w:val="1"/>
                <w:szCs w:val="1"/>
                <w:color w:val="auto"/>
              </w:rPr>
            </w:pPr>
          </w:p>
        </w:tc>
      </w:tr>
      <w:tr>
        <w:trPr>
          <w:trHeight w:val="209"/>
        </w:trPr>
        <w:tc>
          <w:tcPr>
            <w:tcW w:w="3860" w:type="dxa"/>
            <w:vAlign w:val="bottom"/>
          </w:tcPr>
          <w:p>
            <w:pPr>
              <w:ind w:left="360"/>
              <w:spacing w:after="0"/>
              <w:rPr>
                <w:sz w:val="20"/>
                <w:szCs w:val="20"/>
                <w:color w:val="auto"/>
              </w:rPr>
            </w:pPr>
            <w:r>
              <w:rPr>
                <w:rFonts w:ascii="Arial" w:cs="Arial" w:eastAsia="Arial" w:hAnsi="Arial"/>
                <w:sz w:val="16"/>
                <w:szCs w:val="16"/>
                <w:color w:val="auto"/>
              </w:rPr>
              <w:t>of $3,764</w:t>
            </w: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Reclassification of interest rate swap settlement to</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net of tax of $2,068</w:t>
            </w: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currency translation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42,739</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495,967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86,347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6"/>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3"/>
              </w:rPr>
              <w:t>2020</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(13,681)</w:t>
            </w:r>
          </w:p>
        </w:tc>
        <w:tc>
          <w:tcPr>
            <w:tcW w:w="8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(247,969)</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Depreciation and amortization of continuing operations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34,860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34,119</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of discontinued operations</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35,731</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Amortization of debt issuance costs and discount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4,981</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Goodwill impairment of continuing operations</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Goodwill impairment of discontinued operations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146,757</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Total derivative loss, net of cash settlements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Share of net income from joint venture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Compensation expense from issuance of share-based awards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3,565</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(61,889)</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(1,834)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828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4,894</w:t>
            </w:r>
          </w:p>
        </w:tc>
      </w:tr>
      <w:tr>
        <w:trPr>
          <w:trHeight w:val="192"/>
        </w:trPr>
        <w:tc>
          <w:tcPr>
            <w:tcW w:w="82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w:t>
            </w:r>
          </w:p>
        </w:tc>
      </w:tr>
      <w:tr>
        <w:trPr>
          <w:trHeight w:val="186"/>
        </w:trPr>
        <w:tc>
          <w:tcPr>
            <w:tcW w:w="828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(1,702)</w:t>
            </w:r>
          </w:p>
        </w:tc>
      </w:tr>
      <w:tr>
        <w:trPr>
          <w:trHeight w:val="192"/>
        </w:trPr>
        <w:tc>
          <w:tcPr>
            <w:tcW w:w="82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Income taxes receivable and payable,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(10,753)</w:t>
            </w:r>
          </w:p>
        </w:tc>
      </w:tr>
      <w:tr>
        <w:trPr>
          <w:trHeight w:val="186"/>
        </w:trPr>
        <w:tc>
          <w:tcPr>
            <w:tcW w:w="828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16,295</w:t>
            </w:r>
          </w:p>
        </w:tc>
      </w:tr>
      <w:tr>
        <w:trPr>
          <w:trHeight w:val="186"/>
        </w:trPr>
        <w:tc>
          <w:tcPr>
            <w:tcW w:w="8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5,691</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19,344</w:t>
            </w:r>
          </w:p>
        </w:tc>
      </w:tr>
      <w:tr>
        <w:trPr>
          <w:trHeight w:val="168"/>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(14,556)</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(20,518)</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3,153</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post-closing adjustments on sale of business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settlements of interest rate swap</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(15,420)</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(32,679)</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(17,365)</w:t>
            </w:r>
          </w:p>
        </w:tc>
      </w:tr>
      <w:tr>
        <w:trPr>
          <w:trHeight w:val="168"/>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issuance of preferred stock</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61,793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 of preferred stock</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166,000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64,716</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long-term debt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(17,123)</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Repayments of short-term debt,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(849)</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(3,859)</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r>
      <w:tr>
        <w:trPr>
          <w:trHeight w:val="179"/>
        </w:trPr>
        <w:tc>
          <w:tcPr>
            <w:tcW w:w="8280" w:type="dxa"/>
            <w:vAlign w:val="bottom"/>
            <w:tcBorders>
              <w:bottom w:val="single" w:sz="8" w:color="CCEEFF"/>
            </w:tcBorders>
          </w:tcPr>
          <w:p>
            <w:pPr>
              <w:ind w:left="120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43,941</w:t>
            </w:r>
          </w:p>
        </w:tc>
      </w:tr>
      <w:tr>
        <w:trPr>
          <w:trHeight w:val="186"/>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flows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(23,527)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40,414</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 (1)</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31,703</w:t>
            </w:r>
          </w:p>
        </w:tc>
      </w:tr>
      <w:tr>
        <w:trPr>
          <w:trHeight w:val="179"/>
        </w:trPr>
        <w:tc>
          <w:tcPr>
            <w:tcW w:w="8280" w:type="dxa"/>
            <w:vAlign w:val="bottom"/>
          </w:tcPr>
          <w:p>
            <w:pPr>
              <w:ind w:left="140"/>
              <w:spacing w:after="0"/>
              <w:rPr>
                <w:sz w:val="20"/>
                <w:szCs w:val="20"/>
                <w:color w:val="auto"/>
              </w:rPr>
            </w:pPr>
            <w:r>
              <w:rPr>
                <w:rFonts w:ascii="Arial" w:cs="Arial" w:eastAsia="Arial" w:hAnsi="Arial"/>
                <w:sz w:val="14"/>
                <w:szCs w:val="14"/>
                <w:color w:val="auto"/>
              </w:rPr>
              <w:t>Cash and cash equivalents at end of period (1)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24,611</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72,117</w:t>
            </w: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5" w:lineRule="exact"/>
        <w:rPr>
          <w:sz w:val="20"/>
          <w:szCs w:val="20"/>
          <w:color w:val="auto"/>
        </w:rPr>
      </w:pPr>
    </w:p>
    <w:p>
      <w:pPr>
        <w:ind w:left="900" w:right="60" w:hanging="244"/>
        <w:spacing w:after="0" w:line="273" w:lineRule="auto"/>
        <w:tabs>
          <w:tab w:leader="none" w:pos="861"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and cash equivalents include $16.0 million and $13.8 million of cash and cash equivalents that were included in current assets of discontinued operations as of September 30, 2020, and December 31, 2019,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accompanying condensed consolidated financial statements have not been audited. The Condensed Consolidated Balance Sheet as of December 31, 2020, was derived from the audited consolidated financial statements included in our Annual Report on Form 10-K for the year ended December 31, 2020 (the “2020 Annual Report”), which we filed with the U.S. Securities and Exchange Commission (the “SEC”) on March 15, 2021. Historical periods presented reflect reclassifications for discontinued operations (see Note 2). In management’s opinion, the accompanying unaudited condensed consolidated financial statements reflect all adjustments necessary to fairly state our results of operations for the three and nine months ended September 30, 2021 and 2020; financial position as of September 30, 2021, and December 31, 2020; and cash flows for the nine months ended September 30, 2021 and 2020, on a basis consistent with our audited consolidated financial statements other than the adoption of new accounting standards (see </w:t>
      </w:r>
      <w:r>
        <w:rPr>
          <w:rFonts w:ascii="Arial" w:cs="Arial" w:eastAsia="Arial" w:hAnsi="Arial"/>
          <w:sz w:val="17"/>
          <w:szCs w:val="17"/>
          <w:i w:val="1"/>
          <w:iCs w:val="1"/>
          <w:color w:val="auto"/>
        </w:rPr>
        <w:t>Accounting Standards Recently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Adopted </w:t>
      </w:r>
      <w:r>
        <w:rPr>
          <w:rFonts w:ascii="Arial" w:cs="Arial" w:eastAsia="Arial" w:hAnsi="Arial"/>
          <w:sz w:val="17"/>
          <w:szCs w:val="17"/>
          <w:color w:val="auto"/>
        </w:rPr>
        <w:t>section below). These adjustments are of a normal recurring nature and are, in the opinion of management, necessary to state fairly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position and operating results for the interim periods.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2020 Annual Report. The results for the three and nine months ended September 30, 2021, are not necessarily indicative of results for the year ending December 31, 2021, or any other future periods.</w:t>
      </w:r>
    </w:p>
    <w:p>
      <w:pPr>
        <w:spacing w:after="0" w:line="6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as part of its initiative to reduce complexity in accounting standards. ASU 2019-12 removes certain exceptions and provides simplification to specific tax items to improve consistent application. This standard was effective for us beginning January 1, 2021. The adoption of ASU 2019-12 did not have a material impact on our consolidated financial statements and related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We plan to adopt ASU 2020-06 effective January 1, 2022 using the modified retrospective adoption method. We do not anticipate that the adoption will have a material impact on our consolidated financial statements and related disclosures.</w:t>
      </w:r>
    </w:p>
    <w:p>
      <w:pPr>
        <w:spacing w:after="0" w:line="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Issuer’s Accounting for Certain Modifications or Exchanges of Freestanding Equity-Classified Written Call</w:t>
      </w:r>
      <w:r>
        <w:rPr>
          <w:rFonts w:ascii="Arial" w:cs="Arial" w:eastAsia="Arial" w:hAnsi="Arial"/>
          <w:sz w:val="18"/>
          <w:szCs w:val="18"/>
          <w:color w:val="auto"/>
        </w:rPr>
        <w:t xml:space="preserve"> </w:t>
      </w:r>
      <w:r>
        <w:rPr>
          <w:rFonts w:ascii="Arial" w:cs="Arial" w:eastAsia="Arial" w:hAnsi="Arial"/>
          <w:sz w:val="18"/>
          <w:szCs w:val="18"/>
          <w:i w:val="1"/>
          <w:iCs w:val="1"/>
          <w:color w:val="auto"/>
        </w:rPr>
        <w:t>Options</w:t>
      </w:r>
      <w:r>
        <w:rPr>
          <w:rFonts w:ascii="Arial" w:cs="Arial" w:eastAsia="Arial" w:hAnsi="Arial"/>
          <w:sz w:val="18"/>
          <w:szCs w:val="18"/>
          <w:color w:val="auto"/>
        </w:rPr>
        <w:t>, (“ASU 2021-04”) which clarifies the accounting for modifications or exchanges of freestanding equity-classified written call options that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classified after modification or exchange. Specifically,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ASU 2021-04 is effective for fiscal years beginning after December 15, 2021, and interim periods within those fiscal years, with early adoption permitted. ASU 2021-04 should be applied prospectively to modifications or exchanges occurring after the effective date. Either the full or modified retrospective adoption method is allowed. We do not have any equity-classified written call options that would be subject to this guidance. Therefore, we do not expect any impact on our consolidated financial statements and related disclosures.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October 2020, we closed on the sale of our Life Sciences business under the terms of a Stock Purchase Agreement (the “SPA”) with affiliates of American Securities LLC for $753.3 million cash. The SPA includes a potential earnout payment of up to $70.0 million based on the performance of the Life Sciences business during the year ending December 31, 2022, measured by Adjusted EBITDA targets, as defined by the SPA. After working capital and other closing adjustments, we received cash proceeds at closing of $757.2 million in 2020 and paid $3.9 million to the buyer during the nine months ended September 30, 2021, for post-closing adjustments.</w:t>
      </w:r>
    </w:p>
    <w:p>
      <w:pPr>
        <w:spacing w:after="0" w:line="8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the terms of a transition services agreement, we provided certain support services after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estimate that the tax indemnification will result in a payment of approximately $1.2 million to the buyer during the year ending December 31, 2021, and we have recorded this estimated obligation in the “Other current liabilities” line item on the Condensed Consolidated Balance Sheets as of September 30, 2021, and December 31, 2020.</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the operating results of the Life Sciences business are classified as discontinued operations. The presentation of discontinued operations includes revenues and expenses of the discontinued operations as well as any gain on the disposition of the business, all net of tax, as one line item on the Condensed Consolidated Statements of Operations and Comprehensive Income (Loss). The Condensed Consolidated Statements of Operations and Comprehensive Income (Loss) for all historical periods presented have been revised to reflect this presentation. Accordingly, the results of the Life Sciences business have been excluded from continuing operations and segment results for all historical periods presented in the condensed consolidated financial statements and the accompanying notes unless otherwise stated. The Condensed Consolidated Statements of Cash Flows for historical periods include cash flows of the Life Sciences business in each line item unless otherwise stated.</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of the discontinued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8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Nine Months Ended</w:t>
            </w:r>
          </w:p>
        </w:tc>
      </w:tr>
      <w:tr>
        <w:trPr>
          <w:trHeight w:val="188"/>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2020</w:t>
            </w:r>
          </w:p>
        </w:tc>
        <w:tc>
          <w:tcPr>
            <w:tcW w:w="180" w:type="dxa"/>
            <w:vAlign w:val="bottom"/>
          </w:tcPr>
          <w:p>
            <w:pPr>
              <w:spacing w:after="0"/>
              <w:rPr>
                <w:sz w:val="16"/>
                <w:szCs w:val="16"/>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September 30, 2020</w:t>
            </w:r>
          </w:p>
        </w:tc>
      </w:tr>
      <w:tr>
        <w:trPr>
          <w:trHeight w:val="22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68,525</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223,944</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50,444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158,538</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35,731</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146,757</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(137,291)</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37,857</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costs of disposal and benefit for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(176,211)</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59,598</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before costs of disposal</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(116,613)</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Costs of disposal of discontinued operations (1)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(7,956)</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 on costs of disposal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(123,966)</w:t>
            </w:r>
          </w:p>
        </w:tc>
      </w:tr>
      <w:tr>
        <w:trPr>
          <w:trHeight w:val="21"/>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Represents incremental direct costs related to the sale of the Life Sciences business that were incurred prior to the closing of the sale.</w:t>
      </w:r>
    </w:p>
    <w:p>
      <w:pPr>
        <w:spacing w:after="0" w:line="23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carrying value of the Life Sciences reporting unit exceeded its estimated fair value as of March 31, 2020. As a result of our analysis, we recorded an impairment loss on goodwill of $146.8 million for Life Sciences. The judgments, assumptions, and estimates involved in the goodwill impairment analysis for the Life Sciences reporting unit are consistent with those discussed in Note 5.</w:t>
      </w:r>
    </w:p>
    <w:p>
      <w:pPr>
        <w:spacing w:after="0" w:line="8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previous credit facility, which was in place at the time, required us to use proceeds from the sale of the Life Sciences business to prepay a portion of our previous debt. We paid $700.0 million in the aggregate on our term loans immediately after the transaction closed on October 6, 2020. The prepayment</w:t>
      </w:r>
    </w:p>
    <w:p>
      <w:pPr>
        <w:ind w:right="200"/>
        <w:spacing w:after="0" w:line="248" w:lineRule="auto"/>
        <w:rPr>
          <w:sz w:val="20"/>
          <w:szCs w:val="20"/>
          <w:color w:val="auto"/>
        </w:rPr>
      </w:pPr>
      <w:r>
        <w:rPr>
          <w:rFonts w:ascii="Arial" w:cs="Arial" w:eastAsia="Arial" w:hAnsi="Arial"/>
          <w:sz w:val="18"/>
          <w:szCs w:val="18"/>
          <w:color w:val="auto"/>
        </w:rPr>
        <w:t>was applied to debt in accordance with the prepayment provisions of the previous credit agreement, which was in place at the time. Average quarterly interest rates were multiplied by the required prepayment amounts to calculate interest expense to be reclassified to discontinued operations for historical periods presented. The following table summarizes the amount of interest expense related to the previous credit facility that has been reclassified to discontinued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Nine Months Ended</w:t>
            </w:r>
          </w:p>
        </w:tc>
      </w:tr>
      <w:tr>
        <w:trPr>
          <w:trHeight w:val="188"/>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September 30, 2020</w:t>
            </w:r>
          </w:p>
        </w:tc>
        <w:tc>
          <w:tcPr>
            <w:tcW w:w="180" w:type="dxa"/>
            <w:vAlign w:val="bottom"/>
          </w:tcPr>
          <w:p>
            <w:pPr>
              <w:spacing w:after="0"/>
              <w:rPr>
                <w:sz w:val="16"/>
                <w:szCs w:val="16"/>
                <w:color w:val="auto"/>
              </w:rPr>
            </w:pPr>
          </w:p>
        </w:tc>
        <w:tc>
          <w:tcPr>
            <w:tcW w:w="15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September 30, 2020</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34,410</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3,692</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 for the historical period presented.</w:t>
      </w:r>
    </w:p>
    <w:tbl>
      <w:tblPr>
        <w:tblLayout w:type="fixed"/>
        <w:tblInd w:w="0" w:type="dxa"/>
        <w:tblCellMar>
          <w:top w:w="0" w:type="dxa"/>
          <w:left w:w="0" w:type="dxa"/>
          <w:bottom w:w="0" w:type="dxa"/>
          <w:right w:w="0" w:type="dxa"/>
        </w:tblCellMar>
      </w:tblPr>
      <w:tr>
        <w:trPr>
          <w:trHeight w:val="144"/>
        </w:trPr>
        <w:tc>
          <w:tcPr>
            <w:tcW w:w="9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74"/>
              <w:spacing w:after="0" w:line="145" w:lineRule="exact"/>
              <w:rPr>
                <w:sz w:val="20"/>
                <w:szCs w:val="20"/>
                <w:color w:val="auto"/>
              </w:rPr>
            </w:pPr>
            <w:r>
              <w:rPr>
                <w:rFonts w:ascii="Arial" w:cs="Arial" w:eastAsia="Arial" w:hAnsi="Arial"/>
                <w:sz w:val="14"/>
                <w:szCs w:val="14"/>
                <w:b w:val="1"/>
                <w:bCs w:val="1"/>
                <w:color w:val="auto"/>
                <w:w w:val="99"/>
              </w:rPr>
              <w:t>Nine Months Ended</w:t>
            </w:r>
          </w:p>
        </w:tc>
      </w:tr>
      <w:tr>
        <w:trPr>
          <w:trHeight w:val="188"/>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2020</w:t>
            </w:r>
          </w:p>
        </w:tc>
      </w:tr>
      <w:tr>
        <w:trPr>
          <w:trHeight w:val="22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35,731</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146,757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Solutions, which is focused on growth in the automotive and general industrial end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Power Solutions, which is focused on growth in the electrical, general industrial, automotive, aerospace, defense, and medical end markets.</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Historically, we had a third operating segment, Life Sciences, that was focused on growth in the medical end market. See Note 2 for information regarding the sale of the Life Sciences business on October 6, 2020. The results of the Life Sciences business are classified as discontinued operations for the three and nine months ended September 30, 2020, and therefore are not included in the tabular presentation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continuing operations by reportable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560" w:type="dxa"/>
            <w:vAlign w:val="bottom"/>
            <w:tcBorders>
              <w:top w:val="single" w:sz="8" w:color="CCEEFF"/>
              <w:bottom w:val="single" w:sz="8" w:color="auto"/>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2"/>
              </w:rPr>
              <w:t>Three Months Ended September 30, 2021</w:t>
            </w:r>
          </w:p>
        </w:tc>
        <w:tc>
          <w:tcPr>
            <w:tcW w:w="27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117,244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2560" w:type="dxa"/>
            <w:vAlign w:val="bottom"/>
            <w:tcBorders>
              <w:bottom w:val="single" w:sz="8" w:color="auto"/>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Three Months Ended September 30, 2020</w:t>
            </w:r>
          </w:p>
        </w:tc>
        <w:tc>
          <w:tcPr>
            <w:tcW w:w="27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43,415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113,761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CCEEFF"/>
              <w:bottom w:val="single" w:sz="8" w:color="auto"/>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2"/>
              </w:rPr>
              <w:t>Nine Months Ended September 30, 2021</w:t>
            </w:r>
          </w:p>
        </w:tc>
        <w:tc>
          <w:tcPr>
            <w:tcW w:w="27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220,248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147,026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367,205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Nine Months Ended September 30, 2020</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(29,371)</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elimination of intersegment transactions occurring during the ordinary course of business.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20,758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the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 As of September 30, 2021, and December 31, 2020, there was no remaining goodwill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Power</w:t>
            </w:r>
          </w:p>
        </w:tc>
        <w:tc>
          <w:tcPr>
            <w:tcW w:w="360" w:type="dxa"/>
            <w:vAlign w:val="bottom"/>
          </w:tcPr>
          <w:p>
            <w:pPr>
              <w:spacing w:after="0"/>
              <w:rPr>
                <w:sz w:val="14"/>
                <w:szCs w:val="14"/>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29,062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74,003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103,065</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4"/>
              </w:rPr>
              <w:t>(2,515)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(8,245)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26,547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65,758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September 30, 2021, and December 31, 2020, there were no indicators of impairment.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08"/>
        </w:trPr>
        <w:tc>
          <w:tcPr>
            <w:tcW w:w="9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3,456</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30,799</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effective tax rate for continuing operations was (9.8)% and 3.5% for the three and nine months ended September 30, 2021, respectively, and 106.1% and 5.9% for the three and nine months ended September 30, 2020, respectively. The effective tax rate for the three and nine months ended September 30, 2021, differs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U.S. tax on the earnings of foreign subsidiaries under the global intangible low-taxed income (“GILTI”) regime.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March 27, 2020, the Coronavirus Aid, Relief, and Economic Security Act (the “CARES Act”) was enacted. The provisions of the legislation had a significant impact on our effective tax rate and income tax receivable as of and for the nine months ended September 30, 2020. Under the CARES Act, NOLs arising in tax years beginning after December 31, 2017, were carried back to preceding tax years when the federal tax rate was 35% rather than the currently enacted 21%. The effective tax rate for the three and nine months ended September 30, 2020, was also adversely impacted by the effect of the non-deductible goodwill impairment on the estimated annual effective tax rate and the impact of the minimum GILTI tax, partially offset by impacts from the CARES Act.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September 30,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47,728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Term Loan</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principal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net of current portion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Less-unamortized debt issuance costs and discount (1)</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right="420" w:hanging="244"/>
        <w:spacing w:after="0" w:line="342" w:lineRule="auto"/>
        <w:tabs>
          <w:tab w:leader="none" w:pos="91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this amount, costs of $0.7 million related to the ABL Facility were recorded in other non-current assets as of September 30, 2021, and $1.8 million related to the Senior Secured Revolver were recorded in other non-current assets as of December 31, 2020.</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capitalized interest costs of $0.2 million and $0.2 million in the nine months ended September 30, 2021 and 2020, respectively, related to construction in progress.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September 30, 2021, the Term Loan Facility bore interest, based on one-month LIBOR, at 7.875%.</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September 30, 2021.</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Term Loan Facility was issued at a $3.8 million discount. We capitalized an additional $2.8 million in new debt issuance costs related to the Term Loan Facility. Debt issuance costs and original issue discount related to the Term Loan Facility are recorded as a direct reduction to the carrying amount of the associated long-term debt and amortized over the term of the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September 30, 2021, using one-month LIBOR plus a 1.75% spread, the weighted average interest rate on outstanding borrowings under the ABL Facility would have been 2.25% if there had been any balance outstanding. We pay a commitment fee of 0.375% for unused capacity under the ABL Facility and a 1.875% fee on the amount of letters of credit outstanding. The final maturity date of the ABL Facility is March 22, 2026.</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no outstanding borrowings under the ABL Facility at September 30, 2021. Total capacity under the ABL Facility was $47.7 million as of September 30, 2021, of which $36.5 million was available for future borrowings after reductions for outstanding letters of credit as of September 30, 2021. The ABL Facility has a first lien on accounts receivable and inventory. We were in compliance with all requirements under the ABL Facility as of September 30, 2021.</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capitalized a total of $0.8 million in new debt issuance costs related to the ABL Facility. Costs related to the ABL Facility are recorded in other non-current assets and amortized over the term of the agreement.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Outstanding borrowings under the Senior Secured Term Loan bore interest at one-month LIBOR (subject to a 0.75% floor) plus an applicable margin of 5.75%. During 2021 until termination, the Senior Secured Term Loan bore interest at 6.50%.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Outstanding borrowings under the Incremental Term Loan bore interest at one-month LIBOR plus an applicable margin of 5.75%. During 2021 until termination, the Incremental Term Loan bore interest at 5.90%.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Outstanding borrowings under the Senior Secured Revolver bore interest on a variable rate structure at either 1) one-month LIBOR plus an applicable margin of 4.00% or 2) the prime lending rate plus an applicable margin of 3.00%. We had no outstanding borrowings under the Senior Secured Revolver during 2021. We incurred a commitment fee of 0.50% for unused capacity under the Senior Secured Revolver until it was terminated.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recognized a $2.4 million loss on extinguishment for unamortized debt issuance costs that were written off in the nine months ended September 30, 2021, in connection with the termination of our previous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July 22, 2021, we entered into a fixed-rate interest rate swap agreement to change the LIBOR-based component of the interest rate on a portion of the Term Loan Facility to a fixed rate of 1.291%. The interest rate swap has a notional amount of $60.0 million and a maturity date of July 31, 2024.</w:t>
      </w:r>
    </w:p>
    <w:p>
      <w:pPr>
        <w:spacing w:after="0" w:line="1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 portion of the proceeds from the Term Loan Facility was used to settle and terminate our previous fixed-rate interest rate swap agreement with a cash payment of $13.7 million during the first quarter of 2021. Refer to Note 17 for further discussion of the interest rate swap agreements.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 of continuing operations.</w:t>
      </w:r>
    </w:p>
    <w:p>
      <w:pPr>
        <w:spacing w:after="0" w:line="13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Operating cash flows used in finance leases</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in operating leases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Financing cash flows used in finance leases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9,328</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disclosed in our 2020 Annual Report, we amended the lease of our corporate headquarters building in March 2020 to exit over half of the previously leased space and reduce annual base rent payments.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Condensed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expense (income), net.”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acquisition of Autocam Corporation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September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0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October 26, 2020, Corre Opportunities Qualified Master Fund, LP, and Corre Horizon Fund, LP, (collectively, “Corre Partners”) filed a complaint in the Chancery Court of the State of Delaware against the Company. The complaint alleged that the Company’s sale of its Life Sciences business without obtaining the prior consent of the plaintiffs was a breach of the terms of the Series B Preferred Stock. On May 13, 2021, the Company entered into a cooperation agreement with Corre Partners. In connection with the cooperation agreement, on May 13, 2021, the Company also entered into a settlement agreement with Corre Partners, which resolved the complaint.</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Preferred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5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17 discusses the accounting for these features.</w:t>
      </w:r>
    </w:p>
    <w:p>
      <w:pPr>
        <w:spacing w:after="0" w:line="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September 30, 2021, the carrying value of the Series D Preferred Stock shares was $51.4 million, which included $4.7 million of accumulated unpaid and deemed dividends. The following table presents the change in the Series D Preferred Stock carrying value during the nine months ended September 30,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right"/>
              <w:ind w:right="23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9"/>
              </w:rPr>
              <w:t>September 30, 2021</w:t>
            </w:r>
          </w:p>
        </w:tc>
      </w:tr>
      <w:tr>
        <w:trPr>
          <w:trHeight w:val="224"/>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Proceeds from issuance of shares, net of issuance costs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61,793</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2021 Warrants issued</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of in-kind dividends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51,383</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Series B Preferred Stock had a liquidation preference of $1,000 per share and was redeemable in cash at our option, subject to the applicable redemption premium. Series B Preferred Stock shares earned cumulative dividends at a rate of 10.625% per year, and accrued whether or not earned or declared. The Series B Preferred Stock was recognized at a discounted value, net of issuance costs and allocation to warrants and bifurcated embedded derivatives. The aggregate discount was amortized as a deemed dividend through December 31, 2023, which is the date the holders had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At redemption on March 22, 2021, the carrying value of the Series B Preferred Stock shares included $14.3 million of accumulated unpaid and deemed dividends. The following table presents the change in the Series B Preferred Stock carrying value during the nine months ended September 30, 2021.</w:t>
      </w:r>
    </w:p>
    <w:p>
      <w:pPr>
        <w:sectPr>
          <w:pgSz w:w="11900" w:h="16838" w:orient="portrait"/>
          <w:cols w:equalWidth="0" w:num="1">
            <w:col w:w="11240"/>
          </w:cols>
          <w:pgMar w:left="320" w:top="233" w:right="339" w:bottom="1440" w:gutter="0" w:footer="0" w:header="0"/>
        </w:sect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ind w:left="305"/>
        <w:spacing w:after="0" w:line="226" w:lineRule="auto"/>
        <w:rPr>
          <w:sz w:val="20"/>
          <w:szCs w:val="20"/>
          <w:color w:val="auto"/>
        </w:rPr>
      </w:pPr>
      <w:r>
        <w:rPr>
          <w:rFonts w:ascii="Arial" w:cs="Arial" w:eastAsia="Arial" w:hAnsi="Arial"/>
          <w:sz w:val="14"/>
          <w:szCs w:val="14"/>
          <w:b w:val="1"/>
          <w:bCs w:val="1"/>
          <w:color w:val="auto"/>
        </w:rPr>
        <w:t>Nine Months Ended</w:t>
      </w:r>
    </w:p>
    <w:p>
      <w:pPr>
        <w:ind w:left="305"/>
        <w:spacing w:after="0"/>
        <w:rPr>
          <w:sz w:val="20"/>
          <w:szCs w:val="20"/>
          <w:color w:val="auto"/>
        </w:rPr>
      </w:pPr>
      <w:r>
        <w:rPr>
          <w:rFonts w:ascii="Arial" w:cs="Arial" w:eastAsia="Arial" w:hAnsi="Arial"/>
          <w:sz w:val="14"/>
          <w:szCs w:val="14"/>
          <w:b w:val="1"/>
          <w:bCs w:val="1"/>
          <w:color w:val="auto"/>
        </w:rPr>
        <w:t>September 30, 2021</w:t>
      </w:r>
    </w:p>
    <w:p>
      <w:pPr>
        <w:spacing w:after="0" w:line="34" w:lineRule="exact"/>
        <w:rPr>
          <w:sz w:val="20"/>
          <w:szCs w:val="20"/>
          <w:color w:val="auto"/>
        </w:rPr>
      </w:pPr>
    </w:p>
    <w:p>
      <w:pPr>
        <w:ind w:left="1185" w:hanging="1185"/>
        <w:spacing w:after="0"/>
        <w:tabs>
          <w:tab w:leader="none" w:pos="1185" w:val="left"/>
        </w:tabs>
        <w:numPr>
          <w:ilvl w:val="0"/>
          <w:numId w:val="6"/>
        </w:numPr>
        <w:rPr>
          <w:rFonts w:ascii="Arial" w:cs="Arial" w:eastAsia="Arial" w:hAnsi="Arial"/>
          <w:sz w:val="17"/>
          <w:szCs w:val="17"/>
          <w:color w:val="auto"/>
        </w:rPr>
      </w:pPr>
      <w:r>
        <w:rPr>
          <w:rFonts w:ascii="Arial" w:cs="Arial" w:eastAsia="Arial" w:hAnsi="Arial"/>
          <w:sz w:val="17"/>
          <w:szCs w:val="17"/>
          <w:color w:val="auto"/>
        </w:rPr>
        <w:t>105,086</w:t>
      </w:r>
    </w:p>
    <w:p>
      <w:pPr>
        <w:spacing w:after="0" w:line="34" w:lineRule="exact"/>
        <w:rPr>
          <w:rFonts w:ascii="Arial" w:cs="Arial" w:eastAsia="Arial" w:hAnsi="Arial"/>
          <w:sz w:val="17"/>
          <w:szCs w:val="17"/>
          <w:color w:val="auto"/>
        </w:rPr>
      </w:pPr>
    </w:p>
    <w:p>
      <w:pPr>
        <w:ind w:left="1285"/>
        <w:spacing w:after="0"/>
        <w:rPr>
          <w:rFonts w:ascii="Arial" w:cs="Arial" w:eastAsia="Arial" w:hAnsi="Arial"/>
          <w:sz w:val="17"/>
          <w:szCs w:val="17"/>
          <w:color w:val="auto"/>
        </w:rPr>
      </w:pPr>
      <w:r>
        <w:rPr>
          <w:rFonts w:ascii="Arial" w:cs="Arial" w:eastAsia="Arial" w:hAnsi="Arial"/>
          <w:sz w:val="17"/>
          <w:szCs w:val="17"/>
          <w:color w:val="auto"/>
        </w:rPr>
        <w:t>14,008</w:t>
      </w:r>
    </w:p>
    <w:p>
      <w:pPr>
        <w:spacing w:after="0" w:line="34" w:lineRule="exact"/>
        <w:rPr>
          <w:rFonts w:ascii="Arial" w:cs="Arial" w:eastAsia="Arial" w:hAnsi="Arial"/>
          <w:sz w:val="17"/>
          <w:szCs w:val="17"/>
          <w:color w:val="auto"/>
        </w:rPr>
      </w:pPr>
    </w:p>
    <w:p>
      <w:pPr>
        <w:ind w:left="1505"/>
        <w:spacing w:after="0"/>
        <w:rPr>
          <w:rFonts w:ascii="Arial" w:cs="Arial" w:eastAsia="Arial" w:hAnsi="Arial"/>
          <w:sz w:val="17"/>
          <w:szCs w:val="17"/>
          <w:color w:val="auto"/>
        </w:rPr>
      </w:pPr>
      <w:r>
        <w:rPr>
          <w:rFonts w:ascii="Arial" w:cs="Arial" w:eastAsia="Arial" w:hAnsi="Arial"/>
          <w:sz w:val="18"/>
          <w:szCs w:val="18"/>
          <w:color w:val="auto"/>
        </w:rPr>
        <w:t>335</w:t>
      </w:r>
    </w:p>
    <w:p>
      <w:pPr>
        <w:spacing w:after="0" w:line="23" w:lineRule="exact"/>
        <w:rPr>
          <w:sz w:val="20"/>
          <w:szCs w:val="20"/>
          <w:color w:val="auto"/>
        </w:rPr>
      </w:pPr>
    </w:p>
    <w:p>
      <w:pPr>
        <w:ind w:left="1125"/>
        <w:spacing w:after="0"/>
        <w:rPr>
          <w:sz w:val="20"/>
          <w:szCs w:val="20"/>
          <w:color w:val="auto"/>
        </w:rPr>
      </w:pPr>
      <w:r>
        <w:rPr>
          <w:rFonts w:ascii="Arial" w:cs="Arial" w:eastAsia="Arial" w:hAnsi="Arial"/>
          <w:sz w:val="16"/>
          <w:szCs w:val="16"/>
          <w:color w:val="auto"/>
        </w:rPr>
        <w:t>(119,429)</w:t>
      </w:r>
    </w:p>
    <w:p>
      <w:pPr>
        <w:spacing w:after="0" w:line="58" w:lineRule="exact"/>
        <w:rPr>
          <w:sz w:val="20"/>
          <w:szCs w:val="20"/>
          <w:color w:val="auto"/>
        </w:rPr>
      </w:pPr>
    </w:p>
    <w:p>
      <w:pPr>
        <w:ind w:left="5"/>
        <w:spacing w:after="0"/>
        <w:tabs>
          <w:tab w:leader="none" w:pos="156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75" w:space="720"/>
            <w:col w:w="1845"/>
          </w:cols>
          <w:pgMar w:left="320" w:top="233"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15, 2020, our Board of Directors authorized and declared a dividend of one preferred share purchase right for each outstanding share of common stock to shareholders of record on April 27, 2020. The rights expired on March 31,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The following tables summarize revenue by customer geographical region.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 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(22)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74,103</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(22)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117,244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 2020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(69)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42,019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27,198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220,248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(69)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367,205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(93)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(93)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308,506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177,913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109,763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367,205</w:t>
            </w: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 September 30,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148,879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92,099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September 30, 2021, unless our contracts meet one of the practical expedients. Our contracts met the practical expedient for a performance obligation that is part of a contract that has an original expected duration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recognized sales from a single customer of $11.1 million, or 10%, and $37.3 million, or 10%, of consolidated net sales, during the three and nine months ended September 30, 2021, respectively. Revenues from this customer are primarily in our Mobile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Share-based compensation cost is recognized in the “Selling, general, and administrative expense” line in the Condensed Consolidated Statements of Operations and Comprehensive Income (Loss) except for $(0.2) million and $0.2 million, attributable to discontinued operations for the three and nine</w:t>
      </w:r>
    </w:p>
    <w:p>
      <w:pPr>
        <w:spacing w:after="0"/>
        <w:rPr>
          <w:sz w:val="20"/>
          <w:szCs w:val="20"/>
          <w:color w:val="auto"/>
        </w:rPr>
      </w:pPr>
      <w:r>
        <w:rPr>
          <w:rFonts w:ascii="Arial" w:cs="Arial" w:eastAsia="Arial" w:hAnsi="Arial"/>
          <w:sz w:val="17"/>
          <w:szCs w:val="17"/>
          <w:color w:val="auto"/>
        </w:rPr>
        <w:t>months ended September 30, 2020, respectively. The following table lists the components of share-based compensation expense by type of award.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3"/>
              </w:rPr>
              <w:t>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center"/>
              <w:ind w:left="413"/>
              <w:spacing w:after="0"/>
              <w:rPr>
                <w:sz w:val="20"/>
                <w:szCs w:val="20"/>
                <w:color w:val="auto"/>
              </w:rPr>
            </w:pPr>
            <w:r>
              <w:rPr>
                <w:rFonts w:ascii="Arial" w:cs="Arial" w:eastAsia="Arial" w:hAnsi="Arial"/>
                <w:sz w:val="18"/>
                <w:szCs w:val="18"/>
                <w:color w:val="auto"/>
                <w:w w:val="93"/>
              </w:rPr>
              <w:t>963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2,791</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3"/>
              </w:rPr>
              <w:t>340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Change in estimate of share-based award vesting (1)</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00" w:type="dxa"/>
            <w:vAlign w:val="bottom"/>
          </w:tcPr>
          <w:p>
            <w:pPr>
              <w:jc w:val="center"/>
              <w:ind w:left="373"/>
              <w:spacing w:after="0"/>
              <w:rPr>
                <w:sz w:val="20"/>
                <w:szCs w:val="20"/>
                <w:color w:val="auto"/>
              </w:rPr>
            </w:pPr>
            <w:r>
              <w:rPr>
                <w:rFonts w:ascii="Arial" w:cs="Arial" w:eastAsia="Arial" w:hAnsi="Arial"/>
                <w:sz w:val="18"/>
                <w:szCs w:val="18"/>
                <w:color w:val="auto"/>
                <w:w w:val="95"/>
              </w:rPr>
              <w:t>(577)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3"/>
              </w:rPr>
              <w:t>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660" w:right="220" w:hanging="328"/>
        <w:spacing w:after="0" w:line="274" w:lineRule="auto"/>
        <w:tabs>
          <w:tab w:leader="none" w:pos="716"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reflect the decrease in share-based compensation expense based on the change in estimate of the probability of vesting of share-based awards.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nine months ended September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6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Number of Options</w:t>
            </w: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6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6"/>
                <w:szCs w:val="16"/>
                <w:color w:val="auto"/>
              </w:rPr>
            </w:pP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3.6 years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3.0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660" w:right="40" w:hanging="328"/>
        <w:spacing w:after="0" w:line="305" w:lineRule="auto"/>
        <w:tabs>
          <w:tab w:leader="none" w:pos="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September 30, 2021, was greater than the exercise price of any individual option grant.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nine months ended September 30, 2021, we granted 459 thousand shares of restricted stock to non-executive directors, officers and certain other key employees. The shares of restricted stock granted during the nine months ended September 30, 2021,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nine months ended September 30, 2021, was $6.84 per share. Total grant date fair value of restricted stock that vested in the nine months ended September 30, 2021, was $2.8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status of unvested restricted stock awards as of September 30, 2021, and changes during the nine months then ended.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2021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 years later on December 31.</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dividends declared and the number of shares of common stock that are ultimately earned at the end of the performance periods.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With respect to the TSR and ROIC Awards, a participant will earn 50%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or modified in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35th Percentile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50th Percentile</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2020 grants (1)</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6.7%</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57"/>
        </w:trPr>
        <w:tc>
          <w:tcPr>
            <w:tcW w:w="4080" w:type="dxa"/>
            <w:vAlign w:val="bottom"/>
            <w:gridSpan w:val="4"/>
          </w:tcPr>
          <w:p>
            <w:pPr>
              <w:spacing w:after="0"/>
              <w:rPr>
                <w:sz w:val="20"/>
                <w:szCs w:val="20"/>
                <w:color w:val="auto"/>
              </w:rPr>
            </w:pPr>
            <w:r>
              <w:rPr>
                <w:rFonts w:ascii="Arial" w:cs="Arial" w:eastAsia="Arial" w:hAnsi="Arial"/>
                <w:sz w:val="14"/>
                <w:szCs w:val="14"/>
                <w:color w:val="auto"/>
              </w:rPr>
              <w:t>_______________________________</w:t>
            </w:r>
          </w:p>
        </w:tc>
        <w:tc>
          <w:tcPr>
            <w:tcW w:w="2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980" w:right="60" w:hanging="324"/>
        <w:spacing w:after="0" w:line="277" w:lineRule="auto"/>
        <w:tabs>
          <w:tab w:leader="none" w:pos="9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levels for 2020 grants were modified by the compensation committee of the board of directors in the first quarter of 2021 to adjust for the sale of the Life Sciences business and the ongoing effects of the COVID-19 pandemic.</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gridSpan w:val="4"/>
          </w:tcPr>
          <w:p>
            <w:pPr>
              <w:ind w:left="20"/>
              <w:spacing w:after="0"/>
              <w:rPr>
                <w:sz w:val="20"/>
                <w:szCs w:val="20"/>
                <w:color w:val="auto"/>
              </w:rPr>
            </w:pPr>
            <w:r>
              <w:rPr>
                <w:rFonts w:ascii="Arial" w:cs="Arial" w:eastAsia="Arial" w:hAnsi="Arial"/>
                <w:sz w:val="14"/>
                <w:szCs w:val="14"/>
                <w:b w:val="1"/>
                <w:bCs w:val="1"/>
                <w:color w:val="auto"/>
              </w:rPr>
              <w:t>TSR Awards</w:t>
            </w:r>
          </w:p>
        </w:tc>
        <w:tc>
          <w:tcPr>
            <w:tcW w:w="2160" w:type="dxa"/>
            <w:vAlign w:val="bottom"/>
            <w:gridSpan w:val="3"/>
          </w:tcPr>
          <w:p>
            <w:pPr>
              <w:ind w:left="1240"/>
              <w:spacing w:after="0"/>
              <w:rPr>
                <w:sz w:val="20"/>
                <w:szCs w:val="20"/>
                <w:color w:val="auto"/>
              </w:rPr>
            </w:pPr>
            <w:r>
              <w:rPr>
                <w:rFonts w:ascii="Arial" w:cs="Arial" w:eastAsia="Arial" w:hAnsi="Arial"/>
                <w:sz w:val="14"/>
                <w:szCs w:val="14"/>
                <w:b w:val="1"/>
                <w:bCs w:val="1"/>
                <w:color w:val="auto"/>
              </w:rPr>
              <w:t>ROIC Awards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top w:val="single" w:sz="8" w:color="auto"/>
            </w:tcBorders>
            <w:vMerge w:val="restart"/>
          </w:tcPr>
          <w:p>
            <w:pPr>
              <w:jc w:val="center"/>
              <w:ind w:left="302"/>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1"/>
                <w:szCs w:val="11"/>
                <w:color w:val="auto"/>
              </w:rPr>
            </w:pPr>
          </w:p>
        </w:tc>
        <w:tc>
          <w:tcPr>
            <w:tcW w:w="2160" w:type="dxa"/>
            <w:vAlign w:val="bottom"/>
            <w:tcBorders>
              <w:top w:val="single" w:sz="8" w:color="auto"/>
            </w:tcBorders>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tcBorders>
              <w:top w:val="single" w:sz="8" w:color="auto"/>
            </w:tcBorders>
          </w:tcPr>
          <w:p>
            <w:pPr>
              <w:jc w:val="center"/>
              <w:ind w:right="32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2160" w:type="dxa"/>
            <w:vAlign w:val="bottom"/>
            <w:gridSpan w:val="3"/>
            <w:vMerge w:val="continue"/>
          </w:tcPr>
          <w:p>
            <w:pPr>
              <w:spacing w:after="0"/>
              <w:rPr>
                <w:sz w:val="11"/>
                <w:szCs w:val="11"/>
                <w:color w:val="auto"/>
              </w:rPr>
            </w:pPr>
          </w:p>
        </w:tc>
        <w:tc>
          <w:tcPr>
            <w:tcW w:w="122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1280" w:type="dxa"/>
            <w:vAlign w:val="bottom"/>
          </w:tcPr>
          <w:p>
            <w:pPr>
              <w:jc w:val="center"/>
              <w:ind w:left="282"/>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w:t>
            </w:r>
          </w:p>
        </w:tc>
        <w:tc>
          <w:tcPr>
            <w:tcW w:w="2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jc w:val="center"/>
              <w:ind w:right="344"/>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left="302"/>
              <w:spacing w:after="0"/>
              <w:rPr>
                <w:sz w:val="20"/>
                <w:szCs w:val="20"/>
                <w:color w:val="auto"/>
              </w:rPr>
            </w:pPr>
            <w:r>
              <w:rPr>
                <w:rFonts w:ascii="Arial" w:cs="Arial" w:eastAsia="Arial" w:hAnsi="Arial"/>
                <w:sz w:val="18"/>
                <w:szCs w:val="18"/>
                <w:color w:val="auto"/>
                <w:w w:val="86"/>
              </w:rPr>
              <w:t>142</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344"/>
              <w:spacing w:after="0"/>
              <w:rPr>
                <w:sz w:val="20"/>
                <w:szCs w:val="20"/>
                <w:color w:val="auto"/>
              </w:rPr>
            </w:pPr>
            <w:r>
              <w:rPr>
                <w:rFonts w:ascii="Arial" w:cs="Arial" w:eastAsia="Arial" w:hAnsi="Arial"/>
                <w:sz w:val="18"/>
                <w:szCs w:val="18"/>
                <w:color w:val="auto"/>
                <w:w w:val="88"/>
              </w:rPr>
              <w:t>$7.20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September 30, 2021, and changes during the nine months then ended.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Arial" w:cs="Arial" w:eastAsia="Arial" w:hAnsi="Arial"/>
                <w:sz w:val="14"/>
                <w:szCs w:val="14"/>
                <w:b w:val="1"/>
                <w:bCs w:val="1"/>
                <w:color w:val="auto"/>
              </w:rPr>
              <w:t>Nonvested TSR Awards</w:t>
            </w:r>
          </w:p>
        </w:tc>
        <w:tc>
          <w:tcPr>
            <w:tcW w:w="3380" w:type="dxa"/>
            <w:vAlign w:val="bottom"/>
            <w:gridSpan w:val="4"/>
          </w:tcPr>
          <w:p>
            <w:pPr>
              <w:ind w:left="90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640" w:type="dxa"/>
            <w:vAlign w:val="bottom"/>
          </w:tcPr>
          <w:p>
            <w:pPr>
              <w:ind w:left="3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2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60" w:type="dxa"/>
            <w:vAlign w:val="bottom"/>
          </w:tcPr>
          <w:p>
            <w:pPr>
              <w:ind w:left="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3"/>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Nonvested at September 30, 2021</w:t>
            </w:r>
          </w:p>
        </w:tc>
        <w:tc>
          <w:tcPr>
            <w:tcW w:w="12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219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261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Vesting Estimates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nine months ended September 30, 2021, we recognized a decrease in share-based compensation expense in continuing operations of $0.3 million in the “Selling, general, and administrative expense” line in the Condensed Consolidated Statements of Operations and Comprehensive Income (Loss) to reverse cumulative expense for restricted stock and PSU awards that were forfeited upon termination of employment and were in excess of our estimated forfeiture rate.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(loss) (“AOCI”).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(56,795)</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interest rate swap settlements of effective hedge.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reclassification of derivative loss and settlements after discontinuation of hedge accounting.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Income (Loss) Per Common Share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(124,003)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Less: Preferred stock cumulative dividends and deemed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155"/>
        </w:trPr>
        <w:tc>
          <w:tcPr>
            <w:tcW w:w="5660" w:type="dxa"/>
            <w:vAlign w:val="bottom"/>
          </w:tcPr>
          <w:p>
            <w:pPr>
              <w:ind w:left="240"/>
              <w:spacing w:after="0" w:line="156" w:lineRule="exact"/>
              <w:rPr>
                <w:sz w:val="20"/>
                <w:szCs w:val="20"/>
                <w:color w:val="auto"/>
              </w:rPr>
            </w:pPr>
            <w:r>
              <w:rPr>
                <w:rFonts w:ascii="Arial" w:cs="Arial" w:eastAsia="Arial" w:hAnsi="Arial"/>
                <w:sz w:val="18"/>
                <w:szCs w:val="18"/>
                <w:color w:val="auto"/>
              </w:rPr>
              <w:t>Numerator for basic and diluted income (loss) from continuing</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(32,735)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(133,136)</w:t>
            </w:r>
          </w:p>
        </w:tc>
        <w:tc>
          <w:tcPr>
            <w:tcW w:w="0" w:type="dxa"/>
            <w:vAlign w:val="bottom"/>
          </w:tcPr>
          <w:p>
            <w:pPr>
              <w:spacing w:after="0"/>
              <w:rPr>
                <w:sz w:val="1"/>
                <w:szCs w:val="1"/>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operations per common share (1)</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 (Note 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(123,966)</w:t>
            </w:r>
          </w:p>
        </w:tc>
        <w:tc>
          <w:tcPr>
            <w:tcW w:w="0" w:type="dxa"/>
            <w:vAlign w:val="bottom"/>
          </w:tcPr>
          <w:p>
            <w:pPr>
              <w:spacing w:after="0"/>
              <w:rPr>
                <w:sz w:val="1"/>
                <w:szCs w:val="1"/>
                <w:color w:val="auto"/>
              </w:rPr>
            </w:pPr>
          </w:p>
        </w:tc>
      </w:tr>
      <w:tr>
        <w:trPr>
          <w:trHeight w:val="156"/>
        </w:trPr>
        <w:tc>
          <w:tcPr>
            <w:tcW w:w="5660" w:type="dxa"/>
            <w:vAlign w:val="bottom"/>
          </w:tcPr>
          <w:p>
            <w:pPr>
              <w:ind w:left="220"/>
              <w:spacing w:after="0" w:line="156" w:lineRule="exact"/>
              <w:rPr>
                <w:sz w:val="20"/>
                <w:szCs w:val="20"/>
                <w:color w:val="auto"/>
              </w:rPr>
            </w:pPr>
            <w:r>
              <w:rPr>
                <w:rFonts w:ascii="Arial" w:cs="Arial" w:eastAsia="Arial" w:hAnsi="Arial"/>
                <w:sz w:val="18"/>
                <w:szCs w:val="18"/>
                <w:color w:val="auto"/>
                <w:w w:val="93"/>
              </w:rPr>
              <w:t>Numerator for basic and diluted undistributed net loss per common share</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18,831</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(32,735)</w:t>
            </w:r>
          </w:p>
        </w:tc>
        <w:tc>
          <w:tcPr>
            <w:tcW w:w="120" w:type="dxa"/>
            <w:vAlign w:val="bottom"/>
          </w:tcPr>
          <w:p>
            <w:pPr>
              <w:spacing w:after="0"/>
              <w:rPr>
                <w:sz w:val="13"/>
                <w:szCs w:val="13"/>
                <w:color w:val="auto"/>
              </w:rPr>
            </w:pPr>
          </w:p>
        </w:tc>
        <w:tc>
          <w:tcPr>
            <w:tcW w:w="4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(257,102)</w:t>
            </w:r>
          </w:p>
        </w:tc>
        <w:tc>
          <w:tcPr>
            <w:tcW w:w="0" w:type="dxa"/>
            <w:vAlign w:val="bottom"/>
          </w:tcPr>
          <w:p>
            <w:pPr>
              <w:spacing w:after="0"/>
              <w:rPr>
                <w:sz w:val="1"/>
                <w:szCs w:val="1"/>
                <w:color w:val="auto"/>
              </w:rPr>
            </w:pPr>
          </w:p>
        </w:tc>
      </w:tr>
      <w:tr>
        <w:trPr>
          <w:trHeight w:val="208"/>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29"/>
        </w:trPr>
        <w:tc>
          <w:tcPr>
            <w:tcW w:w="5660" w:type="dxa"/>
            <w:vAlign w:val="bottom"/>
          </w:tcPr>
          <w:p>
            <w:pPr>
              <w:ind w:left="440"/>
              <w:spacing w:after="0"/>
              <w:rPr>
                <w:sz w:val="20"/>
                <w:szCs w:val="20"/>
                <w:color w:val="auto"/>
              </w:rPr>
            </w:pPr>
            <w:r>
              <w:rPr>
                <w:rFonts w:ascii="Arial" w:cs="Arial" w:eastAsia="Arial" w:hAnsi="Arial"/>
                <w:sz w:val="18"/>
                <w:szCs w:val="18"/>
                <w:color w:val="auto"/>
              </w:rPr>
              <w:t>Adjustment for unvested restricted common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2021 Warrants outstanding (2)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Pr>
          <w:p>
            <w:pPr>
              <w:ind w:left="220"/>
              <w:spacing w:after="0" w:line="196" w:lineRule="exact"/>
              <w:rPr>
                <w:sz w:val="20"/>
                <w:szCs w:val="20"/>
                <w:color w:val="auto"/>
              </w:rPr>
            </w:pPr>
            <w:r>
              <w:rPr>
                <w:rFonts w:ascii="Arial" w:cs="Arial" w:eastAsia="Arial" w:hAnsi="Arial"/>
                <w:sz w:val="18"/>
                <w:szCs w:val="18"/>
                <w:color w:val="auto"/>
              </w:rPr>
              <w:t>Shares used to calculate income (loss) per share, basic and diluted</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44,455</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42,202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43,862</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42,170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Per common share net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loss from continuing operations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w w:val="99"/>
              </w:rPr>
              <w:t>Basic income (loss) from discontinued operations per common share</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income (loss) per common share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loss from continuing operations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46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(0.75)</w:t>
            </w:r>
          </w:p>
        </w:tc>
        <w:tc>
          <w:tcPr>
            <w:tcW w:w="120" w:type="dxa"/>
            <w:vAlign w:val="bottom"/>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Diluted income (loss) from discontinued operations per common share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Diluted income (loss) per common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Preferred Stock does not participate in losses.</w:t>
      </w:r>
    </w:p>
    <w:p>
      <w:pPr>
        <w:spacing w:after="0" w:line="63" w:lineRule="exact"/>
        <w:rPr>
          <w:rFonts w:ascii="Arial" w:cs="Arial" w:eastAsia="Arial" w:hAnsi="Arial"/>
          <w:sz w:val="18"/>
          <w:szCs w:val="18"/>
          <w:color w:val="auto"/>
        </w:rPr>
      </w:pPr>
    </w:p>
    <w:p>
      <w:pPr>
        <w:ind w:left="900" w:right="280" w:hanging="244"/>
        <w:spacing w:after="0" w:line="277" w:lineRule="auto"/>
        <w:tabs>
          <w:tab w:leader="none" w:pos="9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2021 Warrants outstanding are included in shares outstanding for calculation of basic earnings per share because they are exercisable at an exercise price of $0.01 per share, subject to certain adjustments (see Note 17).</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56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2019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Preferred Stock, as-converted</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1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r>
      <w:tr>
        <w:trPr>
          <w:trHeight w:val="223"/>
        </w:trPr>
        <w:tc>
          <w:tcPr>
            <w:tcW w:w="56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c>
          <w:tcPr>
            <w:tcW w:w="1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elected to allocate undistributed income to participating securities based on year-to-date results. As there was no undistributed income for the three and nine months ended September 30, 2021, no such allocation was necessary. In addition, given the undistributed loss from continuing operations in the three and nine months ended September 30, 2021 and 2020, options and the 2019 Warrants are considered anti-dilutive and were excluded from the calculation of diluted net loss per share. Stock options excluded from the calculations of diluted net loss per share had a per share exercise price ranging from $7.93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$25.16 for the three months ended September 30, 2021, and $7.93 to $25.16 for three months ended September 30, 2020. Stock options excluded from the calculations of diluted net income (loss) per share had a per share exercise price ranging from $7.93 to $25.16 for the nine months ended September 30, 2021, and $7.93 to $25.16 for nine months ended September 30, 2020. The 2019 Warrants excluded from the calculation of diluted net loss per share for the three and nine months ended September 30, 2021, had a per share exercise price of $11.49. Series B Preferred Stock excluded from the calculation of diluted net loss per share for the three and nine months ended September 30, 2020, was calculated on an as-converted basis.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2020 Annual Report.</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financial instruments that are subject to fair value disclosure consist of cash and cash equivalents, accounts receivable, accounts payable, derivatives, and long-term debt. As of September 30, 2021, the carrying values of these financial instruments approximated fair value.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features were bifurcated and accounted for separately from the Series B Preferred Stock. The following features were recorded as derivatives.</w:t>
      </w:r>
    </w:p>
    <w:p>
      <w:pPr>
        <w:spacing w:after="0" w:line="140" w:lineRule="exact"/>
        <w:rPr>
          <w:sz w:val="20"/>
          <w:szCs w:val="20"/>
          <w:color w:val="auto"/>
        </w:rPr>
      </w:pPr>
    </w:p>
    <w:p>
      <w:pPr>
        <w:ind w:left="660" w:right="160" w:hanging="328"/>
        <w:spacing w:after="0" w:line="301" w:lineRule="auto"/>
        <w:tabs>
          <w:tab w:leader="none" w:pos="65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Series B Preferred Stock included a redemption option based on a leverage ratio threshold that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holder the option to convert the Series B Preferred Stock to a variable number of shares of common stock at a discount to the then fair value of our common stock. The conversion feature was considered a redemption right at a premium which was not clearly and closely related to the debt host. The conversion feature was terminated upon redemption of the Series B Preferred Stock in March 2021.</w:t>
      </w:r>
    </w:p>
    <w:p>
      <w:pPr>
        <w:spacing w:after="0" w:line="49" w:lineRule="exact"/>
        <w:rPr>
          <w:rFonts w:ascii="Arial" w:cs="Arial" w:eastAsia="Arial" w:hAnsi="Arial"/>
          <w:sz w:val="16"/>
          <w:szCs w:val="16"/>
          <w:i w:val="1"/>
          <w:iCs w:val="1"/>
          <w:color w:val="auto"/>
        </w:rPr>
      </w:pPr>
    </w:p>
    <w:p>
      <w:pPr>
        <w:ind w:left="660" w:right="60" w:hanging="328"/>
        <w:spacing w:after="0" w:line="27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Dividends withholding. </w:t>
      </w:r>
      <w:r>
        <w:rPr>
          <w:rFonts w:ascii="Arial" w:cs="Arial" w:eastAsia="Arial" w:hAnsi="Arial"/>
          <w:sz w:val="17"/>
          <w:szCs w:val="17"/>
          <w:color w:val="auto"/>
        </w:rPr>
        <w:t>The Series B Preferred Stock bore a feature that could require us to make an effective distribution to purchasers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indexed to the tax rate of the purchasers. This distribution would be partially offset by an adjustment to the redemption price and/or conversion rate. The dividends withholding feature was not clearly and closely related to the debt host. Upon redemption of the Series B Preferred Stock in March 2021, we made a net cash distribution of $3.0 million to settle this withholding feature after effectively receiving a $1.0 million offset from the purchasers upon redemption of the Series B Preferred Stock.</w:t>
      </w:r>
    </w:p>
    <w:p>
      <w:pPr>
        <w:spacing w:after="0" w:line="68"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conjunction with our placement of the Series B Preferred Stock, we issued detachable warrants to purchase up to 1.5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(the “2019 Warrants”), which are exercisable, in full or in part, at any time prior to December 11, 2026. The original exercise price was $12.00 per share, subject to anti-dilution adjustments in the event of future below market issuances, stock splits, stock dividends, combinations or similar events. The issuance of the 2021 Warrants resulted in an adjusted exercise price of $11.49 per share for the 2019 Warrants because the new warrants have an exercise price below market value.</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features were bifurcated and accounted for separately from the Series D Preferred Stock that was issued on March 22, 2021. The following features were recorded as derivatives.</w:t>
      </w:r>
    </w:p>
    <w:p>
      <w:pPr>
        <w:spacing w:after="0" w:line="62" w:lineRule="exact"/>
        <w:rPr>
          <w:sz w:val="20"/>
          <w:szCs w:val="20"/>
          <w:color w:val="auto"/>
        </w:rPr>
      </w:pPr>
    </w:p>
    <w:p>
      <w:pPr>
        <w:ind w:left="660" w:right="20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put feature. </w:t>
      </w:r>
      <w:r>
        <w:rPr>
          <w:rFonts w:ascii="Arial" w:cs="Arial" w:eastAsia="Arial" w:hAnsi="Arial"/>
          <w:sz w:val="16"/>
          <w:szCs w:val="16"/>
          <w:color w:val="auto"/>
        </w:rPr>
        <w:t>The Series D Preferred Stock includes a put feature that allows the holder to redeem the Series 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40" w:lineRule="exact"/>
        <w:rPr>
          <w:rFonts w:ascii="Arial" w:cs="Arial" w:eastAsia="Arial" w:hAnsi="Arial"/>
          <w:sz w:val="16"/>
          <w:szCs w:val="16"/>
          <w:color w:val="auto"/>
        </w:rPr>
      </w:pPr>
    </w:p>
    <w:p>
      <w:pPr>
        <w:ind w:left="660" w:right="18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conjunction with our placement of the Series D Preferred Stock, we issued detachable warrants to purchase up to 1.9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liabilities measured at fair value for the above derivatives as of September 30, 2021, and December 31, 2020.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September 30, 2021</w:t>
            </w: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16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Assets (Level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6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8"/>
          </w:tcPr>
          <w:p>
            <w:pPr>
              <w:jc w:val="center"/>
              <w:ind w:right="94"/>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6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Quoted Prices in Active</w:t>
            </w:r>
          </w:p>
        </w:tc>
        <w:tc>
          <w:tcPr>
            <w:tcW w:w="160" w:type="dxa"/>
            <w:vAlign w:val="bottom"/>
          </w:tcPr>
          <w:p>
            <w:pPr>
              <w:spacing w:after="0"/>
              <w:rPr>
                <w:sz w:val="11"/>
                <w:szCs w:val="11"/>
                <w:color w:val="auto"/>
              </w:rPr>
            </w:pPr>
          </w:p>
        </w:tc>
        <w:tc>
          <w:tcPr>
            <w:tcW w:w="14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1"/>
                <w:szCs w:val="11"/>
                <w:color w:val="auto"/>
              </w:rPr>
            </w:pPr>
          </w:p>
        </w:tc>
        <w:tc>
          <w:tcPr>
            <w:tcW w:w="14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9700" w:type="dxa"/>
            <w:vAlign w:val="bottom"/>
            <w:gridSpan w:val="8"/>
          </w:tcPr>
          <w:p>
            <w:pPr>
              <w:spacing w:after="0"/>
              <w:rPr>
                <w:sz w:val="20"/>
                <w:szCs w:val="20"/>
                <w:color w:val="auto"/>
              </w:rPr>
            </w:pPr>
            <w:r>
              <w:rPr>
                <w:rFonts w:ascii="Arial" w:cs="Arial" w:eastAsia="Arial" w:hAnsi="Arial"/>
                <w:sz w:val="18"/>
                <w:szCs w:val="18"/>
                <w:color w:val="auto"/>
              </w:rPr>
              <w:t>The following table presents the change in the above derivatives during the nine months ended September 30, 2021.</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300" w:hanging="24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Condensed Consolidated Statements of Operations and Comprehensive Income (Loss).</w:t>
      </w:r>
    </w:p>
    <w:p>
      <w:pPr>
        <w:spacing w:after="0" w:line="22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fair value of the change-in-control put feature utilizes unobservable inputs based on the Company’s assessment of the probability of a change-in-control event occurring in a future period. The probability of a change-in-control event ranged from 1% to 10% as of September 30, 2021.</w:t>
      </w:r>
    </w:p>
    <w:p>
      <w:pPr>
        <w:spacing w:after="0" w:line="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leverage ratio put feature, the dividends withholding feature, and the contingent dividends feature utilized unobservable inputs based on the best information available to determine the probability of the Series B Preferred Stock remaining outstanding for future periods. These inputs included probability assessments of how long the Series B Preferred Stock would remain outstanding and whether the leverage ratio threshold would be exceeded. Inputs also included the percentage of Series B Preferred Stock held by non-U.S. resident holders and the applicable tax withholding rates for those holders. The probability of the Series B Preferred Stock remaining in future periods ranged from 3% to 2% as of December 31, 2020. The leverage ratio put feature also utilized unobservable inputs to determine the probability of the leverage ratio put being exercisable as of March 31, 2023, which ranged from 10% to 1% as of December 31, 2020. These probabilities were determined based on management’s assessment of facts and circumstances at each reporting date. An increase in these probabilities would have resulted in an increase in the derivative liability fair value. Given the Series B Preferred Stock value changed by period as a result of dividends and redemption premiums, weighted average values for these assumptions are not meaningful.</w:t>
      </w:r>
    </w:p>
    <w:p>
      <w:pPr>
        <w:spacing w:after="0" w:line="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3.6 years as of September 30, 2021, and 2.4 years as of December 31, 2020.</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the 2021 Warrants is determined using the observable market price of a share of our common stock, less the $0.01 per share exercise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(2)” line on the Condensed Consolidated Statements of Operations and Comprehensive Income (Loss) except that cash settlements prior to termination are recognized in “Derivative payments on interest rate swap.” Cash settlements during 2021 are presented in investing activities on the Condensed Consolidated Statements of Cash Flows.</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effect of the interest rate swaps on the Condensed Consolidated Statements of Operations and Comprehensive Income (Loss).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4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(1)</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Derivative payments on interest rate swap (2)</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interest rate swap (2)</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settlements on the interest rate swaps while the hedges are effective.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settlements and changes in fair value on the 2019 Swap.</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the liabilities measured at fair value on a recurring basis for the interest rate swaps as of September 30, 2021, and December 31,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September 30, 2021</w:t>
            </w:r>
          </w:p>
        </w:tc>
        <w:tc>
          <w:tcPr>
            <w:tcW w:w="0" w:type="dxa"/>
            <w:vAlign w:val="bottom"/>
          </w:tcPr>
          <w:p>
            <w:pPr>
              <w:spacing w:after="0"/>
              <w:rPr>
                <w:sz w:val="1"/>
                <w:szCs w:val="1"/>
                <w:color w:val="auto"/>
              </w:rPr>
            </w:pPr>
          </w:p>
        </w:tc>
      </w:tr>
      <w:tr>
        <w:trPr>
          <w:trHeight w:val="134"/>
        </w:trPr>
        <w:tc>
          <w:tcPr>
            <w:tcW w:w="6280" w:type="dxa"/>
            <w:vAlign w:val="bottom"/>
          </w:tcPr>
          <w:p>
            <w:pPr>
              <w:spacing w:after="0"/>
              <w:rPr>
                <w:sz w:val="11"/>
                <w:szCs w:val="11"/>
                <w:color w:val="auto"/>
              </w:rPr>
            </w:pP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66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66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6"/>
        </w:trPr>
        <w:tc>
          <w:tcPr>
            <w:tcW w:w="6280" w:type="dxa"/>
            <w:vAlign w:val="bottom"/>
            <w:vMerge w:val="continue"/>
          </w:tcPr>
          <w:p>
            <w:pPr>
              <w:spacing w:after="0"/>
              <w:rPr>
                <w:sz w:val="16"/>
                <w:szCs w:val="16"/>
                <w:color w:val="auto"/>
              </w:rPr>
            </w:pPr>
          </w:p>
        </w:tc>
        <w:tc>
          <w:tcPr>
            <w:tcW w:w="170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Assets (Level 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6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7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center"/>
              <w:ind w:right="36"/>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46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6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452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7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inputs for determining fair value of the interest rate swaps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approximated carrying value as of September 30, 2021, and December 31, 2020, respectively. These fair values represent Level 2 under the three-tier hierarchy described above. The carrying value of this fixed-rate debt was $11.4 million and $14.4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2020 Annual Report and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paragraphs describe factors that have influenced results of operations for the nine months ended September 30, 2021, that management believes are important to provide an understanding of the business and results of operations or that may influence operations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The COVID-19 pandemic continues to disrupt the United States and global economy, and we cannot predict when a full economic recovery will occur. A new Delta variant of COVID-19, which appears to be the most transmissible variant to date, has been spreading in the United States and across the globe. The impact of the Delta variant cannot be predicted at this time and could depend on numerous factors, including vaccination rates among the population, the effectiveness of COVID-19 vaccines against the Delta variant, and the response by governmental bodies and regulators. Further surges in COVID-19 infection rates could result in the reinstatement of directives and mandates requiring businesses to again curtail or cease normal operations.</w:t>
      </w:r>
    </w:p>
    <w:p>
      <w:pPr>
        <w:spacing w:after="0" w:line="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spread of COVID-19 and the responses thereto have created a disruption in the manufacturing, delivery, and overall supply chain of automobile manufacturers and suppliers, as well as disruption within the power industry. Global vehicle production decreased significantly in 2020, but production has since ramped back up. However, production continues to be impacted by disruptions of global supply chains, which have caused challenges in obtaining raw materials we use in the manufacture of some of our products. We have been increasing our inventories in the current year to mitigate the risk of supply chain disruption for our customers. In addition, power shortages in China have resulted in widespread blackouts, often without any or little notice. These blackouts have caused us and other manufacturers in the region to shut down production until power is restored. Supply chain and COVID-19 related disruptions are expected to continue into 2022.</w:t>
      </w:r>
    </w:p>
    <w:p>
      <w:pPr>
        <w:spacing w:after="0" w:line="8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Inflation triggered by the unprecedented economic impact of the COVID-19 pandemic has increased our manufacturing cost, particularly labor and materials, and is expected to continue into future periods. A worldwide semiconductor chip shortage is affecting automotive original equipment manufacturers, causing unpredictable volumes. The rapid development and fluidity of the situation precludes any prediction as to the ultimate impact COVID-19 will have on our business, financial condition,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results of operations, and cash flows, which will depend largely on future developments directly or indirectly relating to the duration and scope of the COVID-19 pandemic.</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managing decreased demand in many regions across the globe, we are now operating at all of our business locations. We have implemented training and recruiting programs to address labor shortages. We are focused on the safety of our employees, customers, and suppliers. We have developed and implemented processes to ensure a safe environment for our employees and any visitors to our facilities, including providing personal protective equipment and establishing social distancing protocols.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processes include recommendations based on guidelines from the Centers for Disease Control and Prevention and the World Health Organization. The health and safety of our employees remains our top priority. While we are actively promoting vaccination among our employees, new federal COVID-19 vaccine mandates may affect workforce availability ranging from absences for vaccinations, booster shots, and recovery from side-effects to resignations by employees unwilling to comply with the mandate. Significant workforce availability challenges could have a material effect on our business operations, financial results, liquidity, and financial position.</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undertaken a number of permanent and temporary actions to manage the evolving situation, as described in our 2020 Annual Report. We continue to streamline facilities and implement cost savings initiatives. Capital expenditures and travel costs remain at relatively low levels. We refinanced our credit facility and preferred stock in the first quarter as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Outstanding borrowings under the Term Loan Facility bear interest at either 1) one-month LIBOR (subject to a 1.000% floor) plus an applicable margin of 6.875% or 2) the greater of various benchmark rates plus an applicable margin of 5.875%. At September 30, 2021, the Term Loan Facility bore interest, based on one-month LIBOR, at 7.875%. 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September 30, 2021.</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On July 22, 2021, we entered into a new fixed-rate interest rate swap agreement to change the LIBOR-based component of the interest rate on</w:t>
      </w:r>
    </w:p>
    <w:p>
      <w:pPr>
        <w:spacing w:after="0" w:line="3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$60.0 million of our variable rate debt to a fixed rate of 1.291%. The interest rate swap, which has been designated as a cash flow hedge, has a notional amount of $60.0 million and a maturity date of July 31, 2024.</w:t>
      </w:r>
    </w:p>
    <w:p>
      <w:pPr>
        <w:spacing w:after="0" w:line="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September 30, 2021, using one-month LIBOR plus a 1.75% spread, the weighted average interest rate on outstanding borrowings under the ABL Facility would have been 2.25% if there had been any balance outstanding. We pay a commitment fee of 0.375% for unused capacity under the ABL Facility and a 1.875% fee on the amount of letters of credit outstanding. The final maturity date of the ABL Facility is March 22, 2026.</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no outstanding borrowings under the ABL Facility at September 30, 2021. Total capacity under the ABL Facility was $47.7 million as of September 30, 2021, of which $36.5 million was available for future borrowings after reductions for outstanding letters of credit as of September 30, 2021. The ABL Facility has a first lien on accounts receivable and inventory. We were in compliance with all requirements under the ABL Facility as of September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 The total redemption cash payment was $118.4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Concentration</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recognized sales from a single customer of $11.1 million, or 10%, and $37.3 million, or 10%, of consolidated net sales, during the three and nine months ended September 30, 2021, respectively. Revenues from this customer are primarily in our Mobile Solutions segment.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the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96"/>
              </w:rPr>
              <w:t>Three Months Ended 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2,155</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1,328</w:t>
            </w:r>
          </w:p>
        </w:tc>
        <w:tc>
          <w:tcPr>
            <w:tcW w:w="0" w:type="dxa"/>
            <w:vAlign w:val="bottom"/>
          </w:tcPr>
          <w:p>
            <w:pPr>
              <w:spacing w:after="0"/>
              <w:rPr>
                <w:sz w:val="1"/>
                <w:szCs w:val="1"/>
                <w:color w:val="auto"/>
              </w:rPr>
            </w:pPr>
          </w:p>
        </w:tc>
      </w:tr>
      <w:tr>
        <w:trPr>
          <w:trHeight w:val="176"/>
        </w:trPr>
        <w:tc>
          <w:tcPr>
            <w:tcW w:w="6220" w:type="dxa"/>
            <w:vAlign w:val="bottom"/>
          </w:tcPr>
          <w:p>
            <w:pPr>
              <w:ind w:left="220"/>
              <w:spacing w:after="0" w:line="176" w:lineRule="exact"/>
              <w:rPr>
                <w:sz w:val="20"/>
                <w:szCs w:val="20"/>
                <w:color w:val="auto"/>
              </w:rPr>
            </w:pPr>
            <w:r>
              <w:rPr>
                <w:rFonts w:ascii="Arial" w:cs="Arial" w:eastAsia="Arial" w:hAnsi="Arial"/>
                <w:sz w:val="18"/>
                <w:szCs w:val="18"/>
                <w:color w:val="auto"/>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98,642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90,076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8,566</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(3,156)</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220" w:type="dxa"/>
            <w:vAlign w:val="bottom"/>
          </w:tcPr>
          <w:p>
            <w:pPr>
              <w:ind w:left="20"/>
              <w:spacing w:after="0" w:line="156" w:lineRule="exact"/>
              <w:rPr>
                <w:sz w:val="20"/>
                <w:szCs w:val="20"/>
                <w:color w:val="auto"/>
              </w:rPr>
            </w:pPr>
            <w:r>
              <w:rPr>
                <w:rFonts w:ascii="Arial" w:cs="Arial" w:eastAsia="Arial" w:hAnsi="Arial"/>
                <w:sz w:val="18"/>
                <w:szCs w:val="18"/>
                <w:color w:val="auto"/>
                <w:w w:val="97"/>
              </w:rPr>
              <w:t>Loss from continuing operations before benefit (provision) for income taxes and</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(8,211)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4,367</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(20,330)</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$3.5 million, or 3%, during the three months ended September 30, 2021, compared to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primarily due to higher demand within the electrical market that was negatively impacted by the COVID-19 pandemic in the prior year and new business in the general industrial market. In addition, sales were positively impacted by increased selling prices for precious metals allowed under customer contracts due to the sharp rise in underlying commodities costs compared with the same period of 2020. These increases were partially offset by decreased demand from automotive customers due largely to the 2021 global semi-conductor shortage. We also realized favorable foreign exchange effects of $1.3 million.</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$8.6 million, or 10%, during the three months ended September 30, 2021,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primarily due to variable costs associated with the above-noted sales increase. In addition, cost of sales increased due to the reintroduction of employee-related costs suspended in the prior year due to the COVID-19 pandemic, such as benefits and overtime hours. Finally, cost of sales increased due to variable cost inefficiencies associated with global supply chain interruptions, inflation, and uneven customer ordering patterns, particularly in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automotive market. These increases were partially offset by more favorable overhead absorption compared to prior year due to the increase in inventory.</w:t>
      </w:r>
    </w:p>
    <w:p>
      <w:pPr>
        <w:spacing w:after="0" w:line="1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$1.6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the three months ended September 30, 2020, primarily due to cost reduction initiatives that drove decreases in personnel and professional fees.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Other operating income, net, changed favorably by $0.5 million primarily due to the gain on sale of an idle facility in Texas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2021.</w:t>
      </w:r>
    </w:p>
    <w:p>
      <w:pPr>
        <w:spacing w:after="0" w:line="6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$3.3 million during the three months ended September 30, 2021,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primarily due to higher settlements on the interest rate swap in the prior year as the notional amount outstanding and fixed rate were significantly higher than in the current year. This decrease was partially offset by higher interest rates on debt in the current quarter.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6,873</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changed favorably by $4.1 million during the three months ended September 30, 2021,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due to noncash derivative mark-to-market gains less unfavorable foreign exchange effects associated with intercompany borrowings.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Benefit (Provision) For Income Taxes</w:t>
      </w:r>
      <w:r>
        <w:rPr>
          <w:rFonts w:ascii="Arial" w:cs="Arial" w:eastAsia="Arial" w:hAnsi="Arial"/>
          <w:sz w:val="17"/>
          <w:szCs w:val="17"/>
          <w:color w:val="auto"/>
        </w:rPr>
        <w:t>. Our effective tax rate was (9.8)% for the three months ended September 30, 2021, compared to 106.1%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2020. The rate for the three months ended September 30, 2021 was unfavorably impacted by the limitation on the amount of tax benefit recorded for loss carryforwards in certain jurisdictions where we believe it is more likely than not that a portion of the future tax benefit may not be realized. The rate for the three months ended September 30, 2020 was favorably impacted by the CARES Act. Note 8 in the Notes to Condensed Consolidated Financial Statements describes the effective income tax rate for each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w w:val="97"/>
              </w:rPr>
              <w:t>Three Months Ended September 30,</w:t>
            </w:r>
          </w:p>
        </w:tc>
        <w:tc>
          <w:tcPr>
            <w:tcW w:w="840" w:type="dxa"/>
            <w:vAlign w:val="bottom"/>
            <w:tcBorders>
              <w:bottom w:val="single" w:sz="8" w:color="auto"/>
            </w:tcBorders>
          </w:tcPr>
          <w:p>
            <w:pPr>
              <w:spacing w:after="0"/>
              <w:rPr>
                <w:sz w:val="16"/>
                <w:szCs w:val="16"/>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840" w:type="dxa"/>
            <w:vAlign w:val="bottom"/>
            <w:tcBorders>
              <w:bottom w:val="single" w:sz="8" w:color="auto"/>
            </w:tcBorders>
          </w:tcPr>
          <w:p>
            <w:pPr>
              <w:spacing w:after="0"/>
              <w:rPr>
                <w:sz w:val="16"/>
                <w:szCs w:val="16"/>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(1,785)</w:t>
            </w:r>
          </w:p>
        </w:tc>
        <w:tc>
          <w:tcPr>
            <w:tcW w:w="84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415"/>
              <w:spacing w:after="0"/>
              <w:rPr>
                <w:sz w:val="20"/>
                <w:szCs w:val="20"/>
                <w:color w:val="auto"/>
              </w:rPr>
            </w:pPr>
            <w:r>
              <w:rPr>
                <w:rFonts w:ascii="Arial" w:cs="Arial" w:eastAsia="Arial" w:hAnsi="Arial"/>
                <w:sz w:val="18"/>
                <w:szCs w:val="18"/>
                <w:i w:val="1"/>
                <w:i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(2,652)</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867</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55"/>
              <w:spacing w:after="0"/>
              <w:rPr>
                <w:sz w:val="20"/>
                <w:szCs w:val="20"/>
                <w:color w:val="auto"/>
              </w:rPr>
            </w:pPr>
            <w:r>
              <w:rPr>
                <w:rFonts w:ascii="Arial" w:cs="Arial" w:eastAsia="Arial" w:hAnsi="Arial"/>
                <w:sz w:val="18"/>
                <w:szCs w:val="18"/>
                <w:color w:val="auto"/>
              </w:rPr>
              <w:t>(5,210)</w:t>
            </w:r>
          </w:p>
        </w:tc>
        <w:tc>
          <w:tcPr>
            <w:tcW w:w="840" w:type="dxa"/>
            <w:vAlign w:val="bottom"/>
          </w:tcPr>
          <w:p>
            <w:pPr>
              <w:spacing w:after="0"/>
              <w:rPr>
                <w:sz w:val="20"/>
                <w:szCs w:val="20"/>
                <w:color w:val="auto"/>
              </w:rPr>
            </w:pPr>
          </w:p>
        </w:tc>
      </w:tr>
    </w:tbl>
    <w:p>
      <w:pPr>
        <w:spacing w:after="0" w:line="2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sales decreased by $1.8 million during the three months ended September 30, 2021, compared to the three months ended September 30, 2020, primarily due to the global semi-conductor shortage, partially offset by the favorable impact of new business awards in the general industrial market and favorable foreign exchange effects of $0.9 million.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from operations decreased by $5.2 million during the three months ended September 30, 2021, compared to the same period in the prior year primarily due to higher labor costs caused by the reintroduction of employee-related costs suspended in the prior year due to the COVID-19 pandemic, such as travel, benefits and overtime hours. In addition, variable cost inefficiencies associated with global supply chain interruptions and uneven customer ordering patterns, particularly in the automotive market, reduced operating income. These decreases were partially offset by more favorable overhead absorption during the current quarter compared to the prior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w w:val="94"/>
              </w:rPr>
              <w:t>Three Months Ended September 30,</w:t>
            </w:r>
          </w:p>
        </w:tc>
        <w:tc>
          <w:tcPr>
            <w:tcW w:w="78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5,265</w:t>
            </w:r>
          </w:p>
        </w:tc>
        <w:tc>
          <w:tcPr>
            <w:tcW w:w="78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475"/>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4,804</w:t>
            </w: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461</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655"/>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r>
    </w:tbl>
    <w:p>
      <w:pPr>
        <w:spacing w:after="0" w:line="2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sales increased by $5.3 million during the three months ended September 30, 2021, compared to the three months ended September 30, 2020 primarily due to higher demand within the electrical market that was negatively impacted by the COVID-19 pandemic in the prior year. Sales were also positively impacted by increased selling prices for precious metals allowed under customer contracts due to the sharp rise in underlying commodities costs compared with the same period in 2020.</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Income from operations increased by $0.1 million compared to the same period in the prior year primarily due to an increase in sales which was partially offset by higher material costs and the reintroduction of employee-related costs suspended in the prior year due to the COVID-19 pandemic, such as travel, benefits and overtime hours.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the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w w:val="98"/>
              </w:rPr>
              <w:t>Nine Months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56,192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2,507</w:t>
            </w:r>
          </w:p>
        </w:tc>
        <w:tc>
          <w:tcPr>
            <w:tcW w:w="0" w:type="dxa"/>
            <w:vAlign w:val="bottom"/>
          </w:tcPr>
          <w:p>
            <w:pPr>
              <w:spacing w:after="0"/>
              <w:rPr>
                <w:sz w:val="1"/>
                <w:szCs w:val="1"/>
                <w:color w:val="auto"/>
              </w:rPr>
            </w:pPr>
          </w:p>
        </w:tc>
      </w:tr>
      <w:tr>
        <w:trPr>
          <w:trHeight w:val="175"/>
        </w:trPr>
        <w:tc>
          <w:tcPr>
            <w:tcW w:w="5300" w:type="dxa"/>
            <w:vAlign w:val="bottom"/>
          </w:tcPr>
          <w:p>
            <w:pPr>
              <w:ind w:left="220"/>
              <w:spacing w:after="0" w:line="176" w:lineRule="exact"/>
              <w:rPr>
                <w:sz w:val="20"/>
                <w:szCs w:val="20"/>
                <w:color w:val="auto"/>
              </w:rPr>
            </w:pPr>
            <w:r>
              <w:rPr>
                <w:rFonts w:ascii="Arial" w:cs="Arial" w:eastAsia="Arial" w:hAnsi="Arial"/>
                <w:sz w:val="18"/>
                <w:szCs w:val="18"/>
                <w:color w:val="auto"/>
                <w:w w:val="99"/>
              </w:rPr>
              <w:t>Cost of sales (exclusive of depreciation and amortization shown</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298,127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249,612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48,515</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separately below)</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111,261</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(7,861)</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Loss on extinguishment of debt and write-off of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Derivative payments on interest rate swap</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interest rate swap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Loss from continuing operations before benefit for income taxes and</w:t>
            </w:r>
          </w:p>
        </w:tc>
        <w:tc>
          <w:tcPr>
            <w:tcW w:w="3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(133,730)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115,981</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Benefit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(7,323)</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110,322</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(247,969)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234,288</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$58.7 million, or 19%, during the nine months ended September 30, 2021, compared to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2020, primarily due to higher demand within all markets that were negatively impacted by the COVID-19 pandemic in the prior year and favorable foreign exchange effects of $2.5 million. In addition, sales were positively impacted by increased selling prices for precious metals allowed under customer contracts due to the sharp rise in underlying commodities costs compared with the same period of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$48.5 million, or 19%, during the nine months ended September 30, 2021,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primarily due to variable costs associated with the above-noted sales increase. In addition, cost of sales increased due to the reintroduction of employee-related costs suspended in the prior year due to the COVID-19 pandemic, such as travel, benefits and overtime hours. Finally, cost of sales increased due to variable cost inefficiencies associated with global supply chain interruptions, inflation, and uneven customer ordering patterns, particularly in the automotive market. These increases were partially offset by more favorable overhead absorption compared to prior year due to the increase in inventory.</w:t>
      </w:r>
    </w:p>
    <w:p>
      <w:pPr>
        <w:spacing w:after="0" w:line="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$3.8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the nine months ended September 30, 2020, primarily due to cost reduction initiatives that drove decreases in personnel costs and professional fees.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We recognized goodwill impairment of $92.9 million at Power Solutions in 2020, resulting in no remaining goodwill balance.</w:t>
      </w:r>
    </w:p>
    <w:p>
      <w:pPr>
        <w:spacing w:after="0" w:line="129"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i w:val="1"/>
          <w:iCs w:val="1"/>
          <w:color w:val="auto"/>
        </w:rPr>
        <w:t xml:space="preserve">Other Operating Expense (Income), Net. </w:t>
      </w:r>
      <w:r>
        <w:rPr>
          <w:rFonts w:ascii="Arial" w:cs="Arial" w:eastAsia="Arial" w:hAnsi="Arial"/>
          <w:sz w:val="16"/>
          <w:szCs w:val="16"/>
          <w:color w:val="auto"/>
        </w:rPr>
        <w:t>Other operating expense (income), net, changed favorably by $5.0 million primarily due to charges and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asset disposals and elimination of a portion of our lease obligation as a result of our decision to vacate a portion of our corporate headquarters building in 2020. These charges were partially offset by a gain on the sale of a building in Fairfield, Ohio, in the second quarter of 2020.</w:t>
      </w:r>
    </w:p>
    <w:p>
      <w:pPr>
        <w:spacing w:after="0" w:line="41"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$7.9 million during the nine months ended September 30, 2021,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primarily due to higher settlements on the interest rate swap in the prior year as the notional amount outstanding and fixed rate were significantly higher than in the current year. This decrease was partially offset by higher interest rates on debt in the current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8,906</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17,036</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Debt Issuance Costs. </w:t>
      </w:r>
      <w:r>
        <w:rPr>
          <w:rFonts w:ascii="Arial" w:cs="Arial" w:eastAsia="Arial" w:hAnsi="Arial"/>
          <w:sz w:val="18"/>
          <w:szCs w:val="18"/>
          <w:color w:val="auto"/>
        </w:rPr>
        <w:t>We recognized $2.4 million for the write-off of unamortized debt issuance costs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associated with the credit facility that was terminated in March 2021.</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Derivative Payments on Interest Rate Swap. </w:t>
      </w:r>
      <w:r>
        <w:rPr>
          <w:rFonts w:ascii="Arial" w:cs="Arial" w:eastAsia="Arial" w:hAnsi="Arial"/>
          <w:sz w:val="18"/>
          <w:szCs w:val="18"/>
          <w:color w:val="auto"/>
        </w:rPr>
        <w:t>Derivative payments on interest rate swap represent cash settlements of the interest rate swap after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was discontinued in October 2020. Prior to October 2020, interest rate swap settlements were recognized in interest expense. The previous interest rate swap was terminated in the first quarter of 2021. We entered into a new interest rate swap in the third quarter of 2021, which is designated as a cash flow hedge with the impact of settlements recognized in interest expense.</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Loss on Interest Rate Swap</w:t>
      </w:r>
      <w:r>
        <w:rPr>
          <w:rFonts w:ascii="Arial" w:cs="Arial" w:eastAsia="Arial" w:hAnsi="Arial"/>
          <w:sz w:val="18"/>
          <w:szCs w:val="18"/>
          <w:color w:val="auto"/>
        </w:rPr>
        <w:t>. Loss on interest rate swap represents mark-to-market adjustments on the interest rate swap after hedge accounting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in October 2020 as well as amortization of the residual loss in accumulated other comprehensive income as monthly settlements occur. Prior to October 2020, mark-to-market adjustments on the interest rate swap were recognized in accumulated other comprehensive income. Upon termination of the previous interest rate swap in March 2021, we recognized in earnings the remaining $3.3 million loss that had been deferred in accumulated other comprehensive income.</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Other expense (income), net, changed favorably by $2.9 million during the nine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2020, due to noncash derivative mark-to-market gains, partially offset by a litigation settlement reached during the second quarter of 2021 and unfavorable foreign exchange effects associated with intercompany borrowings.</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was 3.5% for the nine months ended September 30, 2021, compared to 5.9%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difference in rates is primarily due to the limitation on the amount of tax benefit recorded for loss carryforwards in 2021 and the impact of the CARES Act in 2020. Note 8 in the Notes to Condensed Consolidated Financial Statements describes the effective income tax rate for each period presented.</w:t>
      </w:r>
    </w:p>
    <w:p>
      <w:pPr>
        <w:spacing w:after="0" w:line="7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increased during the nine months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primarily due to recovery from the effects of the COVID-19 pandemic on prior year sales. The JV, in which we own a 49% investment, recognized net sales of $68.4 million and $41.5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million for the nine months ended September 30, 2021 and 2020, respectively. Additionally, profits improved from expanding variable margins as a result of successful process improvement initiatives, improved product mix, and fixed cost reduction 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w w:val="98"/>
              </w:rPr>
              <w:t>Nine Months Ended September 30,</w:t>
            </w:r>
          </w:p>
        </w:tc>
        <w:tc>
          <w:tcPr>
            <w:tcW w:w="860" w:type="dxa"/>
            <w:vAlign w:val="bottom"/>
            <w:tcBorders>
              <w:bottom w:val="single" w:sz="8" w:color="auto"/>
            </w:tcBorders>
          </w:tcPr>
          <w:p>
            <w:pPr>
              <w:spacing w:after="0"/>
              <w:rPr>
                <w:sz w:val="16"/>
                <w:szCs w:val="16"/>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38,956</w:t>
            </w: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ind w:right="395"/>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36,937</w:t>
            </w: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2,019</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75"/>
              <w:spacing w:after="0"/>
              <w:rPr>
                <w:sz w:val="20"/>
                <w:szCs w:val="20"/>
                <w:color w:val="auto"/>
              </w:rPr>
            </w:pPr>
            <w:r>
              <w:rPr>
                <w:rFonts w:ascii="Arial" w:cs="Arial" w:eastAsia="Arial" w:hAnsi="Arial"/>
                <w:sz w:val="18"/>
                <w:szCs w:val="18"/>
                <w:color w:val="auto"/>
              </w:rPr>
              <w:t>7,717</w:t>
            </w:r>
          </w:p>
        </w:tc>
        <w:tc>
          <w:tcPr>
            <w:tcW w:w="860" w:type="dxa"/>
            <w:vAlign w:val="bottom"/>
          </w:tcPr>
          <w:p>
            <w:pPr>
              <w:spacing w:after="0"/>
              <w:rPr>
                <w:sz w:val="20"/>
                <w:szCs w:val="20"/>
                <w:color w:val="auto"/>
              </w:rPr>
            </w:pPr>
          </w:p>
        </w:tc>
      </w:tr>
    </w:tbl>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increased by $39.0 million during the nine months ended September 30, 2021, compared to the nine months ended September 30, 2020, primarily due to higher demand within all markets which were negatively impacted by the COVID-19 pandemic in the prior year, new business in the general industrial market, and favorable foreign exchange effects.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Income from operations increased by $7.7 million compared to the same period in the prior year primarily due to contribution generated from the above-noted sales increase. Moreover, we built up inventory in the nine months ended September 30, 2021, which resulted in more favorable overhead absorption during the current year compared to the prior year. These positive impacts were partially offset by the reintroduction of employee-related costs suspended in the prior year due to the COVID-19 pandemic, such as travel, benefits and overtime hours, and variable cost inefficiencies associated with global supply chain interruptions and uneven customer ordering patterns, particularly in the automotive market.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w w:val="96"/>
              </w:rPr>
              <w:t>Nine Months Ended September 30,</w:t>
            </w:r>
          </w:p>
        </w:tc>
        <w:tc>
          <w:tcPr>
            <w:tcW w:w="82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127,307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19,719</w:t>
            </w:r>
          </w:p>
        </w:tc>
        <w:tc>
          <w:tcPr>
            <w:tcW w:w="820" w:type="dxa"/>
            <w:vAlign w:val="bottom"/>
            <w:shd w:val="clear" w:color="auto" w:fill="CCEEFF"/>
          </w:tcPr>
          <w:p>
            <w:pPr>
              <w:spacing w:after="0"/>
              <w:rPr>
                <w:sz w:val="19"/>
                <w:szCs w:val="19"/>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19,231</w:t>
            </w: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488</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620"/>
              <w:spacing w:after="0"/>
              <w:rPr>
                <w:sz w:val="20"/>
                <w:szCs w:val="20"/>
                <w:color w:val="auto"/>
              </w:rPr>
            </w:pPr>
            <w:r>
              <w:rPr>
                <w:rFonts w:ascii="Arial" w:cs="Arial" w:eastAsia="Arial" w:hAnsi="Arial"/>
                <w:sz w:val="18"/>
                <w:szCs w:val="18"/>
                <w:color w:val="auto"/>
                <w:w w:val="92"/>
              </w:rPr>
              <w:t>(92,942)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614"/>
              <w:spacing w:after="0"/>
              <w:rPr>
                <w:sz w:val="20"/>
                <w:szCs w:val="20"/>
                <w:color w:val="auto"/>
              </w:rPr>
            </w:pPr>
            <w:r>
              <w:rPr>
                <w:rFonts w:ascii="Arial" w:cs="Arial" w:eastAsia="Arial" w:hAnsi="Arial"/>
                <w:sz w:val="18"/>
                <w:szCs w:val="18"/>
                <w:color w:val="auto"/>
              </w:rPr>
              <w:t>92,942</w:t>
            </w:r>
          </w:p>
        </w:tc>
        <w:tc>
          <w:tcPr>
            <w:tcW w:w="820" w:type="dxa"/>
            <w:vAlign w:val="bottom"/>
          </w:tcPr>
          <w:p>
            <w:pPr>
              <w:spacing w:after="0"/>
              <w:rPr>
                <w:sz w:val="19"/>
                <w:szCs w:val="19"/>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(87,737)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94,296</w:t>
            </w:r>
          </w:p>
        </w:tc>
        <w:tc>
          <w:tcPr>
            <w:tcW w:w="8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increased by $19.7 million during the nine months ended September 30, 2021, compared to the nine months ended September 30, 2020, primarily due to higher demand within the end markets which were negatively impacted by the COVID-19 pandemic in the prior year. Sales were also positively impacted by increased selling prices for precious metals allowed under customer contracts due to the sharp rise in underlying commodities costs compared to the same period of 2020.</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Income (loss) from operations increased by $94.3 million compared to the same period in the prior year primarily due to a goodwill impairment loss of</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$92.9 million recognized in the first quarter of 2020. In addition, income from operations increased due to the contribution generated from the above-noted sales increase. These favorable impacts were partially offset by the reintroduction of employee-related costs suspended in the prior year due to the COVID-19 pandemic, such as travel, benefits and overtime hours.</w:t>
      </w:r>
    </w:p>
    <w:p>
      <w:pPr>
        <w:spacing w:after="0" w:line="186" w:lineRule="exact"/>
        <w:rPr>
          <w:sz w:val="20"/>
          <w:szCs w:val="20"/>
          <w:color w:val="auto"/>
        </w:rPr>
      </w:pPr>
    </w:p>
    <w:p>
      <w:pPr>
        <w:ind w:right="5080"/>
        <w:spacing w:after="0" w:line="409" w:lineRule="auto"/>
        <w:rPr>
          <w:sz w:val="20"/>
          <w:szCs w:val="20"/>
          <w:color w:val="auto"/>
        </w:rPr>
      </w:pPr>
      <w:r>
        <w:rPr>
          <w:rFonts w:ascii="Arial" w:cs="Arial" w:eastAsia="Arial" w:hAnsi="Arial"/>
          <w:sz w:val="18"/>
          <w:szCs w:val="18"/>
          <w:b w:val="1"/>
          <w:bCs w:val="1"/>
          <w:color w:val="auto"/>
        </w:rPr>
        <w:t xml:space="preserve">Changes in Financial Condition from December 31, 2020, to September 30, 2021 </w:t>
      </w:r>
      <w:r>
        <w:rPr>
          <w:rFonts w:ascii="Arial" w:cs="Arial" w:eastAsia="Arial" w:hAnsi="Arial"/>
          <w:sz w:val="18"/>
          <w:szCs w:val="18"/>
          <w:i w:val="1"/>
          <w:iCs w:val="1"/>
          <w:color w:val="auto"/>
        </w:rPr>
        <w:t>Overview</w:t>
      </w:r>
    </w:p>
    <w:p>
      <w:pPr>
        <w:spacing w:after="0" w:line="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From December 31, 2020, to September 30, 2021, total assets decreased by $30.3 million primarily due to normal depreciation and amortization of fixed assets, lease right-of-use assets, and intangible assets. These decreases were partially offset by capital expenditures and increases in inventories during the nine months ended September 30, 2021. Inventories increased as a result of a strategic decision to mitigate potential supply chain issues for our customers.</w:t>
      </w:r>
    </w:p>
    <w:p>
      <w:pPr>
        <w:spacing w:after="0" w:line="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From December 31, 2020, to September 30, 2021, total liabilities increased by $52.8 million, primarily due to the refinancing of our credit facilities, termination of the ineffective interest rate swap, and redeeming the Series B Preferred 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Working capital, which consists of current assets less current liabilities, was $122.4 million as of September 30, 2021, compared to $112.0 million as of December 31, 2020. The increase in working capital was primarily due to the increase in inventories discussed above and a decrease in derivative liabilities after the termination of the interest rate swap.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provided by operations was $5.7 million for the nine months ended September 30, 2021, compared with cash provided by operations of $19.3 million for the nine months ended September 30, 2020. The difference was primarily due to $8.5 million in current year income tax payments and building inventory levels during the current year to mitigate potential supply chain issues for our customers.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used in investing activities was $32.7 million for the nine months ended September 30, 2021, compared with cash used in investing activities of $17.4 million for the nine months ended September 30, 2020. The difference was primarily due to cash paid to settle the interest rate swap and post-closing adjustment on the sale of the Life Sciences business, partially offset by lower capital expenditures in the current year.</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financing activities was $4.5 million for the nine months ended September 30, 2021, compared with cash provided by financing activities of $43.9 million for the nine months ended September 30, 2020. The difference was primarily due to $11.6 million net inflow from the debt and preferred stock refinancing in the current year compared to the $59.0 million net draw on the Senior Secured Revolver in the prior year to strengthen our cash position due to economic uncertainty associated with the COVID-19 pandemic.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principal amount outstanding under our Term Loan Facility as of September 30, 2021, was $149.3 million, without regard to unamortized debt issuance costs and discount. As of September 30, 2021, we had unused borrowing capacity of $36.5 million under the ABL Facility, subject to certain limitations. This amount of borrowing capacity is net of $11.2 million of outstanding letters of credit at September 30, 2021, which are considered as usage of the ABL Facility.</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Term Loan Facility requires quarterly principal payments of $0.4 million with the remaining unpaid principal amount due on the final maturity date of September 22, 2026. If one-month LIBOR is less than 1.00%, then we pay 7.875% per annum in interest. If one-month LIBOR exceeds 1.000%, then we pay the variable one-month LIBOR plus an applicable margin of 6.875%. Based on the interest rate in effect at September 30, 2021, and the fixed rate on the 2021 interest rate swap, annual interest payments would be approximately $11.9 million.</w:t>
      </w:r>
    </w:p>
    <w:p>
      <w:pPr>
        <w:spacing w:after="0" w:line="6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ABL Facility bears interest on a variable rate structure with borrowings bearing interest at one-month LIBOR plus an applicable margin of 1.75%. The interest rate in effect at September 30, 2021, was 2.25%. We pay a commitment fee of 0.375% for unused capacity under the ABL Facility.</w:t>
      </w:r>
    </w:p>
    <w:p>
      <w:pPr>
        <w:spacing w:after="0" w:line="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were in compliance as of September 30, 2021, with all requirements under our Term Loan Facility and ABL Facility. Both credit facilities allow for optional expansion of available borrowings, subject to certain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2020 Annual Report, including those policies as discussed in Note 1 to the Notes to Consolidated Financial Statements included in the 2020 Annual Report. There have been no changes to these policies during the nine months ended September 30, 2021, except as discussed in Note 1 to the Notes to Condensed Consolidated Financial Statements included in this Quarterly Report.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February 2019, we entered into a fixed-rate interest rate swap agreement that changed the LIBOR-based portion of the interest rate on a portion of our variable rate debt to a fixed rate of 2.4575%. On March 22, 2021, we terminated the interest rate swap agreement in connection with the prepayment of our previously outstanding long-term variable-rate debt.</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17 in the Notes to Condensed Consolidated Financial Statements included in this Quarterly Report for further discussion about the interest rate swaps.</w:t>
      </w:r>
    </w:p>
    <w:p>
      <w:pPr>
        <w:spacing w:after="0" w:line="6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At September 30, 2021, we had $149.3 million of principal outstanding under the Term Loan Facility without regard to capitalized debt issuance costs. A one-percent increase in one-month LIBOR would have resulted in a net increase in interest expense of $0.1 million on an annualized basis due to the fact that the Term Loan Facility is subject to a LIBOR floor of 1.00% and one-month LIBOR was below the floor as of September 30,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had no outstanding borrowings under the ABL Facility at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2021.</w:t>
      </w:r>
    </w:p>
    <w:p>
      <w:pPr>
        <w:spacing w:after="0" w:line="200" w:lineRule="exact"/>
        <w:rPr>
          <w:sz w:val="20"/>
          <w:szCs w:val="20"/>
          <w:color w:val="auto"/>
        </w:rPr>
      </w:pPr>
    </w:p>
    <w:p>
      <w:pPr>
        <w:spacing w:after="0" w:line="3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September 30, 2021,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200" w:lineRule="exact"/>
        <w:rPr>
          <w:sz w:val="20"/>
          <w:szCs w:val="20"/>
          <w:color w:val="auto"/>
        </w:rPr>
      </w:pPr>
    </w:p>
    <w:p>
      <w:pPr>
        <w:spacing w:after="0" w:line="3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the 2020 Annual Report under Item 1A, “Risk Factors.”</w:t>
      </w:r>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33" w:right="6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9920" w:type="dxa"/>
            <w:vAlign w:val="bottom"/>
            <w:gridSpan w:val="6"/>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40" w:type="dxa"/>
            <w:vAlign w:val="bottom"/>
            <w:gridSpan w:val="5"/>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6"/>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amended.</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amended.</w:t>
              </w:r>
            </w:hyperlink>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40" w:hanging="111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NN, Inc.</w:t>
            </w:r>
          </w:p>
        </w:tc>
      </w:tr>
      <w:tr>
        <w:trPr>
          <w:trHeight w:val="224"/>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5600" w:type="dxa"/>
            <w:vAlign w:val="bottom"/>
          </w:tcPr>
          <w:p>
            <w:pPr>
              <w:spacing w:after="0"/>
              <w:rPr>
                <w:sz w:val="20"/>
                <w:szCs w:val="20"/>
                <w:color w:val="auto"/>
              </w:rPr>
            </w:pPr>
            <w:r>
              <w:rPr>
                <w:rFonts w:ascii="Arial" w:cs="Arial" w:eastAsia="Arial" w:hAnsi="Arial"/>
                <w:sz w:val="18"/>
                <w:szCs w:val="18"/>
                <w:color w:val="auto"/>
              </w:rPr>
              <w:t>Date: November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r>
        <w:trPr>
          <w:trHeight w:val="500"/>
        </w:trPr>
        <w:tc>
          <w:tcPr>
            <w:tcW w:w="5600" w:type="dxa"/>
            <w:vAlign w:val="bottom"/>
          </w:tcPr>
          <w:p>
            <w:pPr>
              <w:spacing w:after="0"/>
              <w:rPr>
                <w:sz w:val="20"/>
                <w:szCs w:val="20"/>
                <w:color w:val="auto"/>
              </w:rPr>
            </w:pPr>
            <w:r>
              <w:rPr>
                <w:rFonts w:ascii="Arial" w:cs="Arial" w:eastAsia="Arial" w:hAnsi="Arial"/>
                <w:sz w:val="18"/>
                <w:szCs w:val="18"/>
                <w:color w:val="auto"/>
              </w:rPr>
              <w:t>Date: November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233"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29"/>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September 30,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5,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September 30,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November 5, 2021</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Felcher</w:t>
            </w:r>
          </w:p>
        </w:tc>
      </w:tr>
      <w:tr>
        <w:trPr>
          <w:trHeight w:val="222"/>
        </w:trPr>
        <w:tc>
          <w:tcPr>
            <w:tcW w:w="6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30"/>
        </w:trPr>
        <w:tc>
          <w:tcPr>
            <w:tcW w:w="61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2021-11-05T08:45:01Z</dcterms:created>
  <dcterms:modified xsi:type="dcterms:W3CDTF">2021-11-05T08:45:01Z</dcterms:modified>
</cp:coreProperties>
</file>