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97"/>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FORM 8-K</w:t>
      </w:r>
    </w:p>
    <w:p>
      <w:pPr>
        <w:spacing w:after="0" w:line="186"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CURRENT REPORT</w:t>
      </w:r>
    </w:p>
    <w:p>
      <w:pPr>
        <w:spacing w:after="0" w:line="369"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369" w:lineRule="exact"/>
        <w:rPr>
          <w:sz w:val="24"/>
          <w:szCs w:val="24"/>
          <w:color w:val="auto"/>
        </w:rPr>
      </w:pPr>
    </w:p>
    <w:p>
      <w:pPr>
        <w:ind w:left="662"/>
        <w:spacing w:after="0"/>
        <w:rPr>
          <w:sz w:val="20"/>
          <w:szCs w:val="20"/>
          <w:color w:val="auto"/>
        </w:rPr>
      </w:pPr>
      <w:r>
        <w:rPr>
          <w:rFonts w:ascii="Courier New" w:cs="Courier New" w:eastAsia="Courier New" w:hAnsi="Courier New"/>
          <w:sz w:val="16"/>
          <w:szCs w:val="16"/>
          <w:color w:val="auto"/>
        </w:rPr>
        <w:t>Date of Report (Date of earliest event reported): November 2, 2004</w:t>
      </w:r>
    </w:p>
    <w:p>
      <w:pPr>
        <w:spacing w:after="0" w:line="2" w:lineRule="exact"/>
        <w:rPr>
          <w:sz w:val="24"/>
          <w:szCs w:val="24"/>
          <w:color w:val="auto"/>
        </w:rPr>
      </w:pPr>
    </w:p>
    <w:p>
      <w:pPr>
        <w:ind w:left="5442"/>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NN, INC.</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Charter)</w:t>
      </w:r>
    </w:p>
    <w:p>
      <w:pPr>
        <w:spacing w:after="0" w:line="369" w:lineRule="exact"/>
        <w:rPr>
          <w:sz w:val="24"/>
          <w:szCs w:val="24"/>
          <w:color w:val="auto"/>
        </w:rPr>
      </w:pPr>
    </w:p>
    <w:tbl>
      <w:tblPr>
        <w:tblLayout w:type="fixed"/>
        <w:tblInd w:w="582" w:type="dxa"/>
        <w:tblCellMar>
          <w:top w:w="0" w:type="dxa"/>
          <w:left w:w="0" w:type="dxa"/>
          <w:bottom w:w="0" w:type="dxa"/>
          <w:right w:w="0" w:type="dxa"/>
        </w:tblCellMar>
      </w:tblPr>
      <w:tr>
        <w:trPr>
          <w:trHeight w:val="181"/>
        </w:trPr>
        <w:tc>
          <w:tcPr>
            <w:tcW w:w="20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27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0-23486</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62-1096725</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53" w:lineRule="exact"/>
        <w:rPr>
          <w:sz w:val="24"/>
          <w:szCs w:val="24"/>
          <w:color w:val="auto"/>
        </w:rPr>
      </w:pPr>
    </w:p>
    <w:p>
      <w:pPr>
        <w:ind w:left="282" w:right="2599" w:hanging="285"/>
        <w:spacing w:after="0" w:line="239" w:lineRule="auto"/>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 xml:space="preserve"> </w:t>
      </w:r>
      <w:r>
        <w:rPr>
          <w:rFonts w:ascii="Courier New" w:cs="Courier New" w:eastAsia="Courier New" w:hAnsi="Courier New"/>
          <w:sz w:val="16"/>
          <w:szCs w:val="16"/>
          <w:color w:val="auto"/>
        </w:rPr>
        <w:t>(Commission (I.R.S. Employer Incorporation or Organization) File Number) Identification Number)</w:t>
      </w:r>
    </w:p>
    <w:p>
      <w:pPr>
        <w:spacing w:after="0" w:line="186"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2000 Waters Edge Drive, Johnson City, Tennessee 37604</w:t>
      </w:r>
    </w:p>
    <w:p>
      <w:pPr>
        <w:spacing w:after="0" w:line="5"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42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 (Zip Code)</w:t>
      </w:r>
    </w:p>
    <w:p>
      <w:pPr>
        <w:sectPr>
          <w:pgSz w:w="11900" w:h="16838" w:orient="portrait"/>
          <w:cols w:equalWidth="0" w:num="1">
            <w:col w:w="10221"/>
          </w:cols>
          <w:pgMar w:left="238" w:top="237" w:right="1440" w:bottom="1440" w:gutter="0" w:footer="0" w:header="0"/>
        </w:sectPr>
      </w:pPr>
    </w:p>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760"/>
        <w:spacing w:after="0"/>
        <w:rPr>
          <w:sz w:val="20"/>
          <w:szCs w:val="20"/>
          <w:color w:val="auto"/>
        </w:rPr>
      </w:pPr>
      <w:r>
        <w:rPr>
          <w:rFonts w:ascii="Courier New" w:cs="Courier New" w:eastAsia="Courier New" w:hAnsi="Courier New"/>
          <w:sz w:val="16"/>
          <w:szCs w:val="16"/>
          <w:color w:val="auto"/>
        </w:rPr>
        <w:t>(423) 743-9151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sectPr>
          <w:pgSz w:w="11900" w:h="16838" w:orient="portrait"/>
          <w:cols w:equalWidth="0" w:num="2">
            <w:col w:w="4862" w:space="380"/>
            <w:col w:w="4979"/>
          </w:cols>
          <w:pgMar w:left="238" w:top="237" w:right="1440" w:bottom="1440" w:gutter="0" w:footer="0" w:header="0"/>
          <w:type w:val="continuous"/>
        </w:sectPr>
      </w:pPr>
    </w:p>
    <w:p>
      <w:pPr>
        <w:ind w:left="3142"/>
        <w:spacing w:after="0"/>
        <w:rPr>
          <w:sz w:val="20"/>
          <w:szCs w:val="20"/>
          <w:color w:val="auto"/>
        </w:rPr>
      </w:pPr>
      <w:r>
        <w:rPr>
          <w:rFonts w:ascii="Courier New" w:cs="Courier New" w:eastAsia="Courier New" w:hAnsi="Courier New"/>
          <w:sz w:val="16"/>
          <w:szCs w:val="16"/>
          <w:color w:val="auto"/>
        </w:rPr>
        <w:t>Not Applicable</w:t>
      </w:r>
    </w:p>
    <w:p>
      <w:pPr>
        <w:spacing w:after="0" w:line="5"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9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355" w:lineRule="exact"/>
        <w:rPr>
          <w:sz w:val="24"/>
          <w:szCs w:val="24"/>
          <w:color w:val="auto"/>
        </w:rPr>
      </w:pPr>
    </w:p>
    <w:p>
      <w:pPr>
        <w:jc w:val="both"/>
        <w:ind w:left="2" w:right="2599"/>
        <w:spacing w:after="0"/>
        <w:rPr>
          <w:sz w:val="20"/>
          <w:szCs w:val="20"/>
          <w:color w:val="auto"/>
        </w:rPr>
      </w:pPr>
      <w:r>
        <w:rPr>
          <w:rFonts w:ascii="Courier New" w:cs="Courier New" w:eastAsia="Courier New" w:hAnsi="Courier New"/>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ind w:left="482" w:right="2599" w:hanging="482"/>
        <w:spacing w:after="0" w:line="239" w:lineRule="auto"/>
        <w:tabs>
          <w:tab w:leader="none" w:pos="19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Written communications pursuant to Rule 425 under the Securities Act (17 CFR 230.425)</w:t>
      </w:r>
    </w:p>
    <w:p>
      <w:pPr>
        <w:spacing w:after="0" w:line="189" w:lineRule="exact"/>
        <w:rPr>
          <w:sz w:val="24"/>
          <w:szCs w:val="24"/>
          <w:color w:val="auto"/>
        </w:rPr>
      </w:pPr>
    </w:p>
    <w:p>
      <w:pPr>
        <w:ind w:left="482" w:right="2599" w:hanging="476"/>
        <w:spacing w:after="0" w:line="239" w:lineRule="auto"/>
        <w:tabs>
          <w:tab w:leader="none" w:pos="462" w:val="left"/>
        </w:tabs>
        <w:rPr>
          <w:sz w:val="20"/>
          <w:szCs w:val="20"/>
          <w:color w:val="auto"/>
        </w:rPr>
      </w:pPr>
      <w:r>
        <w:rPr>
          <w:rFonts w:ascii="Courier New" w:cs="Courier New" w:eastAsia="Courier New" w:hAnsi="Courier New"/>
          <w:sz w:val="16"/>
          <w:szCs w:val="16"/>
          <w:color w:val="auto"/>
        </w:rPr>
        <w:t>[ ]</w:t>
        <w:tab/>
        <w:t>Soliciting material pursuant to Rule 14a-12 under the Exchange Act (17 CFR 240.14a-12)</w:t>
      </w:r>
    </w:p>
    <w:p>
      <w:pPr>
        <w:spacing w:after="0" w:line="189" w:lineRule="exact"/>
        <w:rPr>
          <w:sz w:val="24"/>
          <w:szCs w:val="24"/>
          <w:color w:val="auto"/>
        </w:rPr>
      </w:pPr>
    </w:p>
    <w:p>
      <w:pPr>
        <w:ind w:left="482" w:right="2599" w:hanging="482"/>
        <w:spacing w:after="0" w:line="239" w:lineRule="auto"/>
        <w:tabs>
          <w:tab w:leader="none" w:pos="19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Pre-commencement communications pursuant to Rule 14d-2(b) under the Exchange Act (17 CFR 240.14d-2(b))</w:t>
      </w:r>
    </w:p>
    <w:p>
      <w:pPr>
        <w:spacing w:after="0" w:line="189" w:lineRule="exact"/>
        <w:rPr>
          <w:sz w:val="24"/>
          <w:szCs w:val="24"/>
          <w:color w:val="auto"/>
        </w:rPr>
      </w:pPr>
    </w:p>
    <w:p>
      <w:pPr>
        <w:ind w:left="482" w:right="2599" w:hanging="482"/>
        <w:spacing w:after="0" w:line="239" w:lineRule="auto"/>
        <w:tabs>
          <w:tab w:leader="none" w:pos="19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Item 2.02. Results of Operations and Financial Condition</w:t>
      </w:r>
    </w:p>
    <w:p>
      <w:pPr>
        <w:spacing w:after="0" w:line="188" w:lineRule="exact"/>
        <w:rPr>
          <w:sz w:val="24"/>
          <w:szCs w:val="24"/>
          <w:color w:val="auto"/>
        </w:rPr>
      </w:pPr>
    </w:p>
    <w:p>
      <w:pPr>
        <w:jc w:val="both"/>
        <w:ind w:left="2" w:right="2599"/>
        <w:spacing w:after="0" w:line="239" w:lineRule="auto"/>
        <w:rPr>
          <w:sz w:val="20"/>
          <w:szCs w:val="20"/>
          <w:color w:val="auto"/>
        </w:rPr>
      </w:pPr>
      <w:r>
        <w:rPr>
          <w:rFonts w:ascii="Courier New" w:cs="Courier New" w:eastAsia="Courier New" w:hAnsi="Courier New"/>
          <w:sz w:val="16"/>
          <w:szCs w:val="16"/>
          <w:color w:val="auto"/>
        </w:rPr>
        <w:t>Furnished as Exhibit 99.1 is a copy of the earnings release of NN, Inc. for the quarter ended September 30, 2004, which was issued on November 2, 2004.</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Item 9.01. Financial Statements and Exhibits</w:t>
      </w:r>
    </w:p>
    <w:p>
      <w:pPr>
        <w:spacing w:after="0" w:line="186" w:lineRule="exact"/>
        <w:rPr>
          <w:sz w:val="24"/>
          <w:szCs w:val="24"/>
          <w:color w:val="auto"/>
        </w:rPr>
      </w:pPr>
    </w:p>
    <w:p>
      <w:pPr>
        <w:ind w:left="762"/>
        <w:spacing w:after="0"/>
        <w:rPr>
          <w:sz w:val="20"/>
          <w:szCs w:val="20"/>
          <w:color w:val="auto"/>
        </w:rPr>
      </w:pPr>
      <w:r>
        <w:rPr>
          <w:rFonts w:ascii="Courier New" w:cs="Courier New" w:eastAsia="Courier New" w:hAnsi="Courier New"/>
          <w:sz w:val="16"/>
          <w:szCs w:val="16"/>
          <w:color w:val="auto"/>
        </w:rPr>
        <w:t>(c) Exhibits.</w:t>
      </w:r>
    </w:p>
    <w:p>
      <w:pPr>
        <w:spacing w:after="0" w:line="188" w:lineRule="exact"/>
        <w:rPr>
          <w:sz w:val="24"/>
          <w:szCs w:val="24"/>
          <w:color w:val="auto"/>
        </w:rPr>
      </w:pPr>
    </w:p>
    <w:p>
      <w:pPr>
        <w:jc w:val="both"/>
        <w:ind w:left="2" w:right="2599" w:firstLine="477"/>
        <w:spacing w:after="0" w:line="263" w:lineRule="auto"/>
        <w:rPr>
          <w:sz w:val="20"/>
          <w:szCs w:val="20"/>
          <w:color w:val="auto"/>
        </w:rPr>
      </w:pPr>
      <w:r>
        <w:rPr>
          <w:rFonts w:ascii="Courier New" w:cs="Courier New" w:eastAsia="Courier New" w:hAnsi="Courier New"/>
          <w:sz w:val="15"/>
          <w:szCs w:val="15"/>
          <w:color w:val="auto"/>
        </w:rPr>
        <w:t>The following exhibit is furnished purusant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69"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Exhibits:</w:t>
      </w:r>
    </w:p>
    <w:p>
      <w:pPr>
        <w:sectPr>
          <w:pgSz w:w="11900" w:h="16838" w:orient="portrait"/>
          <w:cols w:equalWidth="0" w:num="1">
            <w:col w:w="10221"/>
          </w:cols>
          <w:pgMar w:left="238" w:top="237" w:right="1440" w:bottom="1440" w:gutter="0" w:footer="0" w:header="0"/>
          <w:type w:val="continuous"/>
        </w:sectPr>
      </w:pPr>
    </w:p>
    <w:p>
      <w:pPr>
        <w:spacing w:after="0" w:line="188" w:lineRule="exact"/>
        <w:rPr>
          <w:sz w:val="24"/>
          <w:szCs w:val="24"/>
          <w:color w:val="auto"/>
        </w:rPr>
      </w:pPr>
    </w:p>
    <w:p>
      <w:pPr>
        <w:ind w:left="762"/>
        <w:spacing w:after="0"/>
        <w:rPr>
          <w:sz w:val="20"/>
          <w:szCs w:val="20"/>
          <w:color w:val="auto"/>
        </w:rPr>
      </w:pPr>
      <w:r>
        <w:rPr>
          <w:rFonts w:ascii="Courier New" w:cs="Courier New" w:eastAsia="Courier New" w:hAnsi="Courier New"/>
          <w:sz w:val="15"/>
          <w:szCs w:val="15"/>
          <w:color w:val="auto"/>
        </w:rPr>
        <w:t>Exhibit</w:t>
      </w:r>
    </w:p>
    <w:p>
      <w:pPr>
        <w:spacing w:after="0" w:line="11" w:lineRule="exact"/>
        <w:rPr>
          <w:sz w:val="24"/>
          <w:szCs w:val="24"/>
          <w:color w:val="auto"/>
        </w:rPr>
      </w:pPr>
    </w:p>
    <w:p>
      <w:pPr>
        <w:ind w:left="762"/>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4"/>
          <w:szCs w:val="24"/>
          <w:color w:val="auto"/>
        </w:rPr>
      </w:pPr>
    </w:p>
    <w:p>
      <w:pPr>
        <w:ind w:left="762"/>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762"/>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Description of Exhibit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of NN, Inc. dated November 2, 2004</w:t>
      </w:r>
    </w:p>
    <w:p>
      <w:pPr>
        <w:sectPr>
          <w:pgSz w:w="11900" w:h="16838" w:orient="portrait"/>
          <w:cols w:equalWidth="0" w:num="2">
            <w:col w:w="1422" w:space="300"/>
            <w:col w:w="8499"/>
          </w:cols>
          <w:pgMar w:left="238" w:top="237" w:right="1440"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NN, Inc.</w:t>
      </w:r>
    </w:p>
    <w:p>
      <w:pPr>
        <w:sectPr>
          <w:pgSz w:w="11900" w:h="16838" w:orient="portrait"/>
          <w:cols w:equalWidth="0" w:num="1">
            <w:col w:w="10219"/>
          </w:cols>
          <w:pgMar w:left="240" w:top="848" w:right="1440" w:bottom="1440" w:gutter="0" w:footer="0" w:header="0"/>
        </w:sect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5, 2004</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William C. Kelly,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C. Kelly,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 Treasurer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Administrative Officer</w:t>
      </w:r>
    </w:p>
    <w:p>
      <w:pPr>
        <w:sectPr>
          <w:pgSz w:w="11900" w:h="16838" w:orient="portrait"/>
          <w:cols w:equalWidth="0" w:num="3">
            <w:col w:w="580" w:space="280"/>
            <w:col w:w="2040" w:space="720"/>
            <w:col w:w="6599"/>
          </w:cols>
          <w:pgMar w:left="240" w:top="848" w:right="1440" w:bottom="1440" w:gutter="0" w:footer="0" w:header="0"/>
          <w:type w:val="continuous"/>
        </w:sectPr>
      </w:pPr>
    </w:p>
    <w:bookmarkStart w:id="2" w:name="page3"/>
    <w:bookmarkEnd w:id="2"/>
    <w:p>
      <w:pPr>
        <w:spacing w:after="0" w:line="3"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Exhibit 99.1</w:t>
      </w:r>
    </w:p>
    <w:p>
      <w:pPr>
        <w:spacing w:after="0" w:line="197" w:lineRule="exact"/>
        <w:rPr>
          <w:sz w:val="20"/>
          <w:szCs w:val="20"/>
          <w:color w:val="auto"/>
        </w:rPr>
      </w:pPr>
    </w:p>
    <w:p>
      <w:pPr>
        <w:ind w:left="7240"/>
        <w:spacing w:after="0"/>
        <w:rPr>
          <w:sz w:val="20"/>
          <w:szCs w:val="20"/>
          <w:color w:val="auto"/>
        </w:rPr>
      </w:pPr>
      <w:r>
        <w:rPr>
          <w:rFonts w:ascii="Courier New" w:cs="Courier New" w:eastAsia="Courier New" w:hAnsi="Courier New"/>
          <w:sz w:val="15"/>
          <w:szCs w:val="15"/>
          <w:color w:val="auto"/>
        </w:rPr>
        <w:t>NEWS</w:t>
      </w:r>
    </w:p>
    <w:p>
      <w:pPr>
        <w:sectPr>
          <w:pgSz w:w="11900" w:h="16841" w:orient="portrait"/>
          <w:cols w:equalWidth="0" w:num="1">
            <w:col w:w="10219"/>
          </w:cols>
          <w:pgMar w:left="240" w:top="142" w:right="1440" w:bottom="0" w:gutter="0" w:footer="0" w:header="0"/>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 BOARD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 NN,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Waters Edge Drive</w:t>
      </w:r>
    </w:p>
    <w:p>
      <w:pPr>
        <w:spacing w:after="0" w:line="2"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Johnson City, TN</w:t>
      </w:r>
      <w:r>
        <w:rPr>
          <w:sz w:val="20"/>
          <w:szCs w:val="20"/>
          <w:color w:val="auto"/>
        </w:rPr>
        <w:tab/>
      </w:r>
      <w:r>
        <w:rPr>
          <w:rFonts w:ascii="Courier New" w:cs="Courier New" w:eastAsia="Courier New" w:hAnsi="Courier New"/>
          <w:sz w:val="15"/>
          <w:szCs w:val="15"/>
          <w:color w:val="auto"/>
        </w:rPr>
        <w:t>37604</w:t>
      </w:r>
    </w:p>
    <w:p>
      <w:pPr>
        <w:spacing w:after="0" w:line="200" w:lineRule="exact"/>
        <w:rPr>
          <w:sz w:val="20"/>
          <w:szCs w:val="20"/>
          <w:color w:val="auto"/>
        </w:rPr>
      </w:pPr>
    </w:p>
    <w:p>
      <w:pPr>
        <w:sectPr>
          <w:pgSz w:w="11900" w:h="16841" w:orient="portrait"/>
          <w:cols w:equalWidth="0" w:num="2">
            <w:col w:w="4720" w:space="720"/>
            <w:col w:w="4779"/>
          </w:cols>
          <w:pgMar w:left="240" w:top="142"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FURTHER INFORMATION:</w:t>
      </w:r>
    </w:p>
    <w:p>
      <w:pPr>
        <w:sectPr>
          <w:pgSz w:w="11900" w:h="16841" w:orient="portrait"/>
          <w:cols w:equalWidth="0" w:num="1">
            <w:col w:w="10219"/>
          </w:cols>
          <w:pgMar w:left="240" w:top="142" w:right="1440" w:bottom="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Kelly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&amp; Manager of Investor Relations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(423) 743-9151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AT FINANCIAL RELATIONS BOARD</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0"/>
        <w:spacing w:after="0"/>
        <w:tabs>
          <w:tab w:leader="none" w:pos="2080" w:val="left"/>
        </w:tabs>
        <w:rPr>
          <w:sz w:val="20"/>
          <w:szCs w:val="20"/>
          <w:color w:val="auto"/>
        </w:rPr>
      </w:pPr>
      <w:r>
        <w:rPr>
          <w:rFonts w:ascii="Courier New" w:cs="Courier New" w:eastAsia="Courier New" w:hAnsi="Courier New"/>
          <w:sz w:val="16"/>
          <w:szCs w:val="16"/>
          <w:color w:val="auto"/>
        </w:rPr>
        <w:t>Alison Ziegler</w:t>
      </w:r>
      <w:r>
        <w:rPr>
          <w:sz w:val="20"/>
          <w:szCs w:val="20"/>
          <w:color w:val="auto"/>
        </w:rPr>
        <w:tab/>
      </w:r>
      <w:r>
        <w:rPr>
          <w:rFonts w:ascii="Courier New" w:cs="Courier New" w:eastAsia="Courier New" w:hAnsi="Courier New"/>
          <w:sz w:val="15"/>
          <w:szCs w:val="15"/>
          <w:color w:val="auto"/>
        </w:rPr>
        <w:t>Susan Garland</w:t>
      </w:r>
    </w:p>
    <w:p>
      <w:pPr>
        <w:spacing w:after="0" w:line="2"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6"/>
          <w:szCs w:val="16"/>
          <w:color w:val="auto"/>
        </w:rPr>
        <w:t>(General info)</w:t>
      </w:r>
      <w:r>
        <w:rPr>
          <w:sz w:val="20"/>
          <w:szCs w:val="20"/>
          <w:color w:val="auto"/>
        </w:rPr>
        <w:tab/>
      </w:r>
      <w:r>
        <w:rPr>
          <w:rFonts w:ascii="Courier New" w:cs="Courier New" w:eastAsia="Courier New" w:hAnsi="Courier New"/>
          <w:sz w:val="15"/>
          <w:szCs w:val="15"/>
          <w:color w:val="auto"/>
        </w:rPr>
        <w:t>(Analyst info)</w:t>
      </w:r>
    </w:p>
    <w:p>
      <w:pPr>
        <w:spacing w:after="0" w:line="2" w:lineRule="exact"/>
        <w:rPr>
          <w:sz w:val="20"/>
          <w:szCs w:val="20"/>
          <w:color w:val="auto"/>
        </w:rPr>
      </w:pPr>
    </w:p>
    <w:p>
      <w:pPr>
        <w:ind w:left="100"/>
        <w:spacing w:after="0"/>
        <w:tabs>
          <w:tab w:leader="none" w:pos="1800" w:val="left"/>
        </w:tabs>
        <w:rPr>
          <w:sz w:val="20"/>
          <w:szCs w:val="20"/>
          <w:color w:val="auto"/>
        </w:rPr>
      </w:pPr>
      <w:r>
        <w:rPr>
          <w:rFonts w:ascii="Courier New" w:cs="Courier New" w:eastAsia="Courier New" w:hAnsi="Courier New"/>
          <w:sz w:val="16"/>
          <w:szCs w:val="16"/>
          <w:color w:val="auto"/>
        </w:rPr>
        <w:t>212-445-8432</w:t>
      </w:r>
      <w:r>
        <w:rPr>
          <w:sz w:val="20"/>
          <w:szCs w:val="20"/>
          <w:color w:val="auto"/>
        </w:rPr>
        <w:tab/>
      </w:r>
      <w:r>
        <w:rPr>
          <w:rFonts w:ascii="Courier New" w:cs="Courier New" w:eastAsia="Courier New" w:hAnsi="Courier New"/>
          <w:sz w:val="15"/>
          <w:szCs w:val="15"/>
          <w:color w:val="auto"/>
        </w:rPr>
        <w:t>212-445-8458</w:t>
      </w:r>
    </w:p>
    <w:p>
      <w:pPr>
        <w:spacing w:after="0" w:line="186" w:lineRule="exact"/>
        <w:rPr>
          <w:sz w:val="20"/>
          <w:szCs w:val="20"/>
          <w:color w:val="auto"/>
        </w:rPr>
      </w:pPr>
    </w:p>
    <w:p>
      <w:pPr>
        <w:sectPr>
          <w:pgSz w:w="11900" w:h="16841" w:orient="portrait"/>
          <w:cols w:equalWidth="0" w:num="2">
            <w:col w:w="3900" w:space="380"/>
            <w:col w:w="59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 2004</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NN, INC. REPORTS REVENUE GAIN</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FOR THE THIRD QUARTER OF 2004</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Revises 2004 Full Year Estimated Earnings Per Share</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Johnson City, Tenn., November 2, 2004 - NN, Inc. (Nasdaq: NNBR) today reported its financial results for the third quarter and nine months ended September 30, 2004. Results include the operations of NN Netherlands (Veenendaal) a component manufacturing operation in Veenendaal, The Netherlands since its acquisition from the SKF Group (SKF) on May 2, 2003. Additionally, net income includes 100% ownership interest in NN Euroball (Euroball) as a result of the purchase of SKF's 23% minority interest on May 2, 2003.</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Net sales for the third quarter of 2004 were $72.9 million, up 12.8% from $64.6 million for the same period of 2003. Net income for the third quarter of 2004 totaled $2.2 million, or $0.13 per diluted share, compared to $3.2 million, or $0.18 per diluted share, for the third quarter of 2003. Earnings per diluted share in the third quarter of 2003 included a $0.01 per diluted share gain on the sales of assets related to the closing of the NN Arte facility in Mexico.</w:t>
      </w:r>
    </w:p>
    <w:p>
      <w:pPr>
        <w:spacing w:after="0" w:line="187" w:lineRule="exact"/>
        <w:rPr>
          <w:sz w:val="20"/>
          <w:szCs w:val="20"/>
          <w:color w:val="auto"/>
        </w:rPr>
      </w:pPr>
    </w:p>
    <w:p>
      <w:pPr>
        <w:jc w:val="both"/>
        <w:ind w:right="2599"/>
        <w:spacing w:after="0" w:line="260" w:lineRule="auto"/>
        <w:rPr>
          <w:sz w:val="20"/>
          <w:szCs w:val="20"/>
          <w:color w:val="auto"/>
        </w:rPr>
      </w:pPr>
      <w:r>
        <w:rPr>
          <w:rFonts w:ascii="Courier New" w:cs="Courier New" w:eastAsia="Courier New" w:hAnsi="Courier New"/>
          <w:sz w:val="15"/>
          <w:szCs w:val="15"/>
          <w:color w:val="auto"/>
        </w:rPr>
        <w:t>Net sales for the first nine months of 2004 were $225.8 million, up 21.1%, compared to $186.4 million for the same period of 2003. Net income for the first nine months of 2004 totaled $7.4 million, or $0.43 per diluted share, compared to $7.5 million, or $0.46 per diluted share, for the same period of 2003. Earnings per diluted share in 2003 included: an after-tax impairment charge of $1.7 million, or $0.11 per diluted share, related to the closing of NN Arte; a non-cash, after-tax charge of $291,000, or $0.02 per diluted share, related to the write-off of unamortized loan costs associated with the refinancing of the former credit facility; and a non-cash, after tax charge of $200,000, or $0.01 per diluted share, for compensation charges associated with a portion of employee stock options accounted for under the variable accounting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David L. Dyckman, Chief Financial Officer, commented, "Revenue growth of $8.3 million, or 12.8% over the third quarter of 2003 was principally attributable to increased demand, particularly in Europe and approximately $3.2 million related to the impact of currency exchange rates. While revenue growth was on target, our earnings were pressured by inventory reductions that were slightly greater than planned, continued material price inflation and Sarbanes-Oxley compliance costs.</w:t>
      </w:r>
    </w:p>
    <w:p>
      <w:pPr>
        <w:spacing w:after="0" w:line="188"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"As a percentage of net sales, cost of products sold was 78.5% in the third quarter of 2004 versus 77.8% in the third quarter of 2003. The year-over-year increase primarily resulted from the previously mentioned inventory reductions and material price inflation. These were partially offset by volume improvement leverage and cost reduction initiatives.</w:t>
      </w:r>
    </w:p>
    <w:p>
      <w:pPr>
        <w:spacing w:after="0" w:line="190"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"Selling, general and administrative expenses for the third quarter of 2004 increased $1.9 million to 9.8% as a percentage of net sales compared to 8.1% for the same period in 2003. The increase was primarily due to Sarbanes-Oxley compliance and Level 3 implementation costs."</w:t>
      </w:r>
    </w:p>
    <w:p>
      <w:pPr>
        <w:spacing w:after="0" w:line="189"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Mr. Dyckman concluded, "Our Level 3 initiatives are well underway and these efforts have positioned us well for 2005. Reductions in inventory levels, while continuing to negatively impact margins in 2004, will serve to benefit asset utilization and our return on invested capital over the long term. As of September 30, 2004, total debt minus cash was $69.5 million versus $79.5 million as of December 31, 2003, a reduction of $10.0 million. Also, we are in the process of selling our idle Walterboro, South Carolina ball manufacturing facility in an auction sale in mid November 2004. The net cash generated from the sale of this facility, which has been idle since early 2002, will be used to further reduce our outstanding debt. We continue to remain on track to reduce total debt minus cash by an estimated $13 million to $14 million for the full year."</w:t>
      </w:r>
    </w:p>
    <w:p>
      <w:pPr>
        <w:spacing w:after="0" w:line="191" w:lineRule="exact"/>
        <w:rPr>
          <w:sz w:val="20"/>
          <w:szCs w:val="20"/>
          <w:color w:val="auto"/>
        </w:rPr>
      </w:pPr>
    </w:p>
    <w:p>
      <w:pPr>
        <w:jc w:val="both"/>
        <w:ind w:right="2599"/>
        <w:spacing w:after="0" w:line="271" w:lineRule="auto"/>
        <w:rPr>
          <w:sz w:val="20"/>
          <w:szCs w:val="20"/>
          <w:color w:val="auto"/>
        </w:rPr>
      </w:pPr>
      <w:r>
        <w:rPr>
          <w:rFonts w:ascii="Courier New" w:cs="Courier New" w:eastAsia="Courier New" w:hAnsi="Courier New"/>
          <w:sz w:val="15"/>
          <w:szCs w:val="15"/>
          <w:color w:val="auto"/>
        </w:rPr>
        <w:t>Roderick R. Baty, Chairman and Chief Executive Officer, commented, "Although the third quarter of 2004 was essentially on plan with our expectations, we continue</w:t>
      </w:r>
    </w:p>
    <w:p>
      <w:pPr>
        <w:sectPr>
          <w:pgSz w:w="11900" w:h="16841" w:orient="portrait"/>
          <w:cols w:equalWidth="0" w:num="1">
            <w:col w:w="10219"/>
          </w:cols>
          <w:pgMar w:left="240" w:top="142" w:right="1440" w:bottom="0" w:gutter="0" w:footer="0" w:header="0"/>
          <w:type w:val="continuous"/>
        </w:sectPr>
      </w:pPr>
    </w:p>
    <w:bookmarkStart w:id="3" w:name="page4"/>
    <w:bookmarkEnd w:id="3"/>
    <w:p>
      <w:pPr>
        <w:jc w:val="both"/>
        <w:ind w:right="2599"/>
        <w:spacing w:after="0" w:line="242" w:lineRule="auto"/>
        <w:rPr>
          <w:sz w:val="20"/>
          <w:szCs w:val="20"/>
          <w:color w:val="auto"/>
        </w:rPr>
      </w:pPr>
      <w:r>
        <w:rPr>
          <w:rFonts w:ascii="Courier New" w:cs="Courier New" w:eastAsia="Courier New" w:hAnsi="Courier New"/>
          <w:sz w:val="16"/>
          <w:szCs w:val="16"/>
          <w:color w:val="auto"/>
        </w:rPr>
        <w:t>to experience volatile steel prices and, during the quarter, we saw prices for both scrap and finished steel rise beyond what we anticipated just one quarter ago, particularly in Europe. Due to contractual obligations, there continues to be a delay in our ability to pass through these higher raw material prices to our customers. As a result, we anticipate an additional negative impact to earnings in the fourth quarter of 2004 of approximately $600,000, or $0.03 per diluted share. Looking forward to 2005, we do anticipate recovering the majority of the raw material increases we incurred in 2004 and are currently having discussions with our customers regarding the elimination of the timing delay for 2005. Additionally, consistent with our strategy of rationalizing our global manufacturing capacity, we have begun to transfer the manufacture of certain automotive products from our facility in Eltmann, Germany to our new facility in Kysucke Nove Mesto, Slovakia. As a result of the transfer of this production, we will reduce our Eltmann workforce by approximately 40% in 2005. Although the displacement of these employees is unfortunate, we feel this transfer is necessary to best serve our customers by more efficiently balancing our global capacity. This balancing will improve the efficiencies of our European facilities and will provide us further opportunities for</w:t>
      </w:r>
    </w:p>
    <w:p>
      <w:pPr>
        <w:sectPr>
          <w:pgSz w:w="11900" w:h="16838" w:orient="portrait"/>
          <w:cols w:equalWidth="0" w:num="1">
            <w:col w:w="10219"/>
          </w:cols>
          <w:pgMar w:left="240" w:top="142" w:right="1440" w:bottom="1440" w:gutter="0" w:footer="0" w:header="0"/>
        </w:sectPr>
      </w:pPr>
    </w:p>
    <w:bookmarkStart w:id="4" w:name="page5"/>
    <w:bookmarkEnd w:id="4"/>
    <w:p>
      <w:pPr>
        <w:jc w:val="both"/>
        <w:ind w:right="2599"/>
        <w:spacing w:after="0" w:line="241" w:lineRule="auto"/>
        <w:rPr>
          <w:sz w:val="20"/>
          <w:szCs w:val="20"/>
          <w:color w:val="auto"/>
        </w:rPr>
      </w:pPr>
      <w:r>
        <w:rPr>
          <w:rFonts w:ascii="Courier New" w:cs="Courier New" w:eastAsia="Courier New" w:hAnsi="Courier New"/>
          <w:sz w:val="16"/>
          <w:szCs w:val="16"/>
          <w:color w:val="auto"/>
        </w:rPr>
        <w:t>continued cost structure improvements. We will provide a compensation package to our affected employees that will result in the recording of an estimated after-tax severance charge of approximately $1.4 million or $0.08 per diluted share. We anticipate recording this charge in the fourth quarter of 2004."</w:t>
      </w:r>
    </w:p>
    <w:p>
      <w:pPr>
        <w:spacing w:after="0" w:line="189"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Adjusting for the aforementioned material inflation and estimated severance costs, NN currently expects earnings of $0.49 to $0.52 per diluted share for 2004, down from previous guidance of $0.60 to $0.63. This equates to estimated earnings for the fourth quarter of between $0.05 to $0.08 per diluted share.</w:t>
      </w:r>
    </w:p>
    <w:p>
      <w:pPr>
        <w:spacing w:after="0" w:line="189"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Mr. Baty concluded, "From an operations standpoint, business continues to perform as expected. Slovakia is now up and running and we anticipate shipping approximately $2.0 million of product in the fourth quarter 2004, putting us on track to reach our forecasted levels of production for the year. Additionally, construction has begun on our new Chinese facility and we are excited about the prospects for new business throughout Asia. Finally, we continue to make excellent progress in our Level 3 program with further achievements in training, helping to position us for continued quality, margin, cash flow and earnings improvements in 2005."</w:t>
      </w:r>
    </w:p>
    <w:p>
      <w:pPr>
        <w:spacing w:after="0" w:line="189" w:lineRule="exact"/>
        <w:rPr>
          <w:sz w:val="20"/>
          <w:szCs w:val="20"/>
          <w:color w:val="auto"/>
        </w:rPr>
      </w:pPr>
    </w:p>
    <w:p>
      <w:pPr>
        <w:jc w:val="both"/>
        <w:ind w:right="2599"/>
        <w:spacing w:after="0" w:line="263" w:lineRule="auto"/>
        <w:rPr>
          <w:sz w:val="20"/>
          <w:szCs w:val="20"/>
          <w:color w:val="auto"/>
        </w:rPr>
      </w:pPr>
      <w:r>
        <w:rPr>
          <w:rFonts w:ascii="Courier New" w:cs="Courier New" w:eastAsia="Courier New" w:hAnsi="Courier New"/>
          <w:sz w:val="15"/>
          <w:szCs w:val="15"/>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$253 million in 2003.</w:t>
      </w:r>
    </w:p>
    <w:p>
      <w:pPr>
        <w:spacing w:after="0" w:line="172"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comments by Mr. Baty regarding production schedules, forecasted demand and revenues, earnings, and costs and by Mr. Dyckman regarding certain estimated cost, debt reduction and earnings are forward looking statements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inventory levels, regulatory compliance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2003.</w:t>
      </w:r>
    </w:p>
    <w:p>
      <w:pPr>
        <w:spacing w:after="0" w:line="19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(Financial Tables Follow)</w:t>
      </w:r>
    </w:p>
    <w:p>
      <w:pPr>
        <w:sectPr>
          <w:pgSz w:w="11900" w:h="16838" w:orient="portrait"/>
          <w:cols w:equalWidth="0" w:num="1">
            <w:col w:w="10219"/>
          </w:cols>
          <w:pgMar w:left="240" w:top="851" w:right="1440" w:bottom="1440" w:gutter="0" w:footer="0" w:header="0"/>
        </w:sectPr>
      </w:pPr>
    </w:p>
    <w:bookmarkStart w:id="5" w:name="page6"/>
    <w:bookmarkEnd w:id="5"/>
    <w:p>
      <w:pPr>
        <w:jc w:val="center"/>
        <w:ind w:right="3900"/>
        <w:spacing w:after="0"/>
        <w:rPr>
          <w:sz w:val="20"/>
          <w:szCs w:val="20"/>
          <w:color w:val="auto"/>
        </w:rPr>
      </w:pPr>
      <w:r>
        <w:rPr>
          <w:rFonts w:ascii="Courier New" w:cs="Courier New" w:eastAsia="Courier New" w:hAnsi="Courier New"/>
          <w:sz w:val="16"/>
          <w:szCs w:val="16"/>
          <w:color w:val="auto"/>
        </w:rPr>
        <w:t>NN, Inc.</w:t>
      </w:r>
    </w:p>
    <w:p>
      <w:pPr>
        <w:spacing w:after="0" w:line="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Condensed Statements of Income</w:t>
      </w:r>
    </w:p>
    <w:p>
      <w:pPr>
        <w:spacing w:after="0" w:line="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20" w:type="dxa"/>
            <w:vAlign w:val="bottom"/>
          </w:tcPr>
          <w:p>
            <w:pPr>
              <w:ind w:left="3340"/>
              <w:spacing w:after="0"/>
              <w:rPr>
                <w:sz w:val="20"/>
                <w:szCs w:val="20"/>
                <w:color w:val="auto"/>
              </w:rPr>
            </w:pPr>
            <w:r>
              <w:rPr>
                <w:rFonts w:ascii="Courier New" w:cs="Courier New" w:eastAsia="Courier New" w:hAnsi="Courier New"/>
                <w:sz w:val="16"/>
                <w:szCs w:val="16"/>
                <w:color w:val="auto"/>
              </w:rPr>
              <w:t>(Unaudited)</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734"/>
        </w:trPr>
        <w:tc>
          <w:tcPr>
            <w:tcW w:w="4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gridSpan w:val="3"/>
          </w:tcPr>
          <w:p>
            <w:pPr>
              <w:jc w:val="right"/>
              <w:ind w:right="841"/>
              <w:spacing w:after="0"/>
              <w:rPr>
                <w:sz w:val="20"/>
                <w:szCs w:val="20"/>
                <w:color w:val="auto"/>
              </w:rPr>
            </w:pPr>
            <w:r>
              <w:rPr>
                <w:rFonts w:ascii="Courier New" w:cs="Courier New" w:eastAsia="Courier New" w:hAnsi="Courier New"/>
                <w:sz w:val="16"/>
                <w:szCs w:val="16"/>
                <w:color w:val="auto"/>
              </w:rPr>
              <w:t>Three Months Ended</w:t>
            </w:r>
          </w:p>
        </w:tc>
        <w:tc>
          <w:tcPr>
            <w:tcW w:w="660" w:type="dxa"/>
            <w:vAlign w:val="bottom"/>
          </w:tcPr>
          <w:p>
            <w:pPr>
              <w:spacing w:after="0"/>
              <w:rPr>
                <w:sz w:val="24"/>
                <w:szCs w:val="24"/>
                <w:color w:val="auto"/>
              </w:rPr>
            </w:pPr>
          </w:p>
        </w:tc>
        <w:tc>
          <w:tcPr>
            <w:tcW w:w="2700" w:type="dxa"/>
            <w:vAlign w:val="bottom"/>
            <w:gridSpan w:val="3"/>
          </w:tcPr>
          <w:p>
            <w:pPr>
              <w:jc w:val="right"/>
              <w:ind w:right="661"/>
              <w:spacing w:after="0"/>
              <w:rPr>
                <w:sz w:val="20"/>
                <w:szCs w:val="20"/>
                <w:color w:val="auto"/>
              </w:rPr>
            </w:pPr>
            <w:r>
              <w:rPr>
                <w:rFonts w:ascii="Courier New" w:cs="Courier New" w:eastAsia="Courier New" w:hAnsi="Courier New"/>
                <w:sz w:val="16"/>
                <w:szCs w:val="16"/>
                <w:color w:val="auto"/>
              </w:rPr>
              <w:t>Nine Months Ended</w:t>
            </w:r>
          </w:p>
        </w:tc>
      </w:tr>
      <w:tr>
        <w:trPr>
          <w:trHeight w:val="183"/>
        </w:trPr>
        <w:tc>
          <w:tcPr>
            <w:tcW w:w="4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60" w:type="dxa"/>
            <w:vAlign w:val="bottom"/>
            <w:gridSpan w:val="3"/>
          </w:tcPr>
          <w:p>
            <w:pPr>
              <w:jc w:val="right"/>
              <w:ind w:right="921"/>
              <w:spacing w:after="0"/>
              <w:rPr>
                <w:sz w:val="20"/>
                <w:szCs w:val="20"/>
                <w:color w:val="auto"/>
              </w:rPr>
            </w:pPr>
            <w:r>
              <w:rPr>
                <w:rFonts w:ascii="Courier New" w:cs="Courier New" w:eastAsia="Courier New" w:hAnsi="Courier New"/>
                <w:sz w:val="16"/>
                <w:szCs w:val="16"/>
                <w:color w:val="auto"/>
              </w:rPr>
              <w:t>September 30,</w:t>
            </w:r>
          </w:p>
        </w:tc>
        <w:tc>
          <w:tcPr>
            <w:tcW w:w="6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880" w:type="dxa"/>
            <w:vAlign w:val="bottom"/>
          </w:tcPr>
          <w:p>
            <w:pPr>
              <w:spacing w:after="0"/>
              <w:rPr>
                <w:sz w:val="15"/>
                <w:szCs w:val="15"/>
                <w:color w:val="auto"/>
              </w:rPr>
            </w:pPr>
          </w:p>
        </w:tc>
      </w:tr>
      <w:tr>
        <w:trPr>
          <w:trHeight w:val="183"/>
        </w:trPr>
        <w:tc>
          <w:tcPr>
            <w:tcW w:w="4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2004</w:t>
            </w:r>
          </w:p>
        </w:tc>
        <w:tc>
          <w:tcPr>
            <w:tcW w:w="580" w:type="dxa"/>
            <w:vAlign w:val="bottom"/>
          </w:tcPr>
          <w:p>
            <w:pPr>
              <w:spacing w:after="0"/>
              <w:rPr>
                <w:sz w:val="15"/>
                <w:szCs w:val="15"/>
                <w:color w:val="auto"/>
              </w:rPr>
            </w:pPr>
          </w:p>
        </w:tc>
        <w:tc>
          <w:tcPr>
            <w:tcW w:w="12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2003</w:t>
            </w:r>
          </w:p>
        </w:tc>
        <w:tc>
          <w:tcPr>
            <w:tcW w:w="660" w:type="dxa"/>
            <w:vAlign w:val="bottom"/>
          </w:tcPr>
          <w:p>
            <w:pPr>
              <w:spacing w:after="0"/>
              <w:rPr>
                <w:sz w:val="15"/>
                <w:szCs w:val="15"/>
                <w:color w:val="auto"/>
              </w:rPr>
            </w:pPr>
          </w:p>
        </w:tc>
        <w:tc>
          <w:tcPr>
            <w:tcW w:w="120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2004</w:t>
            </w:r>
          </w:p>
        </w:tc>
        <w:tc>
          <w:tcPr>
            <w:tcW w:w="620" w:type="dxa"/>
            <w:vAlign w:val="bottom"/>
          </w:tcPr>
          <w:p>
            <w:pPr>
              <w:spacing w:after="0"/>
              <w:rPr>
                <w:sz w:val="15"/>
                <w:szCs w:val="15"/>
                <w:color w:val="auto"/>
              </w:rPr>
            </w:pPr>
          </w:p>
        </w:tc>
        <w:tc>
          <w:tcPr>
            <w:tcW w:w="8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4620" w:type="dxa"/>
            <w:vAlign w:val="bottom"/>
          </w:tcPr>
          <w:p>
            <w:pPr>
              <w:spacing w:after="0"/>
              <w:rPr>
                <w:sz w:val="15"/>
                <w:szCs w:val="15"/>
                <w:color w:val="auto"/>
              </w:rPr>
            </w:pPr>
          </w:p>
        </w:tc>
        <w:tc>
          <w:tcPr>
            <w:tcW w:w="17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46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72,917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64,612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225,815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186,415</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Cost of products sold (exclusive of</w:t>
            </w:r>
          </w:p>
        </w:tc>
        <w:tc>
          <w:tcPr>
            <w:tcW w:w="5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57,263</w:t>
            </w:r>
          </w:p>
        </w:tc>
        <w:tc>
          <w:tcPr>
            <w:tcW w:w="58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50,294</w:t>
            </w:r>
          </w:p>
        </w:tc>
        <w:tc>
          <w:tcPr>
            <w:tcW w:w="660" w:type="dxa"/>
            <w:vAlign w:val="bottom"/>
          </w:tcPr>
          <w:p>
            <w:pPr>
              <w:spacing w:after="0"/>
              <w:rPr>
                <w:sz w:val="15"/>
                <w:szCs w:val="15"/>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176,590</w:t>
            </w:r>
          </w:p>
        </w:tc>
        <w:tc>
          <w:tcPr>
            <w:tcW w:w="62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142,758</w:t>
            </w:r>
          </w:p>
        </w:tc>
      </w:tr>
      <w:tr>
        <w:trPr>
          <w:trHeight w:val="183"/>
        </w:trPr>
        <w:tc>
          <w:tcPr>
            <w:tcW w:w="4620" w:type="dxa"/>
            <w:vAlign w:val="bottom"/>
          </w:tcPr>
          <w:p>
            <w:pPr>
              <w:ind w:left="180"/>
              <w:spacing w:after="0"/>
              <w:rPr>
                <w:sz w:val="20"/>
                <w:szCs w:val="20"/>
                <w:color w:val="auto"/>
              </w:rPr>
            </w:pPr>
            <w:r>
              <w:rPr>
                <w:rFonts w:ascii="Courier New" w:cs="Courier New" w:eastAsia="Courier New" w:hAnsi="Courier New"/>
                <w:sz w:val="16"/>
                <w:szCs w:val="16"/>
                <w:color w:val="auto"/>
              </w:rPr>
              <w:t>depreciation shown separately below)</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5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7,126</w:t>
            </w:r>
          </w:p>
        </w:tc>
        <w:tc>
          <w:tcPr>
            <w:tcW w:w="58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5,247</w:t>
            </w:r>
          </w:p>
        </w:tc>
        <w:tc>
          <w:tcPr>
            <w:tcW w:w="660" w:type="dxa"/>
            <w:vAlign w:val="bottom"/>
          </w:tcPr>
          <w:p>
            <w:pPr>
              <w:spacing w:after="0"/>
              <w:rPr>
                <w:sz w:val="15"/>
                <w:szCs w:val="15"/>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22,309</w:t>
            </w:r>
          </w:p>
        </w:tc>
        <w:tc>
          <w:tcPr>
            <w:tcW w:w="62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15,650</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5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3,999</w:t>
            </w:r>
          </w:p>
        </w:tc>
        <w:tc>
          <w:tcPr>
            <w:tcW w:w="58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3,602</w:t>
            </w:r>
          </w:p>
        </w:tc>
        <w:tc>
          <w:tcPr>
            <w:tcW w:w="660" w:type="dxa"/>
            <w:vAlign w:val="bottom"/>
          </w:tcPr>
          <w:p>
            <w:pPr>
              <w:spacing w:after="0"/>
              <w:rPr>
                <w:sz w:val="15"/>
                <w:szCs w:val="15"/>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11,918</w:t>
            </w:r>
          </w:p>
        </w:tc>
        <w:tc>
          <w:tcPr>
            <w:tcW w:w="62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10,103</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Restructuring and impairment costs (gain)</w:t>
            </w:r>
          </w:p>
        </w:tc>
        <w:tc>
          <w:tcPr>
            <w:tcW w:w="5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(224)</w:t>
            </w:r>
          </w:p>
        </w:tc>
        <w:tc>
          <w:tcPr>
            <w:tcW w:w="660" w:type="dxa"/>
            <w:vAlign w:val="bottom"/>
          </w:tcPr>
          <w:p>
            <w:pPr>
              <w:spacing w:after="0"/>
              <w:rPr>
                <w:sz w:val="15"/>
                <w:szCs w:val="15"/>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2,498</w:t>
            </w:r>
          </w:p>
        </w:tc>
      </w:tr>
      <w:tr>
        <w:trPr>
          <w:trHeight w:val="183"/>
        </w:trPr>
        <w:tc>
          <w:tcPr>
            <w:tcW w:w="4620" w:type="dxa"/>
            <w:vAlign w:val="bottom"/>
          </w:tcPr>
          <w:p>
            <w:pPr>
              <w:spacing w:after="0"/>
              <w:rPr>
                <w:sz w:val="15"/>
                <w:szCs w:val="15"/>
                <w:color w:val="auto"/>
              </w:rPr>
            </w:pPr>
          </w:p>
        </w:tc>
        <w:tc>
          <w:tcPr>
            <w:tcW w:w="17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5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4,529</w:t>
            </w:r>
          </w:p>
        </w:tc>
        <w:tc>
          <w:tcPr>
            <w:tcW w:w="58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5,693</w:t>
            </w:r>
          </w:p>
        </w:tc>
        <w:tc>
          <w:tcPr>
            <w:tcW w:w="660" w:type="dxa"/>
            <w:vAlign w:val="bottom"/>
          </w:tcPr>
          <w:p>
            <w:pPr>
              <w:spacing w:after="0"/>
              <w:rPr>
                <w:sz w:val="15"/>
                <w:szCs w:val="15"/>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14,998</w:t>
            </w:r>
          </w:p>
        </w:tc>
        <w:tc>
          <w:tcPr>
            <w:tcW w:w="62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15,406</w:t>
            </w:r>
          </w:p>
        </w:tc>
      </w:tr>
      <w:tr>
        <w:trPr>
          <w:trHeight w:val="367"/>
        </w:trPr>
        <w:tc>
          <w:tcPr>
            <w:tcW w:w="462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580" w:type="dxa"/>
            <w:vAlign w:val="bottom"/>
          </w:tcPr>
          <w:p>
            <w:pPr>
              <w:spacing w:after="0"/>
              <w:rPr>
                <w:sz w:val="24"/>
                <w:szCs w:val="24"/>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1,101</w:t>
            </w:r>
          </w:p>
        </w:tc>
        <w:tc>
          <w:tcPr>
            <w:tcW w:w="580" w:type="dxa"/>
            <w:vAlign w:val="bottom"/>
          </w:tcPr>
          <w:p>
            <w:pPr>
              <w:spacing w:after="0"/>
              <w:rPr>
                <w:sz w:val="24"/>
                <w:szCs w:val="24"/>
                <w:color w:val="auto"/>
              </w:rPr>
            </w:pPr>
          </w:p>
        </w:tc>
        <w:tc>
          <w:tcPr>
            <w:tcW w:w="12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921</w:t>
            </w:r>
          </w:p>
        </w:tc>
        <w:tc>
          <w:tcPr>
            <w:tcW w:w="660" w:type="dxa"/>
            <w:vAlign w:val="bottom"/>
          </w:tcPr>
          <w:p>
            <w:pPr>
              <w:spacing w:after="0"/>
              <w:rPr>
                <w:sz w:val="24"/>
                <w:szCs w:val="24"/>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2,925</w:t>
            </w:r>
          </w:p>
        </w:tc>
        <w:tc>
          <w:tcPr>
            <w:tcW w:w="62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2,325</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5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(177)</w:t>
            </w:r>
          </w:p>
        </w:tc>
        <w:tc>
          <w:tcPr>
            <w:tcW w:w="5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(38)</w:t>
            </w:r>
          </w:p>
        </w:tc>
        <w:tc>
          <w:tcPr>
            <w:tcW w:w="660" w:type="dxa"/>
            <w:vAlign w:val="bottom"/>
          </w:tcPr>
          <w:p>
            <w:pPr>
              <w:spacing w:after="0"/>
              <w:rPr>
                <w:sz w:val="15"/>
                <w:szCs w:val="15"/>
                <w:color w:val="auto"/>
              </w:rPr>
            </w:pP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(208)</w:t>
            </w:r>
          </w:p>
        </w:tc>
        <w:tc>
          <w:tcPr>
            <w:tcW w:w="62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272</w:t>
            </w:r>
          </w:p>
        </w:tc>
      </w:tr>
      <w:tr>
        <w:trPr>
          <w:trHeight w:val="183"/>
        </w:trPr>
        <w:tc>
          <w:tcPr>
            <w:tcW w:w="4620" w:type="dxa"/>
            <w:vAlign w:val="bottom"/>
          </w:tcPr>
          <w:p>
            <w:pPr>
              <w:spacing w:after="0"/>
              <w:rPr>
                <w:sz w:val="15"/>
                <w:szCs w:val="15"/>
                <w:color w:val="auto"/>
              </w:rPr>
            </w:pPr>
          </w:p>
        </w:tc>
        <w:tc>
          <w:tcPr>
            <w:tcW w:w="17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5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3,605</w:t>
            </w:r>
          </w:p>
        </w:tc>
        <w:tc>
          <w:tcPr>
            <w:tcW w:w="58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4,810</w:t>
            </w:r>
          </w:p>
        </w:tc>
        <w:tc>
          <w:tcPr>
            <w:tcW w:w="660" w:type="dxa"/>
            <w:vAlign w:val="bottom"/>
          </w:tcPr>
          <w:p>
            <w:pPr>
              <w:spacing w:after="0"/>
              <w:rPr>
                <w:sz w:val="15"/>
                <w:szCs w:val="15"/>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12,281</w:t>
            </w:r>
          </w:p>
        </w:tc>
        <w:tc>
          <w:tcPr>
            <w:tcW w:w="62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12,809</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5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1,453</w:t>
            </w:r>
          </w:p>
        </w:tc>
        <w:tc>
          <w:tcPr>
            <w:tcW w:w="58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1,646</w:t>
            </w:r>
          </w:p>
        </w:tc>
        <w:tc>
          <w:tcPr>
            <w:tcW w:w="660" w:type="dxa"/>
            <w:vAlign w:val="bottom"/>
          </w:tcPr>
          <w:p>
            <w:pPr>
              <w:spacing w:after="0"/>
              <w:rPr>
                <w:sz w:val="15"/>
                <w:szCs w:val="15"/>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4,926</w:t>
            </w:r>
          </w:p>
        </w:tc>
        <w:tc>
          <w:tcPr>
            <w:tcW w:w="62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4,630</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subsidiary</w:t>
            </w:r>
          </w:p>
        </w:tc>
        <w:tc>
          <w:tcPr>
            <w:tcW w:w="5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675</w:t>
            </w:r>
          </w:p>
        </w:tc>
      </w:tr>
      <w:tr>
        <w:trPr>
          <w:trHeight w:val="183"/>
        </w:trPr>
        <w:tc>
          <w:tcPr>
            <w:tcW w:w="4620" w:type="dxa"/>
            <w:vAlign w:val="bottom"/>
          </w:tcPr>
          <w:p>
            <w:pPr>
              <w:spacing w:after="0"/>
              <w:rPr>
                <w:sz w:val="15"/>
                <w:szCs w:val="15"/>
                <w:color w:val="auto"/>
              </w:rPr>
            </w:pPr>
          </w:p>
        </w:tc>
        <w:tc>
          <w:tcPr>
            <w:tcW w:w="17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2,152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3,164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7,355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7,504</w:t>
            </w:r>
          </w:p>
        </w:tc>
      </w:tr>
      <w:tr>
        <w:trPr>
          <w:trHeight w:val="183"/>
        </w:trPr>
        <w:tc>
          <w:tcPr>
            <w:tcW w:w="4620" w:type="dxa"/>
            <w:vAlign w:val="bottom"/>
          </w:tcPr>
          <w:p>
            <w:pPr>
              <w:spacing w:after="0"/>
              <w:rPr>
                <w:sz w:val="15"/>
                <w:szCs w:val="15"/>
                <w:color w:val="auto"/>
              </w:rPr>
            </w:pPr>
          </w:p>
        </w:tc>
        <w:tc>
          <w:tcPr>
            <w:tcW w:w="17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Diluted income per common share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0.13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0.18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0.43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0.46</w:t>
            </w:r>
          </w:p>
        </w:tc>
      </w:tr>
      <w:tr>
        <w:trPr>
          <w:trHeight w:val="183"/>
        </w:trPr>
        <w:tc>
          <w:tcPr>
            <w:tcW w:w="4620" w:type="dxa"/>
            <w:vAlign w:val="bottom"/>
          </w:tcPr>
          <w:p>
            <w:pPr>
              <w:spacing w:after="0"/>
              <w:rPr>
                <w:sz w:val="15"/>
                <w:szCs w:val="15"/>
                <w:color w:val="auto"/>
              </w:rPr>
            </w:pPr>
          </w:p>
        </w:tc>
        <w:tc>
          <w:tcPr>
            <w:tcW w:w="17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Weighted average diluted shares</w:t>
            </w:r>
          </w:p>
        </w:tc>
        <w:tc>
          <w:tcPr>
            <w:tcW w:w="5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17,135</w:t>
            </w:r>
          </w:p>
        </w:tc>
        <w:tc>
          <w:tcPr>
            <w:tcW w:w="58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17,167</w:t>
            </w:r>
          </w:p>
        </w:tc>
        <w:tc>
          <w:tcPr>
            <w:tcW w:w="660" w:type="dxa"/>
            <w:vAlign w:val="bottom"/>
          </w:tcPr>
          <w:p>
            <w:pPr>
              <w:spacing w:after="0"/>
              <w:rPr>
                <w:sz w:val="15"/>
                <w:szCs w:val="15"/>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17,142</w:t>
            </w:r>
          </w:p>
        </w:tc>
        <w:tc>
          <w:tcPr>
            <w:tcW w:w="62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16,194</w:t>
            </w:r>
          </w:p>
        </w:tc>
      </w:tr>
      <w:tr>
        <w:trPr>
          <w:trHeight w:val="183"/>
        </w:trPr>
        <w:tc>
          <w:tcPr>
            <w:tcW w:w="4620" w:type="dxa"/>
            <w:vAlign w:val="bottom"/>
          </w:tcPr>
          <w:p>
            <w:pPr>
              <w:spacing w:after="0"/>
              <w:rPr>
                <w:sz w:val="15"/>
                <w:szCs w:val="15"/>
                <w:color w:val="auto"/>
              </w:rPr>
            </w:pPr>
          </w:p>
        </w:tc>
        <w:tc>
          <w:tcPr>
            <w:tcW w:w="17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1031" w:right="139" w:bottom="1440" w:gutter="0" w:footer="0" w:header="0"/>
        </w:sectPr>
      </w:pPr>
    </w:p>
    <w:bookmarkStart w:id="6" w:name="page7"/>
    <w:bookmarkEnd w:id="6"/>
    <w:p>
      <w:pPr>
        <w:jc w:val="center"/>
        <w:ind w:right="3440"/>
        <w:spacing w:after="0"/>
        <w:rPr>
          <w:sz w:val="20"/>
          <w:szCs w:val="20"/>
          <w:color w:val="auto"/>
        </w:rPr>
      </w:pPr>
      <w:r>
        <w:rPr>
          <w:rFonts w:ascii="Courier New" w:cs="Courier New" w:eastAsia="Courier New" w:hAnsi="Courier New"/>
          <w:sz w:val="16"/>
          <w:szCs w:val="16"/>
          <w:color w:val="auto"/>
        </w:rPr>
        <w:t>NN, Inc.</w:t>
      </w:r>
    </w:p>
    <w:p>
      <w:pPr>
        <w:spacing w:after="0" w:line="2"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6"/>
          <w:szCs w:val="16"/>
          <w:color w:val="auto"/>
        </w:rPr>
        <w:t>Condensed Balance Sheets</w:t>
      </w:r>
    </w:p>
    <w:p>
      <w:pPr>
        <w:spacing w:after="0" w:line="2"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6"/>
          <w:szCs w:val="16"/>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20" w:type="dxa"/>
            <w:vAlign w:val="bottom"/>
          </w:tcPr>
          <w:p>
            <w:pPr>
              <w:ind w:left="3340"/>
              <w:spacing w:after="0"/>
              <w:rPr>
                <w:sz w:val="20"/>
                <w:szCs w:val="20"/>
                <w:color w:val="auto"/>
              </w:rPr>
            </w:pPr>
            <w:r>
              <w:rPr>
                <w:rFonts w:ascii="Courier New" w:cs="Courier New" w:eastAsia="Courier New" w:hAnsi="Courier New"/>
                <w:sz w:val="16"/>
                <w:szCs w:val="16"/>
                <w:color w:val="auto"/>
              </w:rPr>
              <w:t>(Unaudited)</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50"/>
        </w:trPr>
        <w:tc>
          <w:tcPr>
            <w:tcW w:w="5620" w:type="dxa"/>
            <w:vAlign w:val="bottom"/>
          </w:tcPr>
          <w:p>
            <w:pPr>
              <w:spacing w:after="0"/>
              <w:rPr>
                <w:sz w:val="24"/>
                <w:szCs w:val="24"/>
                <w:color w:val="auto"/>
              </w:rPr>
            </w:pPr>
          </w:p>
        </w:tc>
        <w:tc>
          <w:tcPr>
            <w:tcW w:w="34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September 30,</w:t>
            </w:r>
          </w:p>
        </w:tc>
        <w:tc>
          <w:tcPr>
            <w:tcW w:w="9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December 31,</w:t>
            </w:r>
          </w:p>
        </w:tc>
      </w:tr>
      <w:tr>
        <w:trPr>
          <w:trHeight w:val="183"/>
        </w:trPr>
        <w:tc>
          <w:tcPr>
            <w:tcW w:w="5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2004</w:t>
            </w:r>
          </w:p>
        </w:tc>
        <w:tc>
          <w:tcPr>
            <w:tcW w:w="90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5620" w:type="dxa"/>
            <w:vAlign w:val="bottom"/>
          </w:tcPr>
          <w:p>
            <w:pPr>
              <w:spacing w:after="0"/>
              <w:rPr>
                <w:sz w:val="15"/>
                <w:szCs w:val="15"/>
                <w:color w:val="auto"/>
              </w:rPr>
            </w:pPr>
          </w:p>
        </w:tc>
        <w:tc>
          <w:tcPr>
            <w:tcW w:w="34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7,773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4,978</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50,656</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40,864</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Inventories, net</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32,292</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36,278</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6,092</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6,299</w:t>
            </w:r>
          </w:p>
        </w:tc>
      </w:tr>
      <w:tr>
        <w:trPr>
          <w:trHeight w:val="183"/>
        </w:trPr>
        <w:tc>
          <w:tcPr>
            <w:tcW w:w="5620" w:type="dxa"/>
            <w:vAlign w:val="bottom"/>
          </w:tcPr>
          <w:p>
            <w:pPr>
              <w:spacing w:after="0"/>
              <w:rPr>
                <w:sz w:val="15"/>
                <w:szCs w:val="15"/>
                <w:color w:val="auto"/>
              </w:rPr>
            </w:pPr>
          </w:p>
        </w:tc>
        <w:tc>
          <w:tcPr>
            <w:tcW w:w="34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Total current assets</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96,813</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88,419</w:t>
            </w:r>
          </w:p>
        </w:tc>
      </w:tr>
      <w:tr>
        <w:trPr>
          <w:trHeight w:val="3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2160" w:type="dxa"/>
            <w:vAlign w:val="bottom"/>
          </w:tcPr>
          <w:p>
            <w:pPr>
              <w:spacing w:after="0"/>
              <w:rPr>
                <w:sz w:val="24"/>
                <w:szCs w:val="24"/>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125,463</w:t>
            </w:r>
          </w:p>
        </w:tc>
        <w:tc>
          <w:tcPr>
            <w:tcW w:w="9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128,996</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Assets held for sale</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1,805</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42,544</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42,893</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4,871</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4,304</w:t>
            </w:r>
          </w:p>
        </w:tc>
      </w:tr>
      <w:tr>
        <w:trPr>
          <w:trHeight w:val="183"/>
        </w:trPr>
        <w:tc>
          <w:tcPr>
            <w:tcW w:w="5620" w:type="dxa"/>
            <w:vAlign w:val="bottom"/>
          </w:tcPr>
          <w:p>
            <w:pPr>
              <w:spacing w:after="0"/>
              <w:rPr>
                <w:sz w:val="15"/>
                <w:szCs w:val="15"/>
                <w:color w:val="auto"/>
              </w:rPr>
            </w:pPr>
          </w:p>
        </w:tc>
        <w:tc>
          <w:tcPr>
            <w:tcW w:w="34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Total assets</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269,691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266,417</w:t>
            </w:r>
          </w:p>
        </w:tc>
      </w:tr>
      <w:tr>
        <w:trPr>
          <w:trHeight w:val="183"/>
        </w:trPr>
        <w:tc>
          <w:tcPr>
            <w:tcW w:w="5620" w:type="dxa"/>
            <w:vAlign w:val="bottom"/>
          </w:tcPr>
          <w:p>
            <w:pPr>
              <w:spacing w:after="0"/>
              <w:rPr>
                <w:sz w:val="15"/>
                <w:szCs w:val="15"/>
                <w:color w:val="auto"/>
              </w:rPr>
            </w:pPr>
          </w:p>
        </w:tc>
        <w:tc>
          <w:tcPr>
            <w:tcW w:w="34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37,418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32,867</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Accrued salaries and wages</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12,106</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12,032</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Short-term note</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6,523</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12,725</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6,519</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3,070</w:t>
            </w:r>
          </w:p>
        </w:tc>
      </w:tr>
      <w:tr>
        <w:trPr>
          <w:trHeight w:val="183"/>
        </w:trPr>
        <w:tc>
          <w:tcPr>
            <w:tcW w:w="5620" w:type="dxa"/>
            <w:vAlign w:val="bottom"/>
          </w:tcPr>
          <w:p>
            <w:pPr>
              <w:spacing w:after="0"/>
              <w:rPr>
                <w:sz w:val="15"/>
                <w:szCs w:val="15"/>
                <w:color w:val="auto"/>
              </w:rPr>
            </w:pPr>
          </w:p>
        </w:tc>
        <w:tc>
          <w:tcPr>
            <w:tcW w:w="34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Total current liabilities</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62,566</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62,694</w:t>
            </w:r>
          </w:p>
        </w:tc>
      </w:tr>
      <w:tr>
        <w:trPr>
          <w:trHeight w:val="3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160" w:type="dxa"/>
            <w:vAlign w:val="bottom"/>
          </w:tcPr>
          <w:p>
            <w:pPr>
              <w:spacing w:after="0"/>
              <w:rPr>
                <w:sz w:val="24"/>
                <w:szCs w:val="24"/>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14,102</w:t>
            </w:r>
          </w:p>
        </w:tc>
        <w:tc>
          <w:tcPr>
            <w:tcW w:w="9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13,423</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Long-term notes payable</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70,735</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69,752</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1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13,355</w:t>
            </w:r>
          </w:p>
        </w:tc>
        <w:tc>
          <w:tcPr>
            <w:tcW w:w="9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14,080</w:t>
            </w:r>
          </w:p>
        </w:tc>
      </w:tr>
      <w:tr>
        <w:trPr>
          <w:trHeight w:val="183"/>
        </w:trPr>
        <w:tc>
          <w:tcPr>
            <w:tcW w:w="5620" w:type="dxa"/>
            <w:vAlign w:val="bottom"/>
          </w:tcPr>
          <w:p>
            <w:pPr>
              <w:spacing w:after="0"/>
              <w:rPr>
                <w:sz w:val="15"/>
                <w:szCs w:val="15"/>
                <w:color w:val="auto"/>
              </w:rPr>
            </w:pPr>
          </w:p>
        </w:tc>
        <w:tc>
          <w:tcPr>
            <w:tcW w:w="34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2160" w:type="dxa"/>
            <w:vAlign w:val="bottom"/>
          </w:tcPr>
          <w:p>
            <w:pPr>
              <w:spacing w:after="0"/>
              <w:rPr>
                <w:sz w:val="24"/>
                <w:szCs w:val="24"/>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160,758</w:t>
            </w:r>
          </w:p>
        </w:tc>
        <w:tc>
          <w:tcPr>
            <w:tcW w:w="9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159,949</w:t>
            </w:r>
          </w:p>
        </w:tc>
      </w:tr>
      <w:tr>
        <w:trPr>
          <w:trHeight w:val="3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2160" w:type="dxa"/>
            <w:vAlign w:val="bottom"/>
          </w:tcPr>
          <w:p>
            <w:pPr>
              <w:spacing w:after="0"/>
              <w:rPr>
                <w:sz w:val="24"/>
                <w:szCs w:val="24"/>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108,933</w:t>
            </w:r>
          </w:p>
        </w:tc>
        <w:tc>
          <w:tcPr>
            <w:tcW w:w="9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106,468</w:t>
            </w:r>
          </w:p>
        </w:tc>
      </w:tr>
      <w:tr>
        <w:trPr>
          <w:trHeight w:val="183"/>
        </w:trPr>
        <w:tc>
          <w:tcPr>
            <w:tcW w:w="5620" w:type="dxa"/>
            <w:vAlign w:val="bottom"/>
          </w:tcPr>
          <w:p>
            <w:pPr>
              <w:spacing w:after="0"/>
              <w:rPr>
                <w:sz w:val="15"/>
                <w:szCs w:val="15"/>
                <w:color w:val="auto"/>
              </w:rPr>
            </w:pPr>
          </w:p>
        </w:tc>
        <w:tc>
          <w:tcPr>
            <w:tcW w:w="34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269,691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266,417</w:t>
            </w:r>
          </w:p>
        </w:tc>
      </w:tr>
      <w:tr>
        <w:trPr>
          <w:trHeight w:val="183"/>
        </w:trPr>
        <w:tc>
          <w:tcPr>
            <w:tcW w:w="5620" w:type="dxa"/>
            <w:vAlign w:val="bottom"/>
          </w:tcPr>
          <w:p>
            <w:pPr>
              <w:spacing w:after="0"/>
              <w:rPr>
                <w:sz w:val="15"/>
                <w:szCs w:val="15"/>
                <w:color w:val="auto"/>
              </w:rPr>
            </w:pPr>
          </w:p>
        </w:tc>
        <w:tc>
          <w:tcPr>
            <w:tcW w:w="34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 w:lineRule="exact"/>
        <w:rPr>
          <w:sz w:val="20"/>
          <w:szCs w:val="20"/>
          <w:color w:val="auto"/>
        </w:rPr>
      </w:pPr>
    </w:p>
    <w:sectPr>
      <w:pgSz w:w="11900" w:h="16838" w:orient="portrait"/>
      <w:cols w:equalWidth="0" w:num="1">
        <w:col w:w="11060"/>
      </w:cols>
      <w:pgMar w:left="240" w:top="103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2019-12-14T02:42:52Z</dcterms:created>
  <dcterms:modified xsi:type="dcterms:W3CDTF">2019-12-14T02:42:52Z</dcterms:modified>
</cp:coreProperties>
</file>