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0" w:hanging="536"/>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6"/>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180" w:hanging="576"/>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54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-3980815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-3535045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-2951480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-2505710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-2059940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-584835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306705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0920"/>
          </w:cols>
          <w:pgMar w:left="440" w:top="517" w:right="539" w:bottom="154" w:gutter="0" w:footer="0" w:header="0"/>
        </w:sectPr>
      </w:pPr>
    </w:p>
    <w:bookmarkStart w:id="1" w:name="page2"/>
    <w:bookmarkEnd w:id="1"/>
    <w:p>
      <w:pPr>
        <w:ind w:left="549" w:hanging="549"/>
        <w:spacing w:after="0"/>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483870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527050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jc w:val="right"/>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926465"/>
                    </a:xfrm>
                    <a:prstGeom prst="rect">
                      <a:avLst/>
                    </a:prstGeom>
                    <a:noFill/>
                  </pic:spPr>
                </pic:pic>
              </a:graphicData>
            </a:graphic>
          </wp:anchor>
        </w:drawing>
        <w:t>NN, Inc.</w:t>
      </w:r>
      <w:r>
        <w:rPr>
          <w:sz w:val="20"/>
          <w:szCs w:val="20"/>
          <w:color w:val="auto"/>
        </w:rPr>
        <w:tab/>
      </w:r>
      <w:r>
        <w:rPr>
          <w:rFonts w:ascii="Arial" w:cs="Arial" w:eastAsia="Arial" w:hAnsi="Arial"/>
          <w:sz w:val="16"/>
          <w:szCs w:val="16"/>
          <w:color w:val="auto"/>
        </w:rPr>
        <w:t>www.nninc.com</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6210 Ardrey Kell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-130810</wp:posOffset>
            </wp:positionV>
            <wp:extent cx="4545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phone: 980-264-4300 • fax: 980-264-4389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6"/>
          <w:szCs w:val="16"/>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You are cordially invited to attend the 2019 Annual Meeting of Stockholders of NN, Inc., which will be held on Thursday, May 16, 2019, at 10:00 a.m., local time, at the Hilton Garden Inn Charlotte Waverly, 7415 Waverly Walk Avenue, Charlotte, North Carolina 28227.</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Arial" w:cs="Arial" w:eastAsia="Arial" w:hAnsi="Arial"/>
          <w:sz w:val="18"/>
          <w:szCs w:val="18"/>
          <w:b w:val="1"/>
          <w:bCs w:val="1"/>
          <w:color w:val="auto"/>
        </w:rPr>
        <w:t>Your vote is important. We</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 you to vote by proxy, even if you plan to attend the Annual Meeting.</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364" w:right="43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Charlotte, North Carolina 28277</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16, 2019, at 10:00 a.m., local time, at the Hilton Garden Inn Charlotte Waverly, 7415 Waverly Walk Avenue, Charlotte, North Carolina 28227, for the following purposes:</w:t>
      </w:r>
    </w:p>
    <w:p>
      <w:pPr>
        <w:spacing w:after="0" w:line="87" w:lineRule="exact"/>
        <w:rPr>
          <w:sz w:val="20"/>
          <w:szCs w:val="20"/>
          <w:color w:val="auto"/>
        </w:rPr>
      </w:pPr>
    </w:p>
    <w:p>
      <w:pPr>
        <w:ind w:left="860" w:right="480" w:hanging="4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Class III directors named herein to serve for a term of one year if the proposed amendment to declassify the Board of Directors is approved, or for a term of three years if the proposed amendment is not approved;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our Certificate of Incorporation to declassify the Board of Directors;</w:t>
      </w:r>
    </w:p>
    <w:p>
      <w:pPr>
        <w:spacing w:after="0" w:line="130"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our Certificate of Incorporation to increase the number of authorized shares of common stock, $.01 par value per share, from 45,000,000 to 90,000,000;</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2019 Omnibus Incentive Plan;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cast an advisory vote to ratify the selection of PricewaterhouseCoopers LLP as our registered independent public accounting firm for the fiscal year ending December 31, 2019;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any other business as properly may come before the Annual Meeting.</w:t>
      </w:r>
    </w:p>
    <w:p>
      <w:pPr>
        <w:spacing w:after="0" w:line="225"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Our Board of Directors recommends a vote “FOR” Items 1, 2, 3, 4, 5 and 6, and for any business that may properly come before the Annual Meeting, subject to the discretion of the appointed proxies. Details regarding each of the first six items are contained in the accompanying Proxy Statement.</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record date for the Annual Meeting is March 19, 2019. If you hold shares of our common stock at the close of business on March 19, 2019, you are entitled to vote at the Annual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April</w:t>
        <w:tab/>
        <w:t>, 2019</w:t>
      </w:r>
    </w:p>
    <w:p>
      <w:pPr>
        <w:spacing w:after="0" w:line="200" w:lineRule="exact"/>
        <w:rPr>
          <w:sz w:val="20"/>
          <w:szCs w:val="20"/>
          <w:color w:val="auto"/>
        </w:rPr>
      </w:pPr>
    </w:p>
    <w:p>
      <w:pPr>
        <w:spacing w:after="0" w:line="223" w:lineRule="exact"/>
        <w:rPr>
          <w:sz w:val="20"/>
          <w:szCs w:val="20"/>
          <w:color w:val="auto"/>
        </w:rPr>
      </w:pPr>
    </w:p>
    <w:p>
      <w:pPr>
        <w:jc w:val="center"/>
        <w:ind w:left="5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16,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is available at </w:t>
      </w:r>
      <w:r>
        <w:rPr>
          <w:rFonts w:ascii="Arial" w:cs="Arial" w:eastAsia="Arial" w:hAnsi="Arial"/>
          <w:sz w:val="18"/>
          <w:szCs w:val="18"/>
          <w:i w:val="1"/>
          <w:iCs w:val="1"/>
          <w:color w:val="auto"/>
        </w:rPr>
        <w:t>www.proxyvote.com.</w:t>
      </w:r>
    </w:p>
    <w:p>
      <w:pPr>
        <w:sectPr>
          <w:pgSz w:w="11900" w:h="16838" w:orient="portrait"/>
          <w:cols w:equalWidth="0" w:num="1">
            <w:col w:w="10980"/>
          </w:cols>
          <w:pgMar w:left="440" w:top="1440" w:right="479" w:bottom="1440" w:gutter="0" w:footer="0" w:header="0"/>
        </w:sectPr>
      </w:pPr>
    </w:p>
    <w:bookmarkStart w:id="4" w:name="page5"/>
    <w:bookmarkEnd w:id="4"/>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7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8746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right="40" w:firstLine="426"/>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2018, please review our Annual Report on Form 10-K for the year ended December 31, 2018, which was filed with the Securities and Exchange Commission, or the SEC, on March 18,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Meeting Information</w:t>
      </w:r>
    </w:p>
    <w:p>
      <w:pPr>
        <w:spacing w:after="0" w:line="2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Time and Date:</w:t>
      </w:r>
      <w:r>
        <w:rPr>
          <w:sz w:val="20"/>
          <w:szCs w:val="20"/>
          <w:color w:val="auto"/>
        </w:rPr>
        <w:tab/>
      </w:r>
      <w:r>
        <w:rPr>
          <w:rFonts w:ascii="Arial" w:cs="Arial" w:eastAsia="Arial" w:hAnsi="Arial"/>
          <w:sz w:val="16"/>
          <w:szCs w:val="16"/>
          <w:color w:val="auto"/>
        </w:rPr>
        <w:t>10:00 a.m., local time on Thursday, May 16, 2019</w:t>
      </w:r>
    </w:p>
    <w:p>
      <w:pPr>
        <w:spacing w:after="0" w:line="11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Location:</w:t>
      </w:r>
      <w:r>
        <w:rPr>
          <w:sz w:val="20"/>
          <w:szCs w:val="20"/>
          <w:color w:val="auto"/>
        </w:rPr>
        <w:tab/>
      </w:r>
      <w:r>
        <w:rPr>
          <w:rFonts w:ascii="Arial" w:cs="Arial" w:eastAsia="Arial" w:hAnsi="Arial"/>
          <w:sz w:val="18"/>
          <w:szCs w:val="18"/>
          <w:color w:val="auto"/>
        </w:rPr>
        <w:t>Hilton Garden Inn Charlotte Waverly, 7415 Waverly Walk Avenue, Charlotte, North Carolina 28227</w:t>
      </w:r>
    </w:p>
    <w:p>
      <w:pPr>
        <w:spacing w:after="0" w:line="11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i w:val="1"/>
          <w:iCs w:val="1"/>
          <w:color w:val="auto"/>
        </w:rPr>
        <w:t>Record Date:</w:t>
      </w:r>
      <w:r>
        <w:rPr>
          <w:sz w:val="20"/>
          <w:szCs w:val="20"/>
          <w:color w:val="auto"/>
        </w:rPr>
        <w:tab/>
      </w:r>
      <w:r>
        <w:rPr>
          <w:rFonts w:ascii="Arial" w:cs="Arial" w:eastAsia="Arial" w:hAnsi="Arial"/>
          <w:sz w:val="16"/>
          <w:szCs w:val="16"/>
          <w:color w:val="auto"/>
        </w:rPr>
        <w:t>March 19, 2019</w:t>
      </w:r>
    </w:p>
    <w:p>
      <w:pPr>
        <w:spacing w:after="0" w:line="117" w:lineRule="exact"/>
        <w:rPr>
          <w:sz w:val="20"/>
          <w:szCs w:val="20"/>
          <w:color w:val="auto"/>
        </w:rPr>
      </w:pPr>
    </w:p>
    <w:p>
      <w:pPr>
        <w:jc w:val="both"/>
        <w:ind w:left="1440" w:right="380" w:hanging="1419"/>
        <w:spacing w:after="0" w:line="264" w:lineRule="auto"/>
        <w:tabs>
          <w:tab w:leader="none" w:pos="1420" w:val="left"/>
        </w:tabs>
        <w:rPr>
          <w:sz w:val="20"/>
          <w:szCs w:val="20"/>
          <w:color w:val="auto"/>
        </w:rPr>
      </w:pPr>
      <w:r>
        <w:rPr>
          <w:rFonts w:ascii="Arial" w:cs="Arial" w:eastAsia="Arial" w:hAnsi="Arial"/>
          <w:sz w:val="18"/>
          <w:szCs w:val="18"/>
          <w:i w:val="1"/>
          <w:iCs w:val="1"/>
          <w:color w:val="auto"/>
        </w:rPr>
        <w:t>Voting:</w:t>
      </w:r>
      <w:r>
        <w:rPr>
          <w:sz w:val="20"/>
          <w:szCs w:val="20"/>
          <w:color w:val="auto"/>
        </w:rPr>
        <w:tab/>
      </w:r>
      <w:r>
        <w:rPr>
          <w:rFonts w:ascii="Arial" w:cs="Arial" w:eastAsia="Arial" w:hAnsi="Arial"/>
          <w:sz w:val="18"/>
          <w:szCs w:val="18"/>
          <w:color w:val="auto"/>
        </w:rPr>
        <w:t>Stockholders as of the record date are entitled to vote. Each share of common stock is entitled to one vote for each director nominee and one vote for each other proposal to be voted on. On the record date, there were 42,366,961 shares of common stock issued and outstanding and entitled to vote at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20" w:firstLine="426"/>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76" w:lineRule="exact"/>
        <w:rPr>
          <w:sz w:val="20"/>
          <w:szCs w:val="20"/>
          <w:color w:val="auto"/>
        </w:rPr>
      </w:pPr>
    </w:p>
    <w:p>
      <w:pPr>
        <w:ind w:left="840" w:hanging="30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firstLine="426"/>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Proposal</w:t>
            </w:r>
          </w:p>
        </w:tc>
        <w:tc>
          <w:tcPr>
            <w:tcW w:w="8420" w:type="dxa"/>
            <w:vAlign w:val="bottom"/>
            <w:gridSpan w:val="2"/>
            <w:vMerge w:val="restart"/>
          </w:tcPr>
          <w:p>
            <w:pPr>
              <w:ind w:left="3480"/>
              <w:spacing w:after="0"/>
              <w:rPr>
                <w:sz w:val="20"/>
                <w:szCs w:val="20"/>
                <w:color w:val="auto"/>
              </w:rPr>
            </w:pPr>
            <w:r>
              <w:rPr>
                <w:rFonts w:ascii="Arial" w:cs="Arial" w:eastAsia="Arial" w:hAnsi="Arial"/>
                <w:sz w:val="14"/>
                <w:szCs w:val="14"/>
                <w:b w:val="1"/>
                <w:bCs w:val="1"/>
                <w:color w:val="auto"/>
              </w:rPr>
              <w:t>Proposal Description</w:t>
            </w:r>
          </w:p>
        </w:tc>
        <w:tc>
          <w:tcPr>
            <w:tcW w:w="1100" w:type="dxa"/>
            <w:vAlign w:val="bottom"/>
            <w:gridSpan w:val="2"/>
          </w:tcPr>
          <w:p>
            <w:pPr>
              <w:ind w:left="36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8420" w:type="dxa"/>
            <w:vAlign w:val="bottom"/>
            <w:gridSpan w:val="2"/>
            <w:vMerge w:val="continue"/>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Recommendation</w:t>
            </w:r>
          </w:p>
        </w:tc>
        <w:tc>
          <w:tcPr>
            <w:tcW w:w="0" w:type="dxa"/>
            <w:vAlign w:val="bottom"/>
          </w:tcPr>
          <w:p>
            <w:pPr>
              <w:spacing w:after="0"/>
              <w:rPr>
                <w:sz w:val="1"/>
                <w:szCs w:val="1"/>
                <w:color w:val="auto"/>
              </w:rPr>
            </w:pPr>
          </w:p>
        </w:tc>
      </w:tr>
      <w:tr>
        <w:trPr>
          <w:trHeight w:val="189"/>
        </w:trPr>
        <w:tc>
          <w:tcPr>
            <w:tcW w:w="5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w w:val="73"/>
              </w:rPr>
              <w:t>Proposal</w:t>
            </w:r>
          </w:p>
        </w:tc>
        <w:tc>
          <w:tcPr>
            <w:tcW w:w="580" w:type="dxa"/>
            <w:vAlign w:val="bottom"/>
          </w:tcPr>
          <w:p>
            <w:pPr>
              <w:ind w:left="120"/>
              <w:spacing w:after="0" w:line="189" w:lineRule="exact"/>
              <w:rPr>
                <w:sz w:val="20"/>
                <w:szCs w:val="20"/>
                <w:color w:val="auto"/>
              </w:rPr>
            </w:pPr>
            <w:r>
              <w:rPr>
                <w:rFonts w:ascii="Arial" w:cs="Arial" w:eastAsia="Arial" w:hAnsi="Arial"/>
                <w:sz w:val="18"/>
                <w:szCs w:val="18"/>
                <w:color w:val="auto"/>
              </w:rPr>
              <w:t>I</w:t>
            </w:r>
          </w:p>
        </w:tc>
        <w:tc>
          <w:tcPr>
            <w:tcW w:w="8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Election of the two Class III directors named herein to serve for a term of one year if the proposed amendment to</w:t>
            </w:r>
          </w:p>
        </w:tc>
        <w:tc>
          <w:tcPr>
            <w:tcW w:w="200" w:type="dxa"/>
            <w:vAlign w:val="bottom"/>
          </w:tcPr>
          <w:p>
            <w:pPr>
              <w:spacing w:after="0"/>
              <w:rPr>
                <w:sz w:val="16"/>
                <w:szCs w:val="16"/>
                <w:color w:val="auto"/>
              </w:rPr>
            </w:pPr>
          </w:p>
        </w:tc>
        <w:tc>
          <w:tcPr>
            <w:tcW w:w="10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8"/>
              </w:rPr>
              <w:t>declassify the Board of Directors is approved, or for a term of three years if the proposed amendment is not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approved</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II</w:t>
            </w:r>
          </w:p>
        </w:tc>
        <w:tc>
          <w:tcPr>
            <w:tcW w:w="8420" w:type="dxa"/>
            <w:vAlign w:val="bottom"/>
            <w:gridSpan w:val="2"/>
          </w:tcPr>
          <w:p>
            <w:pPr>
              <w:spacing w:after="0"/>
              <w:rPr>
                <w:sz w:val="20"/>
                <w:szCs w:val="20"/>
                <w:color w:val="auto"/>
              </w:rPr>
            </w:pPr>
            <w:r>
              <w:rPr>
                <w:rFonts w:ascii="Arial" w:cs="Arial" w:eastAsia="Arial" w:hAnsi="Arial"/>
                <w:sz w:val="18"/>
                <w:szCs w:val="18"/>
                <w:color w:val="auto"/>
              </w:rPr>
              <w:t>Amendment to our Certificate of Incorporation to declassify the Board of Directors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1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III</w:t>
            </w:r>
          </w:p>
        </w:tc>
        <w:tc>
          <w:tcPr>
            <w:tcW w:w="8420" w:type="dxa"/>
            <w:vAlign w:val="bottom"/>
            <w:gridSpan w:val="2"/>
          </w:tcPr>
          <w:p>
            <w:pPr>
              <w:spacing w:after="0"/>
              <w:rPr>
                <w:sz w:val="20"/>
                <w:szCs w:val="20"/>
                <w:color w:val="auto"/>
              </w:rPr>
            </w:pPr>
            <w:r>
              <w:rPr>
                <w:rFonts w:ascii="Arial" w:cs="Arial" w:eastAsia="Arial" w:hAnsi="Arial"/>
                <w:sz w:val="18"/>
                <w:szCs w:val="18"/>
                <w:color w:val="auto"/>
                <w:w w:val="97"/>
              </w:rPr>
              <w:t>Amendment to our Certificate of Incorporation to increase the number of authorized shares of common stock</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from to 45,000,000 to 90,000,000</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IV</w:t>
            </w:r>
          </w:p>
        </w:tc>
        <w:tc>
          <w:tcPr>
            <w:tcW w:w="8420" w:type="dxa"/>
            <w:vAlign w:val="bottom"/>
            <w:gridSpan w:val="2"/>
          </w:tcPr>
          <w:p>
            <w:pPr>
              <w:spacing w:after="0"/>
              <w:rPr>
                <w:sz w:val="20"/>
                <w:szCs w:val="20"/>
                <w:color w:val="auto"/>
              </w:rPr>
            </w:pPr>
            <w:r>
              <w:rPr>
                <w:rFonts w:ascii="Arial" w:cs="Arial" w:eastAsia="Arial" w:hAnsi="Arial"/>
                <w:sz w:val="18"/>
                <w:szCs w:val="18"/>
                <w:color w:val="auto"/>
              </w:rPr>
              <w:t>Approval of the 2019 Omnibus Incentive Plan</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24"/>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V</w:t>
            </w:r>
          </w:p>
        </w:tc>
        <w:tc>
          <w:tcPr>
            <w:tcW w:w="8420" w:type="dxa"/>
            <w:vAlign w:val="bottom"/>
            <w:gridSpan w:val="2"/>
          </w:tcPr>
          <w:p>
            <w:pPr>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310"/>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Proposal VI</w:t>
            </w:r>
          </w:p>
        </w:tc>
        <w:tc>
          <w:tcPr>
            <w:tcW w:w="8420" w:type="dxa"/>
            <w:vAlign w:val="bottom"/>
            <w:gridSpan w:val="2"/>
          </w:tcPr>
          <w:p>
            <w:pPr>
              <w:spacing w:after="0"/>
              <w:rPr>
                <w:sz w:val="20"/>
                <w:szCs w:val="20"/>
                <w:color w:val="auto"/>
              </w:rPr>
            </w:pPr>
            <w:r>
              <w:rPr>
                <w:rFonts w:ascii="Arial" w:cs="Arial" w:eastAsia="Arial" w:hAnsi="Arial"/>
                <w:sz w:val="18"/>
                <w:szCs w:val="18"/>
                <w:color w:val="auto"/>
              </w:rPr>
              <w:t>Advisory vote to ratify the selection of PricewaterhouseCoopers LLP as our registered independent public</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1440"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70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970905"/>
                    </a:xfrm>
                    <a:prstGeom prst="rect">
                      <a:avLst/>
                    </a:prstGeom>
                    <a:noFill/>
                  </pic:spPr>
                </pic:pic>
              </a:graphicData>
            </a:graphic>
          </wp:anchor>
        </w:drawing>
        <w:t>Director Nominees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Director</w:t>
            </w:r>
          </w:p>
        </w:tc>
        <w:tc>
          <w:tcPr>
            <w:tcW w:w="3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Positions with Company</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Committee</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78"/>
        </w:trPr>
        <w:tc>
          <w:tcPr>
            <w:tcW w:w="358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Since</w:t>
            </w:r>
          </w:p>
        </w:tc>
        <w:tc>
          <w:tcPr>
            <w:tcW w:w="3320" w:type="dxa"/>
            <w:vAlign w:val="bottom"/>
            <w:gridSpan w:val="2"/>
            <w:vMerge w:val="continue"/>
          </w:tcPr>
          <w:p>
            <w:pPr>
              <w:spacing w:after="0"/>
              <w:rPr>
                <w:sz w:val="15"/>
                <w:szCs w:val="15"/>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Memberships</w:t>
            </w:r>
            <w:r>
              <w:rPr>
                <w:rFonts w:ascii="Arial" w:cs="Arial" w:eastAsia="Arial" w:hAnsi="Arial"/>
                <w:sz w:val="12"/>
                <w:szCs w:val="12"/>
                <w:b w:val="1"/>
                <w:bCs w:val="1"/>
                <w:color w:val="auto"/>
                <w:w w:val="95"/>
              </w:rPr>
              <w:t>(1)</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w w:val="73"/>
              </w:rPr>
              <w:t>David</w:t>
            </w:r>
          </w:p>
        </w:tc>
        <w:tc>
          <w:tcPr>
            <w:tcW w:w="3200" w:type="dxa"/>
            <w:vAlign w:val="bottom"/>
          </w:tcPr>
          <w:p>
            <w:pPr>
              <w:ind w:left="120"/>
              <w:spacing w:after="0" w:line="189" w:lineRule="exact"/>
              <w:rPr>
                <w:sz w:val="20"/>
                <w:szCs w:val="20"/>
                <w:color w:val="auto"/>
              </w:rPr>
            </w:pPr>
            <w:r>
              <w:rPr>
                <w:rFonts w:ascii="Arial" w:cs="Arial" w:eastAsia="Arial" w:hAnsi="Arial"/>
                <w:sz w:val="18"/>
                <w:szCs w:val="18"/>
                <w:color w:val="auto"/>
              </w:rPr>
              <w:t>K. Floyd</w:t>
            </w: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420" w:type="dxa"/>
            <w:vAlign w:val="bottom"/>
          </w:tcPr>
          <w:p>
            <w:pPr>
              <w:spacing w:after="0"/>
              <w:rPr>
                <w:sz w:val="16"/>
                <w:szCs w:val="16"/>
                <w:color w:val="auto"/>
              </w:rPr>
            </w:pPr>
          </w:p>
        </w:tc>
        <w:tc>
          <w:tcPr>
            <w:tcW w:w="2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c>
          <w:tcPr>
            <w:tcW w:w="38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AC, CC</w:t>
            </w:r>
          </w:p>
        </w:tc>
        <w:tc>
          <w:tcPr>
            <w:tcW w:w="380" w:type="dxa"/>
            <w:vAlign w:val="bottom"/>
          </w:tcPr>
          <w:p>
            <w:pPr>
              <w:spacing w:after="0"/>
              <w:rPr>
                <w:sz w:val="16"/>
                <w:szCs w:val="16"/>
                <w:color w:val="auto"/>
              </w:rPr>
            </w:pPr>
          </w:p>
        </w:tc>
        <w:tc>
          <w:tcPr>
            <w:tcW w:w="7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Janice E. Stipp</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2019</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AC</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4"/>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jc w:val="both"/>
        <w:ind w:right="160" w:firstLine="426"/>
        <w:spacing w:after="0" w:line="342" w:lineRule="auto"/>
        <w:rPr>
          <w:sz w:val="20"/>
          <w:szCs w:val="20"/>
          <w:color w:val="auto"/>
        </w:rPr>
      </w:pPr>
      <w:r>
        <w:rPr>
          <w:rFonts w:ascii="Arial" w:cs="Arial" w:eastAsia="Arial" w:hAnsi="Arial"/>
          <w:sz w:val="16"/>
          <w:szCs w:val="16"/>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29" w:lineRule="exact"/>
        <w:rPr>
          <w:sz w:val="20"/>
          <w:szCs w:val="20"/>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840" w:hanging="30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Incentive compensation recoupment (clawback) policy applicable to any equity awards issued under our compensation plans;</w:t>
      </w:r>
    </w:p>
    <w:p>
      <w:pPr>
        <w:spacing w:after="0" w:line="142" w:lineRule="exact"/>
        <w:rPr>
          <w:rFonts w:ascii="Arial" w:cs="Arial" w:eastAsia="Arial" w:hAnsi="Arial"/>
          <w:sz w:val="17"/>
          <w:szCs w:val="17"/>
          <w:color w:val="auto"/>
        </w:rPr>
      </w:pPr>
    </w:p>
    <w:p>
      <w:pPr>
        <w:ind w:left="840" w:hanging="30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and executive stock ownership guidelines;</w:t>
      </w:r>
    </w:p>
    <w:p>
      <w:pPr>
        <w:spacing w:after="0" w:line="130" w:lineRule="exact"/>
        <w:rPr>
          <w:rFonts w:ascii="Arial" w:cs="Arial" w:eastAsia="Arial" w:hAnsi="Arial"/>
          <w:sz w:val="18"/>
          <w:szCs w:val="18"/>
          <w:color w:val="auto"/>
        </w:rPr>
      </w:pPr>
    </w:p>
    <w:p>
      <w:pPr>
        <w:ind w:left="840" w:right="100" w:hanging="307"/>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 and</w:t>
      </w:r>
    </w:p>
    <w:p>
      <w:pPr>
        <w:spacing w:after="0" w:line="75" w:lineRule="exact"/>
        <w:rPr>
          <w:rFonts w:ascii="Arial" w:cs="Arial" w:eastAsia="Arial" w:hAnsi="Arial"/>
          <w:sz w:val="18"/>
          <w:szCs w:val="18"/>
          <w:color w:val="auto"/>
        </w:rPr>
      </w:pPr>
    </w:p>
    <w:p>
      <w:pPr>
        <w:ind w:left="840" w:right="260" w:hanging="307"/>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at the 2021 annual meeting of stockholders, annual election of all directors of the Company if the proposed amendment to declassify the Board of Directors (Proposal II) is approved.</w:t>
      </w:r>
    </w:p>
    <w:p>
      <w:pPr>
        <w:spacing w:after="0" w:line="369" w:lineRule="exact"/>
        <w:rPr>
          <w:sz w:val="20"/>
          <w:szCs w:val="20"/>
          <w:color w:val="auto"/>
        </w:rPr>
      </w:pPr>
    </w:p>
    <w:p>
      <w:pPr>
        <w:ind w:left="20" w:right="24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0660"/>
          </w:cols>
          <w:pgMar w:left="620" w:top="459" w:right="619" w:bottom="1440" w:gutter="0" w:footer="0" w:header="0"/>
        </w:sectPr>
      </w:pPr>
    </w:p>
    <w:bookmarkStart w:id="6" w:name="page7"/>
    <w:bookmarkEnd w:id="6"/>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Charlotte, North Carolina 28277</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Proxies are being solicited by the Board of Directors of NN, Inc., or the Board, in connection with the 2019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for the Annual Meeting, or this Proxy Statement, the enclosed proxy card and our 2018 Annual Report on Form 10-K to all stockholders beginning on or about April , 2019.</w:t>
      </w:r>
    </w:p>
    <w:p>
      <w:pPr>
        <w:spacing w:after="0" w:line="188"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6210 Ardrey Kell Road, Charlotte, North Carolina 28277.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Annual Meeting will be held on Thursday, May 16, 2019, at 10:00 a.m., local time, at the Hilton Garden Inn Charlotte Waverly, 7415 Waverly Walk Avenue, Charlotte, North Carolina 28227.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19, 2019, or the Record Date, will be entitled to vote at the Annual Meeting. On the Record Date, 42,366,961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1420" w:hanging="43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ectPr>
          <w:pgSz w:w="11900" w:h="16838" w:orient="portrait"/>
          <w:cols w:equalWidth="0" w:num="1">
            <w:col w:w="11020"/>
          </w:cols>
          <w:pgMar w:left="440" w:top="1440" w:right="439" w:bottom="1440" w:gutter="0" w:footer="0" w:header="0"/>
        </w:sectPr>
      </w:pPr>
    </w:p>
    <w:bookmarkStart w:id="7" w:name="page8"/>
    <w:bookmarkEnd w:id="7"/>
    <w:p>
      <w:pPr>
        <w:ind w:right="6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proxy and your proxy card is incomplete, or if you do not provide instructions with respect to any of the proposals, the appointed proxy will vote “FOR”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(Amendment to Certificate of Incorporation to Declassify the Board)</w:t>
      </w:r>
      <w:r>
        <w:rPr>
          <w:rFonts w:ascii="Arial" w:cs="Arial" w:eastAsia="Arial" w:hAnsi="Arial"/>
          <w:sz w:val="17"/>
          <w:szCs w:val="17"/>
          <w:color w:val="auto"/>
        </w:rPr>
        <w:t xml:space="preserve">, Proposal III </w:t>
      </w:r>
      <w:r>
        <w:rPr>
          <w:rFonts w:ascii="Arial" w:cs="Arial" w:eastAsia="Arial" w:hAnsi="Arial"/>
          <w:sz w:val="17"/>
          <w:szCs w:val="17"/>
          <w:i w:val="1"/>
          <w:iCs w:val="1"/>
          <w:color w:val="auto"/>
        </w:rPr>
        <w:t>(Amendment to Certificate of Incorporation to Increase the Number of Authorized Shares of Common Stock from 45,000,000 to 90,000,000)</w:t>
      </w:r>
      <w:r>
        <w:rPr>
          <w:rFonts w:ascii="Arial" w:cs="Arial" w:eastAsia="Arial" w:hAnsi="Arial"/>
          <w:sz w:val="17"/>
          <w:szCs w:val="17"/>
          <w:color w:val="auto"/>
        </w:rPr>
        <w:t>,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IV </w:t>
      </w:r>
      <w:r>
        <w:rPr>
          <w:rFonts w:ascii="Arial" w:cs="Arial" w:eastAsia="Arial" w:hAnsi="Arial"/>
          <w:sz w:val="17"/>
          <w:szCs w:val="17"/>
          <w:i w:val="1"/>
          <w:iCs w:val="1"/>
          <w:color w:val="auto"/>
        </w:rPr>
        <w:t>(Approval of the 2019 Omnibus Incentive Plan)</w:t>
      </w:r>
      <w:r>
        <w:rPr>
          <w:rFonts w:ascii="Arial" w:cs="Arial" w:eastAsia="Arial" w:hAnsi="Arial"/>
          <w:sz w:val="17"/>
          <w:szCs w:val="17"/>
          <w:color w:val="auto"/>
        </w:rPr>
        <w:t xml:space="preserve">, Proposal V </w:t>
      </w:r>
      <w:r>
        <w:rPr>
          <w:rFonts w:ascii="Arial" w:cs="Arial" w:eastAsia="Arial" w:hAnsi="Arial"/>
          <w:sz w:val="17"/>
          <w:szCs w:val="17"/>
          <w:i w:val="1"/>
          <w:iCs w:val="1"/>
          <w:color w:val="auto"/>
        </w:rPr>
        <w:t>(Advisory (Non-Binding) Vote to Approve the Compensation of our Named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Officers), </w:t>
      </w:r>
      <w:r>
        <w:rPr>
          <w:rFonts w:ascii="Arial" w:cs="Arial" w:eastAsia="Arial" w:hAnsi="Arial"/>
          <w:sz w:val="17"/>
          <w:szCs w:val="17"/>
          <w:color w:val="auto"/>
        </w:rPr>
        <w:t>Proposal VI</w:t>
      </w:r>
      <w:r>
        <w:rPr>
          <w:rFonts w:ascii="Arial" w:cs="Arial" w:eastAsia="Arial" w:hAnsi="Arial"/>
          <w:sz w:val="17"/>
          <w:szCs w:val="17"/>
          <w:i w:val="1"/>
          <w:iCs w:val="1"/>
          <w:color w:val="auto"/>
        </w:rPr>
        <w:t xml:space="preserve"> (Ratification of Selection of our Registered Independent Public Accounting Firm)</w:t>
      </w:r>
      <w:r>
        <w:rPr>
          <w:rFonts w:ascii="Arial" w:cs="Arial" w:eastAsia="Arial" w:hAnsi="Arial"/>
          <w:sz w:val="17"/>
          <w:szCs w:val="17"/>
          <w:color w:val="auto"/>
        </w:rPr>
        <w:t>, and pursuant to the appointed proxy’s</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for any other business properly brought before the Annual Meeting. If your proxy card is unclear as to how you intended to vote (</w:t>
      </w:r>
      <w:r>
        <w:rPr>
          <w:rFonts w:ascii="Arial" w:cs="Arial" w:eastAsia="Arial" w:hAnsi="Arial"/>
          <w:sz w:val="17"/>
          <w:szCs w:val="17"/>
          <w:i w:val="1"/>
          <w:iCs w:val="1"/>
          <w:color w:val="auto"/>
        </w:rPr>
        <w:t>e.g.</w:t>
      </w:r>
      <w:r>
        <w:rPr>
          <w:rFonts w:ascii="Arial" w:cs="Arial" w:eastAsia="Arial" w:hAnsi="Arial"/>
          <w:sz w:val="17"/>
          <w:szCs w:val="17"/>
          <w:color w:val="auto"/>
        </w:rPr>
        <w:t>, multiple selections are made for one proposal), your proxy will be voted pursuant to the discretion of the appointed proxy.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8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w:t>
      </w:r>
      <w:r>
        <w:rPr>
          <w:rFonts w:ascii="Arial" w:cs="Arial" w:eastAsia="Arial" w:hAnsi="Arial"/>
          <w:sz w:val="17"/>
          <w:szCs w:val="17"/>
          <w:i w:val="1"/>
          <w:iCs w:val="1"/>
          <w:color w:val="auto"/>
        </w:rPr>
        <w:t>(Amendment to Certificate of Incorporation to Increase the Number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Authorized Shares of Common Stock from 45,000,000 to 90,000,000) </w:t>
      </w:r>
      <w:r>
        <w:rPr>
          <w:rFonts w:ascii="Arial" w:cs="Arial" w:eastAsia="Arial" w:hAnsi="Arial"/>
          <w:sz w:val="17"/>
          <w:szCs w:val="17"/>
          <w:color w:val="auto"/>
        </w:rPr>
        <w:t>and Proposal VI</w:t>
      </w:r>
      <w:r>
        <w:rPr>
          <w:rFonts w:ascii="Arial" w:cs="Arial" w:eastAsia="Arial" w:hAnsi="Arial"/>
          <w:sz w:val="17"/>
          <w:szCs w:val="17"/>
          <w:i w:val="1"/>
          <w:iCs w:val="1"/>
          <w:color w:val="auto"/>
        </w:rPr>
        <w:t xml:space="preserve"> (Ratification of Selection of our Registered Independent Public Accounting Firm)</w:t>
      </w:r>
      <w:r>
        <w:rPr>
          <w:rFonts w:ascii="Arial" w:cs="Arial" w:eastAsia="Arial" w:hAnsi="Arial"/>
          <w:sz w:val="17"/>
          <w:szCs w:val="17"/>
          <w:color w:val="auto"/>
        </w:rPr>
        <w:t>; however, that organization will not be permitted to vote your shares on Proposal I</w:t>
      </w:r>
      <w:r>
        <w:rPr>
          <w:rFonts w:ascii="Arial" w:cs="Arial" w:eastAsia="Arial" w:hAnsi="Arial"/>
          <w:sz w:val="17"/>
          <w:szCs w:val="17"/>
          <w:i w:val="1"/>
          <w:iCs w:val="1"/>
          <w:color w:val="auto"/>
        </w:rPr>
        <w:t xml:space="preserve"> (Election of Directors)</w:t>
      </w:r>
      <w:r>
        <w:rPr>
          <w:rFonts w:ascii="Arial" w:cs="Arial" w:eastAsia="Arial" w:hAnsi="Arial"/>
          <w:sz w:val="17"/>
          <w:szCs w:val="17"/>
          <w:color w:val="auto"/>
        </w:rPr>
        <w:t>, Proposal II</w:t>
      </w:r>
      <w:r>
        <w:rPr>
          <w:rFonts w:ascii="Arial" w:cs="Arial" w:eastAsia="Arial" w:hAnsi="Arial"/>
          <w:sz w:val="17"/>
          <w:szCs w:val="17"/>
          <w:i w:val="1"/>
          <w:iCs w:val="1"/>
          <w:color w:val="auto"/>
        </w:rPr>
        <w:t xml:space="preserve"> (Amendment to Certificate of Incorporation to Declassify the Board), </w:t>
      </w:r>
      <w:r>
        <w:rPr>
          <w:rFonts w:ascii="Arial" w:cs="Arial" w:eastAsia="Arial" w:hAnsi="Arial"/>
          <w:sz w:val="17"/>
          <w:szCs w:val="17"/>
          <w:color w:val="auto"/>
        </w:rPr>
        <w:t>Proposal IV</w:t>
      </w:r>
      <w:r>
        <w:rPr>
          <w:rFonts w:ascii="Arial" w:cs="Arial" w:eastAsia="Arial" w:hAnsi="Arial"/>
          <w:sz w:val="17"/>
          <w:szCs w:val="17"/>
          <w:i w:val="1"/>
          <w:iCs w:val="1"/>
          <w:color w:val="auto"/>
        </w:rPr>
        <w:t xml:space="preserve"> (Approval of the 2019 Omnibus Incentive Plan) </w:t>
      </w:r>
      <w:r>
        <w:rPr>
          <w:rFonts w:ascii="Arial" w:cs="Arial" w:eastAsia="Arial" w:hAnsi="Arial"/>
          <w:sz w:val="17"/>
          <w:szCs w:val="17"/>
          <w:color w:val="auto"/>
        </w:rPr>
        <w:t>or Proposal V</w:t>
      </w:r>
      <w:r>
        <w:rPr>
          <w:rFonts w:ascii="Arial" w:cs="Arial" w:eastAsia="Arial" w:hAnsi="Arial"/>
          <w:sz w:val="17"/>
          <w:szCs w:val="17"/>
          <w:i w:val="1"/>
          <w:iCs w:val="1"/>
          <w:color w:val="auto"/>
        </w:rPr>
        <w:t xml:space="preserve"> (Advisory (Non-Binding) Vote to Approve the Compensation of our Named Executive Officers)</w:t>
      </w:r>
      <w:r>
        <w:rPr>
          <w:rFonts w:ascii="Arial" w:cs="Arial" w:eastAsia="Arial" w:hAnsi="Arial"/>
          <w:sz w:val="17"/>
          <w:szCs w:val="17"/>
          <w:color w:val="auto"/>
        </w:rPr>
        <w:t>. As a result, if you do not provide voting instructions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maintaining your account, your shares will have no effect on the outcome of the election of directors, the approval of the 2019 Omnibus Incentive Plan or the advisory vote to approve the compensation of our named executive officers and will have the effect of an “AGAINST” vote on the amendment to the Certificate of Incorporation to declassify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42,366,961 shares of common stock outstanding and entitled to vote. Thus, 21,183,481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Our bylaws provide that the number of directors will be determined by the Board, which has currently set the number at nine. However, as previously announced, William Dries will retire from the Board and has tendered his resignation to be effective immediately prior to the commencement of the Annual Meeting, and upon his retirement, the size of the Board will automatically be reduced from nine to eight directors.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ind w:right="2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bylaws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amendment to Certificate of Incorporation to declassify the Board, “FOR” the amendment to Certificate of Incorporation to increase the number of authorized shares of common stock from 45,000,000 to 90,000,000, “FOR” the approval of the 2019 Omnibus Incentive Plan, “FOR” the advisory (non-binding) resolution to approve the compensation of our named executive officers, and “FOR” ratification of the selection of PricewaterhouseCoopers LLP to serve as our registered independent public accounting firm for 2019.</w:t>
      </w:r>
    </w:p>
    <w:p>
      <w:pPr>
        <w:spacing w:after="0" w:line="17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1420" w:hanging="430"/>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1420" w:right="380" w:hanging="430"/>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6210 Ardrey Kell Road, Charlotte, North Carolina 28277, Attention: Secretary; or</w:t>
      </w:r>
    </w:p>
    <w:p>
      <w:pPr>
        <w:spacing w:after="0" w:line="75" w:lineRule="exact"/>
        <w:rPr>
          <w:rFonts w:ascii="Arial" w:cs="Arial" w:eastAsia="Arial" w:hAnsi="Arial"/>
          <w:sz w:val="18"/>
          <w:szCs w:val="18"/>
          <w:color w:val="auto"/>
        </w:rPr>
      </w:pPr>
    </w:p>
    <w:p>
      <w:pPr>
        <w:ind w:left="1420" w:right="660" w:hanging="430"/>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your shares are held by a brokerage firm, bank, dealer or similar organization, you should follow the instructions provided by that organization.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Votes Required</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Proposal I: Election of Directors. </w:t>
      </w:r>
      <w:r>
        <w:rPr>
          <w:rFonts w:ascii="Arial" w:cs="Arial" w:eastAsia="Arial" w:hAnsi="Arial"/>
          <w:sz w:val="18"/>
          <w:szCs w:val="18"/>
          <w:color w:val="auto"/>
        </w:rPr>
        <w:t>Directors are elected by a majority of the votes cast in person or by proxy. This means that the number of 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 “FOR” the nominee must exceed the votes cast “AGAINST” the nominee. Abstentions and broker non-votes will not be taken into account in determining the outcome of the election. If a nominee fails to receive more “FOR” votes than votes cast “AGAINST,” and is an incumbent director, the nominee is required to tender his or her resignation to the Board for consideration.</w:t>
      </w:r>
    </w:p>
    <w:p>
      <w:pPr>
        <w:spacing w:after="0" w:line="18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II: Amendment to Certificate of Incorporation to Declassify the Board. </w:t>
      </w:r>
      <w:r>
        <w:rPr>
          <w:rFonts w:ascii="Arial" w:cs="Arial" w:eastAsia="Arial" w:hAnsi="Arial"/>
          <w:sz w:val="18"/>
          <w:szCs w:val="18"/>
          <w:color w:val="auto"/>
        </w:rPr>
        <w:t>To be approved, this matter must receive the affirmative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majority of the outstanding shares entitled to vote on the matter. Abstentions and broker non-votes will have the effect of an “AGAINST” vote on this matter.</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III: Amendment to Certificate of Incorporation to Increase the Number of Authorized Shares of Common Stock from 45,000,000 to 90,000,000. </w:t>
      </w:r>
      <w:r>
        <w:rPr>
          <w:rFonts w:ascii="Arial" w:cs="Arial" w:eastAsia="Arial" w:hAnsi="Arial"/>
          <w:sz w:val="18"/>
          <w:szCs w:val="18"/>
          <w:color w:val="auto"/>
        </w:rPr>
        <w:t>To be approved, this matter must receive the affirmative vote of a majority of the outstanding shares entitled to vote on the matter.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Abstentions and broker non-votes will have the effect of an “AGAINST” vote on this matter.</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IV: Approval of the 2019 Omnibus Incentive Plan. </w:t>
      </w:r>
      <w:r>
        <w:rPr>
          <w:rFonts w:ascii="Arial" w:cs="Arial" w:eastAsia="Arial" w:hAnsi="Arial"/>
          <w:sz w:val="18"/>
          <w:szCs w:val="18"/>
          <w:color w:val="auto"/>
        </w:rPr>
        <w:t>To be approved, this matter must receive the affirmative vote of the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present in person or by proxy and entitled to vote on the matter. Abstentions will have the effect of an “AGAINST” vote on this matter. A broker non-vote will have no impact on the vote for this proposal.</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V: Advisory (Non-Binding) Vote to Approve the Compensation of our Named Executive Officers. </w:t>
      </w:r>
      <w:r>
        <w:rPr>
          <w:rFonts w:ascii="Arial" w:cs="Arial" w:eastAsia="Arial" w:hAnsi="Arial"/>
          <w:sz w:val="18"/>
          <w:szCs w:val="18"/>
          <w:color w:val="auto"/>
        </w:rPr>
        <w:t>To be approved, this matter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8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Proposal VI: Ratification of Selection of our Registered Independent Public Accounting Firm. </w:t>
      </w:r>
      <w:r>
        <w:rPr>
          <w:rFonts w:ascii="Arial" w:cs="Arial" w:eastAsia="Arial" w:hAnsi="Arial"/>
          <w:sz w:val="18"/>
          <w:szCs w:val="18"/>
          <w:color w:val="auto"/>
        </w:rPr>
        <w:t>To be approved, this matter must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 2019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860" w:hanging="316"/>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stockholder’s name and address and, if the stockholder holds for the benefit of another, the name and address of the beneficial owner;</w:t>
      </w:r>
    </w:p>
    <w:p>
      <w:pPr>
        <w:spacing w:after="0" w:line="153" w:lineRule="exact"/>
        <w:rPr>
          <w:rFonts w:ascii="Arial" w:cs="Arial" w:eastAsia="Arial" w:hAnsi="Arial"/>
          <w:sz w:val="16"/>
          <w:szCs w:val="16"/>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860" w:right="12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stockholder owns some or all of such entity;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performance-related fees to which the stockholder is entitled, based on the increase or decrease of the value of NN’s securities;</w:t>
      </w:r>
    </w:p>
    <w:p>
      <w:pPr>
        <w:spacing w:after="0" w:line="142" w:lineRule="exact"/>
        <w:rPr>
          <w:rFonts w:ascii="Arial" w:cs="Arial" w:eastAsia="Arial" w:hAnsi="Arial"/>
          <w:sz w:val="17"/>
          <w:szCs w:val="17"/>
          <w:color w:val="auto"/>
        </w:rPr>
      </w:pPr>
    </w:p>
    <w:p>
      <w:pPr>
        <w:ind w:left="860" w:right="52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arrangements, rights or interests in any of the foregoing held by members of the stockholder’s immediate family sharing the same household;</w:t>
      </w:r>
    </w:p>
    <w:p>
      <w:pPr>
        <w:spacing w:after="0" w:line="75" w:lineRule="exact"/>
        <w:rPr>
          <w:rFonts w:ascii="Arial" w:cs="Arial" w:eastAsia="Arial" w:hAnsi="Arial"/>
          <w:sz w:val="18"/>
          <w:szCs w:val="18"/>
          <w:color w:val="auto"/>
        </w:rPr>
      </w:pPr>
    </w:p>
    <w:p>
      <w:pPr>
        <w:ind w:left="860" w:right="4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0" w:name="page11"/>
    <w:bookmarkEnd w:id="10"/>
    <w:p>
      <w:pPr>
        <w:ind w:right="2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bylaws, proposals of stockholders not intended for inclusion in the proxy statement for the 2020 Annual Meeting of Stockholders must be received by us in writing not less than 90 days and not more than 120 days prior to May 16, 2020 to be considered timely. We also advise you to review our bylaws, which contain additional requirements about advance notice of stockholder proposals and director nominations, including the different notice submission date requirements in the event we do not hold our 2020 Annual Meeting of Stockholders on or between April 16, 2020 and July 15, 2020. All stockholder proposals should be sent to NN, Inc., Attention: Secretary, 6210 Ardrey Kell Road, Charlotte, North Carolina 28277.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80" w:firstLine="441"/>
        <w:spacing w:after="0" w:line="276" w:lineRule="auto"/>
        <w:rPr>
          <w:sz w:val="20"/>
          <w:szCs w:val="20"/>
          <w:color w:val="auto"/>
        </w:rPr>
      </w:pPr>
      <w:r>
        <w:rPr>
          <w:rFonts w:ascii="Arial" w:cs="Arial" w:eastAsia="Arial" w:hAnsi="Arial"/>
          <w:sz w:val="17"/>
          <w:szCs w:val="17"/>
          <w:color w:val="auto"/>
        </w:rPr>
        <w:t>The SEC’s rules regarding the delivery of proxy materials to stockholders permit us to deliver a single copy of these documents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73"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6210 Ardrey Kell Road, Charlotte, North Carolina 28277 or (980) 264-4300.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2019 Annual Meeting</w:t>
      </w:r>
    </w:p>
    <w:p>
      <w:pPr>
        <w:spacing w:after="0" w:line="12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 ELECTION OF DIRECTORS</w:t>
      </w:r>
    </w:p>
    <w:p>
      <w:pPr>
        <w:spacing w:after="0" w:line="121"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The Company’s Restated Certificate of Incorporation, or the Certificate of Incorporation, currently provides for the division of the Board into three classes: Class I, Class II and Class III. Only one class of directors is elected at each annual meeting. The Class III directors elected at the Annual Meeting will be elected to serve for a term of one year if the proposed amendment to the Certificate of Incorporation to declassify the Board (Proposal</w:t>
      </w:r>
    </w:p>
    <w:p>
      <w:pPr>
        <w:ind w:right="640" w:firstLine="4"/>
        <w:spacing w:after="0" w:line="261"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approved, or for a term of three year if the proposed amendment is not approved, and in either case until his or her successor is elected and qualified, subject to such director’s earlier death, resignation or removal.</w:t>
      </w:r>
    </w:p>
    <w:p>
      <w:pPr>
        <w:spacing w:after="0" w:line="18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Two Class III directors will be elected to the Board at the Annual Meeting. The Board has nominated for election David K. Floyd and Janice E. Stipp, each a current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THE ELECTION OF THE NOMINATED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Directors and the Director Nominees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1" w:name="page12"/>
    <w:bookmarkEnd w:id="11"/>
    <w:tbl>
      <w:tblPr>
        <w:tblLayout w:type="fixed"/>
        <w:tblInd w:w="44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4"/>
                <w:szCs w:val="14"/>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4"/>
                <w:szCs w:val="14"/>
                <w:color w:val="auto"/>
              </w:rPr>
            </w:pPr>
          </w:p>
        </w:tc>
        <w:tc>
          <w:tcPr>
            <w:tcW w:w="348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rPr>
              <w:t>Since</w:t>
            </w:r>
          </w:p>
        </w:tc>
        <w:tc>
          <w:tcPr>
            <w:tcW w:w="8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Expires</w:t>
            </w:r>
          </w:p>
        </w:tc>
        <w:tc>
          <w:tcPr>
            <w:tcW w:w="36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rPr>
              <w:t>William Dries</w:t>
            </w:r>
            <w:r>
              <w:rPr>
                <w:rFonts w:ascii="Arial" w:cs="Arial" w:eastAsia="Arial" w:hAnsi="Arial"/>
                <w:sz w:val="15"/>
                <w:szCs w:val="15"/>
                <w:color w:val="auto"/>
              </w:rPr>
              <w:t>(1)</w:t>
            </w:r>
          </w:p>
        </w:tc>
        <w:tc>
          <w:tcPr>
            <w:tcW w:w="14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67</w:t>
            </w:r>
          </w:p>
        </w:tc>
        <w:tc>
          <w:tcPr>
            <w:tcW w:w="36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2014</w:t>
            </w:r>
          </w:p>
        </w:tc>
        <w:tc>
          <w:tcPr>
            <w:tcW w:w="360" w:type="dxa"/>
            <w:vAlign w:val="bottom"/>
          </w:tcPr>
          <w:p>
            <w:pPr>
              <w:spacing w:after="0"/>
              <w:rPr>
                <w:sz w:val="16"/>
                <w:szCs w:val="16"/>
                <w:color w:val="auto"/>
              </w:rPr>
            </w:pPr>
          </w:p>
        </w:tc>
        <w:tc>
          <w:tcPr>
            <w:tcW w:w="4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2019</w:t>
            </w:r>
          </w:p>
        </w:tc>
        <w:tc>
          <w:tcPr>
            <w:tcW w:w="360" w:type="dxa"/>
            <w:vAlign w:val="bottom"/>
          </w:tcPr>
          <w:p>
            <w:pPr>
              <w:spacing w:after="0"/>
              <w:rPr>
                <w:sz w:val="16"/>
                <w:szCs w:val="16"/>
                <w:color w:val="auto"/>
              </w:rPr>
            </w:pPr>
          </w:p>
        </w:tc>
        <w:tc>
          <w:tcPr>
            <w:tcW w:w="3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Janice E. Stipp</w:t>
            </w:r>
            <w:r>
              <w:rPr>
                <w:rFonts w:ascii="Arial" w:cs="Arial" w:eastAsia="Arial" w:hAnsi="Arial"/>
                <w:sz w:val="15"/>
                <w:szCs w:val="15"/>
                <w:color w:val="auto"/>
              </w:rPr>
              <w:t>(2)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Jeri J. Harman</w:t>
            </w:r>
            <w:r>
              <w:rPr>
                <w:rFonts w:ascii="Arial" w:cs="Arial" w:eastAsia="Arial" w:hAnsi="Arial"/>
                <w:sz w:val="15"/>
                <w:szCs w:val="15"/>
                <w:color w:val="auto"/>
              </w:rPr>
              <w:t>(3)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Carey A. Smith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Non-Executive Chairman and Director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w w:val="92"/>
              </w:rPr>
              <w:t>Chief Executive Officer, President and Director</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8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840" w:hanging="436"/>
        <w:spacing w:after="0" w:line="25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previously announced, Mr. Dries will retire from the Board and has tendered his resignation to be effective immediately prior to the commencement of the Annual Meeting.</w:t>
      </w:r>
    </w:p>
    <w:p>
      <w:pPr>
        <w:spacing w:after="0" w:line="1" w:lineRule="exact"/>
        <w:rPr>
          <w:rFonts w:ascii="Arial" w:cs="Arial" w:eastAsia="Arial" w:hAnsi="Arial"/>
          <w:sz w:val="18"/>
          <w:szCs w:val="18"/>
          <w:color w:val="auto"/>
        </w:rPr>
      </w:pPr>
    </w:p>
    <w:p>
      <w:pPr>
        <w:ind w:left="440" w:right="200" w:hanging="436"/>
        <w:spacing w:after="0" w:line="250"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previously announced, Ms. Stipp was appointed by the Board to serve as a Class III director until the Annual Meeting upon expansion of the size of the Board from seven to nine members, effective as of February 25, 2019.</w:t>
      </w:r>
    </w:p>
    <w:p>
      <w:pPr>
        <w:ind w:left="440" w:right="280" w:hanging="436"/>
        <w:spacing w:after="0" w:line="261"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previously announced, Ms. Harman was appointed by the Board to serve as a Class I director until the 2020 annual meeting of stockholders upon expansion of the size of the Board from seven to nine members, effective as of February 25, 2019.</w:t>
      </w:r>
    </w:p>
    <w:p>
      <w:pPr>
        <w:spacing w:after="0" w:line="18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William Dries </w:t>
      </w:r>
      <w:r>
        <w:rPr>
          <w:rFonts w:ascii="Arial" w:cs="Arial" w:eastAsia="Arial" w:hAnsi="Arial"/>
          <w:sz w:val="17"/>
          <w:szCs w:val="17"/>
          <w:color w:val="auto"/>
        </w:rPr>
        <w:t>has been a member of the Board since 2014. Mr. Dries previously served as Senior Vice President and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EnPro Industries, Inc., a publicly held engineered industrial products manufacturer, prior to his 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Mr. Dries was an audit principal for Ernst &amp; Young in New York for eleven years before joining United Dominion. Mr. Dries is a director of TransDigm Group, Inc., a producer of aircraft components. Mr. Dries brings to the Board financial acumen and extensive experience working with public companies in the precision manufacturing and industrial sectors.</w:t>
      </w:r>
    </w:p>
    <w:p>
      <w:pPr>
        <w:spacing w:after="0" w:line="17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David K. Floyd </w:t>
      </w:r>
      <w:r>
        <w:rPr>
          <w:rFonts w:ascii="Arial" w:cs="Arial" w:eastAsia="Arial" w:hAnsi="Arial"/>
          <w:sz w:val="17"/>
          <w:szCs w:val="17"/>
          <w:color w:val="auto"/>
        </w:rPr>
        <w:t>has been a member of the Board since 2016. Since 2012, Mr. Floyd has served as a Group President of Stryker Corporation, a</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global medical technology company. From 2007 to 2011, Mr. Floyd served as the U.S. President, and then Worldwide President, of Johnson &amp; Johnson’s DePuy Orthopaedics. From 2005 to 2007, Mr. Floyd served as the General Manager, and then President, of the Spine Division of Abbott Laboratories. From 2004 to 2005, Mr. Floyd served as the President and Chief Executive Officer of AxioMed Spine Corporation, a medical device manufacturer. From 2000 to 2003, Mr. Floyd was the Vice President, U.S. Market, and then President, of Centerpulse Orthopedics Inc., a medical device manufacturer. Prior to that, Mr. Floyd held various leadership positions in sales, marketing and operations with OrthoLogic Corporation, Sulzer Orthopedics, Inc. and Zimmer, Inc., and has worked in the medical technology industry for over 28 years. Mr. Floyd was also a director of OrthoWorx, a business league founded to support the orthopedic industry, and served as its first Chief Executive Officer from 2011 to 2012. Mr. Floyd brings to the Board broad knowledge of the medical device industry, substantial executive leadership experience and extensive experience with strategy development, commercial operations, and mergers and acquisitions.</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Janice E. Stipp </w:t>
      </w:r>
      <w:r>
        <w:rPr>
          <w:rFonts w:ascii="Arial" w:cs="Arial" w:eastAsia="Arial" w:hAnsi="Arial"/>
          <w:sz w:val="17"/>
          <w:szCs w:val="17"/>
          <w:color w:val="auto"/>
        </w:rPr>
        <w:t>has been a member of the Board since February 2019. Janice E. Stipp retired as Senior Vice President, CFO &amp; Treasurer at</w:t>
      </w:r>
      <w:r>
        <w:rPr>
          <w:rFonts w:ascii="Arial" w:cs="Arial" w:eastAsia="Arial" w:hAnsi="Arial"/>
          <w:sz w:val="17"/>
          <w:szCs w:val="17"/>
          <w:b w:val="1"/>
          <w:bCs w:val="1"/>
          <w:color w:val="auto"/>
        </w:rPr>
        <w:t xml:space="preserve"> </w:t>
      </w:r>
      <w:r>
        <w:rPr>
          <w:rFonts w:ascii="Arial" w:cs="Arial" w:eastAsia="Arial" w:hAnsi="Arial"/>
          <w:sz w:val="17"/>
          <w:szCs w:val="17"/>
          <w:color w:val="auto"/>
        </w:rPr>
        <w:t>Rogers Corporation, a leader in specialty engineered materials that enable high performance and high reliability in EV/HEV, wireless infrastructure, automotive safety and portable electronics. She is on the board of ArcBest Corp., Commercial Vehicle Group, Inc and Michigan State University Foundation. Previously, she also served on the board of PlyGem Industries, Inc. until the company was taken private in 2018. She also is a Member of the Michigan Association of Certified Public Accountants and Member of The American Institute of Certified Public Accountants. Over the course of her career Ms. Stipp held the positions of CFO, Treasurer, Principal Accounting Officer &amp; SVP at Rogers Corp., CFO, Secretary, Treasurer &amp; Executive VP at Tecumseh Products Co. LLC, Chief Financial Officer at Revstone Industries LLC, Chief Financial Officer &amp; Vice President of Acument Global Technologies, Inc. and Chief Financial Officer &amp; EVP-Administration at GDX Automotive, Inc. Ms. Stipp graduated from Michigan State University with a Bachelor of Arts in Accounting and received her MBA in Finance from Wayne State University. Ms. Stipp is also a Certified Public Accountant (CPA) and Chartered Global Management Accountant (CGMA). Ms. Stipp brings to the Board financial and accounting acumen as well as providing the benefit of service on the board of directors of a number of public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53" w:right="459" w:bottom="1440" w:gutter="0" w:footer="0" w:header="0"/>
        </w:sectPr>
      </w:pPr>
    </w:p>
    <w:bookmarkStart w:id="12" w:name="page13"/>
    <w:bookmarkEnd w:id="12"/>
    <w:p>
      <w:pPr>
        <w:ind w:right="80" w:firstLine="441"/>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Jeri J. Harman </w:t>
      </w:r>
      <w:r>
        <w:rPr>
          <w:rFonts w:ascii="Arial" w:cs="Arial" w:eastAsia="Arial" w:hAnsi="Arial"/>
          <w:sz w:val="16"/>
          <w:szCs w:val="16"/>
          <w:color w:val="auto"/>
        </w:rPr>
        <w:t>has been a member of the Board since February 2019. Jeri Harman is a Founder &amp; Chairman of Avante Capital Partners.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over $465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Ms. Harman has over 30 years of financing experience, involving well over $1 billion in aggregate investments. Prior to founding Avante, Ms. Harman started-up and led the Los Angeles offices for two multi-billion publicly traded private equity and mezzanine investment funds – American Capital and more recently Allied Capital, where she was also a member of Allied’s Investment Committee. Earlier career highlights include various senior level positions with Prudential Capital. Ms. Harman has served on numerous boards over her career, and currently serves on the board of Engineered Performance Technologies, a consumer-focused automotive aftermarket performance products company. She received a Master’s of Business Administration from the University of California – Berkeley, and a Bachelor’s degree in Business from the University of Wisconsin – Milwaukee (summa cum laude). Ms. Harman brings extensive capital markets experience and strategic and financial acumen to the Board.</w:t>
      </w:r>
    </w:p>
    <w:p>
      <w:pPr>
        <w:spacing w:after="0" w:line="164"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b w:val="1"/>
          <w:bCs w:val="1"/>
          <w:color w:val="auto"/>
        </w:rPr>
        <w:t xml:space="preserve">Carey A. Smith </w:t>
      </w:r>
      <w:r>
        <w:rPr>
          <w:rFonts w:ascii="Arial" w:cs="Arial" w:eastAsia="Arial" w:hAnsi="Arial"/>
          <w:sz w:val="16"/>
          <w:szCs w:val="16"/>
          <w:color w:val="auto"/>
        </w:rPr>
        <w:t>has been a member of the Board since May 2017. Since November 2018, Ms. Smith has served as the Chief Operating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Parsons Corporation, an advanced technology firm focused on the defense, intelligence and critical infrastructure markets. Prior to this role and since November 2016, Ms. Smith was the President of the Federal Business Unit of Parsons Corporation, which concentrated on intelligence, physical and cyber security, critical infrastructure, health and logistics. From 2011 until 2016, Ms. Smith served in positions of progressive responsibility at Honeywell International Inc., first as the President, Honeywell Technology Solutions Inc., then Vice President, Customer &amp; Product Support for Honeywell Aerospace, and then President, Honeywell Defense &amp; Space. From 1996 to 2011, Ms. Smith worked for Lockheed Martin as the President and Chief Executive Officer for Lockheed Martin Canada, Vice President Business Development and Strategic Planning for the Maritime Systems and Sensors (MS2) Business Unit, Vice President Naval and Maritime Programs, and Vice President Technical Services. From 1994 to 1996, Ms. Smith worked for Loral (which was acquired by Lockheed Martin) as the Director, then Vice President of Business Development and Strategic Planning for MS2. From 1985 to 1994, Ms. Smith served in numerous engineering management, program management and engineering positions at IBM Federal (which was acquired by Loral). In total, Ms. Smith has 33 years of aerospace and defense experience. Ms. Smith is also on the Professional Services Council Board of Directors and serves as the secretary. Ms. Smith brings to the Board deep knowledge of aerospace and defense, including cyber security, substantial executive leadership experience, and extensive global experience with business development, government and commercial operations, and mergers and acquisitions. She is a NACD fellow, NACD certified in cyber governance and a certified Green Belt.</w:t>
      </w:r>
    </w:p>
    <w:p>
      <w:pPr>
        <w:spacing w:after="0" w:line="172"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b w:val="1"/>
          <w:bCs w:val="1"/>
          <w:color w:val="auto"/>
        </w:rPr>
        <w:t xml:space="preserve">Steven T. Warshaw </w:t>
      </w:r>
      <w:r>
        <w:rPr>
          <w:rFonts w:ascii="Arial" w:cs="Arial" w:eastAsia="Arial" w:hAnsi="Arial"/>
          <w:sz w:val="16"/>
          <w:szCs w:val="16"/>
          <w:color w:val="auto"/>
        </w:rPr>
        <w:t>has been a member of the Board since 1997. Mr. Warshaw retired in 2005 from M Cubed Technologies, a developer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Robert E. Brunner </w:t>
      </w:r>
      <w:r>
        <w:rPr>
          <w:rFonts w:ascii="Arial" w:cs="Arial" w:eastAsia="Arial" w:hAnsi="Arial"/>
          <w:sz w:val="16"/>
          <w:szCs w:val="16"/>
          <w:color w:val="auto"/>
        </w:rPr>
        <w:t>has been a member of the Board since 2012. He was appointed Non-Executive Chairman of the Board on May 19, 2017.</w:t>
      </w:r>
    </w:p>
    <w:p>
      <w:pPr>
        <w:spacing w:after="0" w:line="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Brunner served as Executive Vice President of Illinois Tool Works, Inc., a Fortune 200 global multi-industrial manufacturing leader, from 2006 until his retirement in 2012. Prior to this position, Mr. Brunner held the position of President, Global Automotive Fasteners from 2005 to 2006 and President, North American Automotive Fasteners from 2003 to 2005. Prior to that,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6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b w:val="1"/>
          <w:bCs w:val="1"/>
          <w:color w:val="auto"/>
        </w:rPr>
        <w:t xml:space="preserve">Richard D. Holder </w:t>
      </w:r>
      <w:r>
        <w:rPr>
          <w:rFonts w:ascii="Arial" w:cs="Arial" w:eastAsia="Arial" w:hAnsi="Arial"/>
          <w:sz w:val="16"/>
          <w:szCs w:val="16"/>
          <w:color w:val="auto"/>
        </w:rPr>
        <w:t>has been a member of the Board and President and Chief Executive Officer of the Company since 2013. Since February 2017,</w:t>
      </w:r>
      <w:r>
        <w:rPr>
          <w:rFonts w:ascii="Arial" w:cs="Arial" w:eastAsia="Arial" w:hAnsi="Arial"/>
          <w:sz w:val="16"/>
          <w:szCs w:val="16"/>
          <w:b w:val="1"/>
          <w:bCs w:val="1"/>
          <w:color w:val="auto"/>
        </w:rPr>
        <w:t xml:space="preserve"> </w:t>
      </w:r>
      <w:r>
        <w:rPr>
          <w:rFonts w:ascii="Arial" w:cs="Arial" w:eastAsia="Arial" w:hAnsi="Arial"/>
          <w:sz w:val="16"/>
          <w:szCs w:val="16"/>
          <w:color w:val="auto"/>
        </w:rPr>
        <w:t>Mr. Holder has served on the board of directors of Actuant Corporation, a publicly held, global diversified industrial company. Prior to joining us,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Holder served as President of the Eaton Electrical Components Group of Eaton Corporation’s Electrical Sector from 2010 to 2013, Executive Vice President of Eaton Business Systems from 2007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8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b w:val="1"/>
          <w:bCs w:val="1"/>
          <w:color w:val="auto"/>
        </w:rPr>
        <w:t xml:space="preserve">David L. Pugh </w:t>
      </w:r>
      <w:r>
        <w:rPr>
          <w:rFonts w:ascii="Arial" w:cs="Arial" w:eastAsia="Arial" w:hAnsi="Arial"/>
          <w:sz w:val="17"/>
          <w:szCs w:val="17"/>
          <w:color w:val="auto"/>
        </w:rPr>
        <w:t>has been a member of the Board since 2012. Mr. Pugh retired in 2011 as President and Chief Executive Officer and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Applied Industrial Technologies and Hexcel Corporation, a publicly held producer of advanced composites. Mr. Pugh also serves on the board of directors of R.W. Beckett Corporation, a premiere manufacturer of oil and gas burners. Mr. Pugh brings to the Board valuable executive leadership experience as well as specialized operational experience in global bearing distribution. Additionally, Mr. Pugh brings to the Board his previous experience on the board of directors of a publicly held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In 2018, directors who are not employees of the Company are paid an annual retainer of $170,000, consisting of $70,000 of cash and $100,000 of shares of restricted stock, which vests one year from the date of grant. Our Non-Executive Chairman receives an additional retainer of $50,000, each Chairman of the Audit Committee and the Compensation Committee receives an additional retainer of $10,000 and the Chairman of the Governance Committee receives an additional retainer of $6,000.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2018.</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 Table For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Change in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Fees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340" w:type="dxa"/>
            <w:vAlign w:val="bottom"/>
          </w:tcPr>
          <w:p>
            <w:pPr>
              <w:spacing w:after="0"/>
              <w:rPr>
                <w:sz w:val="12"/>
                <w:szCs w:val="12"/>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Paid</w:t>
            </w: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Cash</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82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Awards</w:t>
            </w:r>
          </w:p>
        </w:tc>
        <w:tc>
          <w:tcPr>
            <w:tcW w:w="3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59"/>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248"/>
              <w:spacing w:after="0" w:line="158" w:lineRule="exact"/>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228"/>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66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126,000</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225,992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640" w:type="dxa"/>
            <w:vAlign w:val="bottom"/>
          </w:tcPr>
          <w:p>
            <w:pPr>
              <w:jc w:val="right"/>
              <w:spacing w:after="0"/>
              <w:rPr>
                <w:sz w:val="20"/>
                <w:szCs w:val="20"/>
                <w:color w:val="auto"/>
              </w:rPr>
            </w:pPr>
            <w:r>
              <w:rPr>
                <w:rFonts w:ascii="Arial" w:cs="Arial" w:eastAsia="Arial" w:hAnsi="Arial"/>
                <w:sz w:val="18"/>
                <w:szCs w:val="18"/>
                <w:color w:val="auto"/>
              </w:rPr>
              <w:t>87,500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187,492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Pugh</w:t>
            </w: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Smith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640" w:type="dxa"/>
            <w:vAlign w:val="bottom"/>
          </w:tcPr>
          <w:p>
            <w:pPr>
              <w:jc w:val="right"/>
              <w:spacing w:after="0"/>
              <w:rPr>
                <w:sz w:val="20"/>
                <w:szCs w:val="20"/>
                <w:color w:val="auto"/>
              </w:rPr>
            </w:pPr>
            <w:r>
              <w:rPr>
                <w:rFonts w:ascii="Arial" w:cs="Arial" w:eastAsia="Arial" w:hAnsi="Arial"/>
                <w:sz w:val="18"/>
                <w:szCs w:val="18"/>
                <w:color w:val="auto"/>
              </w:rPr>
              <w:t>80,000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99,992</w:t>
            </w:r>
          </w:p>
        </w:tc>
        <w:tc>
          <w:tcPr>
            <w:tcW w:w="34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179,992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140" w:hanging="436"/>
        <w:spacing w:after="0" w:line="25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Financial Accounting Standards Board (“FASB”) Accounting Standards Codification (“ASC”) Topic 718, of 4,073 shares of restricted stock awarded on March 14, 2018 to each of Messrs. Brunner, Dries, Floyd, Pugh and Warshaw and Ms. Smith. The restricted stock awards to directors vest in their entirety on the first anniversary of the date of grant.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500" w:firstLine="441"/>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consists of William Dries who serves as Chairman, Messrs. Pugh and Warshaw and Ms. Smith.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4" w:right="419" w:bottom="1440" w:gutter="0" w:footer="0" w:header="0"/>
        </w:sectPr>
      </w:pPr>
    </w:p>
    <w:bookmarkStart w:id="14" w:name="page15"/>
    <w:bookmarkEnd w:id="14"/>
    <w:p>
      <w:pPr>
        <w:ind w:left="860" w:hanging="316"/>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oversee that management has maintained the reliability and integrity of our accounting policies, financial reporting and disclosure practices;</w:t>
      </w:r>
    </w:p>
    <w:p>
      <w:pPr>
        <w:spacing w:after="0" w:line="153" w:lineRule="exact"/>
        <w:rPr>
          <w:rFonts w:ascii="Arial" w:cs="Arial" w:eastAsia="Arial" w:hAnsi="Arial"/>
          <w:sz w:val="16"/>
          <w:szCs w:val="16"/>
          <w:color w:val="auto"/>
        </w:rPr>
      </w:pPr>
    </w:p>
    <w:p>
      <w:pPr>
        <w:ind w:left="860" w:right="120" w:hanging="316"/>
        <w:spacing w:after="0" w:line="308"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51" w:lineRule="exact"/>
        <w:rPr>
          <w:rFonts w:ascii="Arial" w:cs="Arial" w:eastAsia="Arial" w:hAnsi="Arial"/>
          <w:sz w:val="17"/>
          <w:szCs w:val="17"/>
          <w:color w:val="auto"/>
        </w:rPr>
      </w:pPr>
    </w:p>
    <w:p>
      <w:pPr>
        <w:ind w:left="860" w:right="120" w:hanging="316"/>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75"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oversee that management has designed, implemented and maintains processes to assess and manage enterprise and event risk;</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effectiveness of our accounting and financial controls with our registered independent public accounting firm;</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results of our annual audit and our quarterly financial statements;</w:t>
      </w:r>
    </w:p>
    <w:p>
      <w:pPr>
        <w:spacing w:after="0" w:line="153" w:lineRule="exact"/>
        <w:rPr>
          <w:rFonts w:ascii="Arial" w:cs="Arial" w:eastAsia="Arial" w:hAnsi="Arial"/>
          <w:sz w:val="16"/>
          <w:szCs w:val="16"/>
          <w:color w:val="auto"/>
        </w:rPr>
      </w:pPr>
    </w:p>
    <w:p>
      <w:pPr>
        <w:ind w:left="860" w:right="360" w:hanging="316"/>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860" w:right="620" w:hanging="316"/>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nine times in 2018.</w:t>
      </w:r>
    </w:p>
    <w:p>
      <w:pPr>
        <w:spacing w:after="0" w:line="24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Messrs. Brunner, Dries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Floyd.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860" w:right="78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relative to the Chief Executive Officer evaluation, compensation and performance;</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supervise the administration of our employee benefit plans, including the 2016 Omnibus Incentive Plan;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53" w:lineRule="exact"/>
        <w:rPr>
          <w:rFonts w:ascii="Arial" w:cs="Arial" w:eastAsia="Arial" w:hAnsi="Arial"/>
          <w:sz w:val="16"/>
          <w:szCs w:val="16"/>
          <w:color w:val="auto"/>
        </w:rPr>
      </w:pPr>
    </w:p>
    <w:p>
      <w:pPr>
        <w:ind w:left="860" w:right="260" w:hanging="316"/>
        <w:spacing w:after="0" w:line="26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86" w:lineRule="exact"/>
        <w:rPr>
          <w:rFonts w:ascii="Arial" w:cs="Arial" w:eastAsia="Arial" w:hAnsi="Arial"/>
          <w:sz w:val="18"/>
          <w:szCs w:val="18"/>
          <w:color w:val="auto"/>
        </w:rPr>
      </w:pPr>
    </w:p>
    <w:p>
      <w:pPr>
        <w:ind w:left="860" w:right="56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The Compensation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five times in 2018.</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Governance Committee</w:t>
      </w:r>
      <w:r>
        <w:rPr>
          <w:rFonts w:ascii="Arial" w:cs="Arial" w:eastAsia="Arial" w:hAnsi="Arial"/>
          <w:sz w:val="17"/>
          <w:szCs w:val="17"/>
          <w:color w:val="auto"/>
        </w:rPr>
        <w:t>. The Governance Committee consists of David K. Floyd, who serves as Chairman, Messrs. Brunner and Pugh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Ms. Smith. All members of the Governance Committee are independent as defined by Nasdaq rules. Among other matters as provided in its charter,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Committee’s primary duties and responsibilities are to:</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5" w:name="page16"/>
    <w:bookmarkEnd w:id="15"/>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recommend qualified candidates for membership on the Board;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our interests;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1"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54"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93"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92"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The Governance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The Governance Committee met four times in 2018.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current membership of each standing Committee of the Board:</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40" w:type="dxa"/>
            <w:vAlign w:val="bottom"/>
            <w:vMerge w:val="restart"/>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Audit</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2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Mr. Dries</w:t>
            </w:r>
            <w:r>
              <w:rPr>
                <w:rFonts w:ascii="Arial" w:cs="Arial" w:eastAsia="Arial" w:hAnsi="Arial"/>
                <w:sz w:val="15"/>
                <w:szCs w:val="15"/>
                <w:color w:val="auto"/>
              </w:rPr>
              <w:t>(1)</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Ms. Harman</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2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Ms. Smith</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Stipp</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2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860" w:hanging="436"/>
        <w:spacing w:after="0" w:line="27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previously announced, Mr. Dries will retire from the Board and has tendered his resignation to be effective immediately prior to the commencement of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2018, our independent, non-management directors regularly met without management present.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positions of Chairman of the Board and Chief Executive Officer are held by two different individuals. The Board is led by Robert E. Brunner, the Chairman of the Board and an independent director. Mr. Brunner has served as our Chairman since 2017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Brunner,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Holder, who is our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each of these determinations, our Board considered the relationships that each such director and nominee has with us and all other facts and circumstances the Board deemed relevant in determining independence.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7" w:name="page18"/>
    <w:bookmarkEnd w:id="17"/>
    <w:p>
      <w:pPr>
        <w:ind w:right="5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The Board met eight times in 2018.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of our then current directors attended our annual meeting of stockholders in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Stockholders and other interested parties may contact the Board, any of its standing committees, its independent directors, or any individual director by sending correspondence to NN, Inc., 6210 Ardrey Kell Road, Charlotte, North Carolina 28277, Attention: Secretary. Any mail received by the Secretary with the exception of improper commercial solicitations will be forwarded to the members of the Board for their further action, if necessary.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7"/>
          <w:szCs w:val="17"/>
          <w:i w:val="1"/>
          <w:iCs w:val="1"/>
          <w:color w:val="auto"/>
        </w:rPr>
        <w:t>www.nninc.com</w:t>
      </w:r>
      <w:r>
        <w:rPr>
          <w:rFonts w:ascii="Arial" w:cs="Arial" w:eastAsia="Arial" w:hAnsi="Arial"/>
          <w:sz w:val="17"/>
          <w:szCs w:val="17"/>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2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b w:val="1"/>
          <w:bCs w:val="1"/>
          <w:i w:val="1"/>
          <w:iCs w:val="1"/>
          <w:color w:val="auto"/>
        </w:rPr>
        <w:t>Security Ownership of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shows, as of March 19, 2019 and based on 42,366,961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beneficial ownership of common stock by each director and nominee, each named executive officer, and all directors and executive officers as a group, in each case as reported to us by such persons.</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380" w:type="dxa"/>
            <w:vAlign w:val="bottom"/>
          </w:tcPr>
          <w:p>
            <w:pPr>
              <w:spacing w:after="0"/>
              <w:rPr>
                <w:sz w:val="14"/>
                <w:szCs w:val="14"/>
                <w:color w:val="auto"/>
              </w:rPr>
            </w:pPr>
          </w:p>
        </w:tc>
        <w:tc>
          <w:tcPr>
            <w:tcW w:w="2140" w:type="dxa"/>
            <w:vAlign w:val="bottom"/>
            <w:gridSpan w:val="2"/>
          </w:tcPr>
          <w:p>
            <w:pPr>
              <w:jc w:val="right"/>
              <w:ind w:right="603"/>
              <w:spacing w:after="0"/>
              <w:rPr>
                <w:sz w:val="20"/>
                <w:szCs w:val="20"/>
                <w:color w:val="auto"/>
              </w:rPr>
            </w:pPr>
            <w:r>
              <w:rPr>
                <w:rFonts w:ascii="Arial" w:cs="Arial" w:eastAsia="Arial" w:hAnsi="Arial"/>
                <w:sz w:val="14"/>
                <w:szCs w:val="14"/>
                <w:b w:val="1"/>
                <w:bCs w:val="1"/>
                <w:color w:val="auto"/>
                <w:w w:val="97"/>
              </w:rPr>
              <w:t>Amount and Nature of</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 of</w:t>
            </w:r>
          </w:p>
        </w:tc>
      </w:tr>
      <w:tr>
        <w:trPr>
          <w:trHeight w:val="162"/>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2"/>
                <w:szCs w:val="12"/>
                <w:b w:val="1"/>
                <w:bCs w:val="1"/>
                <w:color w:val="auto"/>
              </w:rPr>
              <w:t>(1)</w:t>
            </w:r>
          </w:p>
        </w:tc>
        <w:tc>
          <w:tcPr>
            <w:tcW w:w="252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 xml:space="preserve">Class </w:t>
            </w:r>
            <w:r>
              <w:rPr>
                <w:rFonts w:ascii="Arial" w:cs="Arial" w:eastAsia="Arial" w:hAnsi="Arial"/>
                <w:sz w:val="12"/>
                <w:szCs w:val="12"/>
                <w:b w:val="1"/>
                <w:bCs w:val="1"/>
                <w:color w:val="auto"/>
                <w:w w:val="96"/>
              </w:rPr>
              <w:t>(2)</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396,098</w:t>
            </w:r>
          </w:p>
        </w:tc>
        <w:tc>
          <w:tcPr>
            <w:tcW w:w="6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6"/>
              </w:rPr>
              <w:t>(3)</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85,332</w:t>
            </w:r>
            <w:r>
              <w:rPr>
                <w:rFonts w:ascii="Arial" w:cs="Arial" w:eastAsia="Arial" w:hAnsi="Arial"/>
                <w:sz w:val="15"/>
                <w:szCs w:val="15"/>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27,350</w:t>
            </w:r>
            <w:r>
              <w:rPr>
                <w:rFonts w:ascii="Arial" w:cs="Arial" w:eastAsia="Arial" w:hAnsi="Arial"/>
                <w:sz w:val="15"/>
                <w:szCs w:val="15"/>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 Gail Nixon</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58,156</w:t>
            </w:r>
            <w:r>
              <w:rPr>
                <w:rFonts w:ascii="Arial" w:cs="Arial" w:eastAsia="Arial" w:hAnsi="Arial"/>
                <w:sz w:val="15"/>
                <w:szCs w:val="15"/>
                <w:color w:val="auto"/>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43,909</w:t>
            </w:r>
            <w:r>
              <w:rPr>
                <w:rFonts w:ascii="Arial" w:cs="Arial" w:eastAsia="Arial" w:hAnsi="Arial"/>
                <w:sz w:val="15"/>
                <w:szCs w:val="15"/>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520" w:type="dxa"/>
            <w:vAlign w:val="bottom"/>
            <w:gridSpan w:val="3"/>
          </w:tcPr>
          <w:p>
            <w:pPr>
              <w:jc w:val="right"/>
              <w:ind w:right="383"/>
              <w:spacing w:after="0"/>
              <w:rPr>
                <w:sz w:val="20"/>
                <w:szCs w:val="20"/>
                <w:color w:val="auto"/>
              </w:rPr>
            </w:pPr>
            <w:r>
              <w:rPr>
                <w:rFonts w:ascii="Arial" w:cs="Arial" w:eastAsia="Arial" w:hAnsi="Arial"/>
                <w:sz w:val="18"/>
                <w:szCs w:val="18"/>
                <w:color w:val="auto"/>
              </w:rPr>
              <w:t>62,815</w:t>
            </w:r>
            <w:r>
              <w:rPr>
                <w:rFonts w:ascii="Arial" w:cs="Arial" w:eastAsia="Arial" w:hAnsi="Arial"/>
                <w:sz w:val="15"/>
                <w:szCs w:val="15"/>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252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34,905</w:t>
            </w:r>
            <w:r>
              <w:rPr>
                <w:rFonts w:ascii="Arial" w:cs="Arial" w:eastAsia="Arial" w:hAnsi="Arial"/>
                <w:sz w:val="15"/>
                <w:szCs w:val="15"/>
                <w:color w:val="auto"/>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28,183</w:t>
            </w:r>
            <w:r>
              <w:rPr>
                <w:rFonts w:ascii="Arial" w:cs="Arial" w:eastAsia="Arial" w:hAnsi="Arial"/>
                <w:sz w:val="15"/>
                <w:szCs w:val="15"/>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Jeri J. Harman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117,115</w:t>
            </w:r>
            <w:r>
              <w:rPr>
                <w:rFonts w:ascii="Arial" w:cs="Arial" w:eastAsia="Arial" w:hAnsi="Arial"/>
                <w:sz w:val="15"/>
                <w:szCs w:val="15"/>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Carey A. Smith</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Janice E. Stipp</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10,710</w:t>
            </w:r>
          </w:p>
        </w:tc>
        <w:tc>
          <w:tcPr>
            <w:tcW w:w="6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2520" w:type="dxa"/>
            <w:vAlign w:val="bottom"/>
            <w:gridSpan w:val="3"/>
            <w:shd w:val="clear" w:color="auto" w:fill="CCEEFF"/>
          </w:tcPr>
          <w:p>
            <w:pPr>
              <w:jc w:val="right"/>
              <w:ind w:right="303"/>
              <w:spacing w:after="0"/>
              <w:rPr>
                <w:sz w:val="20"/>
                <w:szCs w:val="20"/>
                <w:color w:val="auto"/>
              </w:rPr>
            </w:pPr>
            <w:r>
              <w:rPr>
                <w:rFonts w:ascii="Arial" w:cs="Arial" w:eastAsia="Arial" w:hAnsi="Arial"/>
                <w:sz w:val="18"/>
                <w:szCs w:val="18"/>
                <w:color w:val="auto"/>
              </w:rPr>
              <w:t>96,105</w:t>
            </w:r>
            <w:r>
              <w:rPr>
                <w:rFonts w:ascii="Arial" w:cs="Arial" w:eastAsia="Arial" w:hAnsi="Arial"/>
                <w:sz w:val="15"/>
                <w:szCs w:val="15"/>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8"/>
              </w:rPr>
              <w:t>All directors and executive officers as a group (15 persons)</w:t>
            </w:r>
          </w:p>
        </w:tc>
        <w:tc>
          <w:tcPr>
            <w:tcW w:w="2520" w:type="dxa"/>
            <w:vAlign w:val="bottom"/>
            <w:gridSpan w:val="3"/>
          </w:tcPr>
          <w:p>
            <w:pPr>
              <w:jc w:val="right"/>
              <w:ind w:right="303"/>
              <w:spacing w:after="0"/>
              <w:rPr>
                <w:sz w:val="20"/>
                <w:szCs w:val="20"/>
                <w:color w:val="auto"/>
              </w:rPr>
            </w:pPr>
            <w:r>
              <w:rPr>
                <w:rFonts w:ascii="Arial" w:cs="Arial" w:eastAsia="Arial" w:hAnsi="Arial"/>
                <w:sz w:val="18"/>
                <w:szCs w:val="18"/>
                <w:color w:val="auto"/>
              </w:rPr>
              <w:t>1,052,891</w:t>
            </w:r>
            <w:r>
              <w:rPr>
                <w:rFonts w:ascii="Arial" w:cs="Arial" w:eastAsia="Arial" w:hAnsi="Arial"/>
                <w:sz w:val="15"/>
                <w:szCs w:val="15"/>
                <w:color w:val="auto"/>
              </w:rPr>
              <w:t>(13)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6210 Ardrey Kell Road, Charlotte, North Carolina 28277.</w:t>
      </w:r>
    </w:p>
    <w:p>
      <w:pPr>
        <w:spacing w:after="0" w:line="9" w:lineRule="exact"/>
        <w:rPr>
          <w:rFonts w:ascii="Arial" w:cs="Arial" w:eastAsia="Arial" w:hAnsi="Arial"/>
          <w:sz w:val="18"/>
          <w:szCs w:val="18"/>
          <w:color w:val="auto"/>
        </w:rPr>
      </w:pPr>
    </w:p>
    <w:p>
      <w:pPr>
        <w:ind w:left="440" w:right="12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or the Exchange Act. Includes shares of common stock subject to options exercisable within 60 days of March 19, 2019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125,000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40,334 shares of common stock subject to options that are presently exercisable or exercisable within 60 days of March 19, 2019. As previously announced, Mr. Burwell will be departing the Company but has agreed to remain in his current role and assist with an orderly transition while a search for a replacement is being conducted.</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8,800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32,100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3,000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right="28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29,532 shares of common stock held by Kiroki Investments, LLC of which revocable living trusts of Mr. Brunner and his wife are the sole members. Also includes 16,600 shares of common stock subject to options that are presently exercisable or exercisable within 60 days of March 19, 2019.</w:t>
      </w:r>
    </w:p>
    <w:p>
      <w:pPr>
        <w:spacing w:after="0" w:line="1" w:lineRule="exact"/>
        <w:rPr>
          <w:rFonts w:ascii="Arial" w:cs="Arial" w:eastAsia="Arial" w:hAnsi="Arial"/>
          <w:sz w:val="18"/>
          <w:szCs w:val="18"/>
          <w:color w:val="auto"/>
        </w:rPr>
      </w:pPr>
    </w:p>
    <w:p>
      <w:pPr>
        <w:ind w:left="440" w:right="44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2,000 shares of common stock subject to options that are presently exercisable or exercisable within 60 days of March 19, 2019. As previously announced, Mr. Dries will retire from the Board and has tendered his resignation to be effective immediately prior to the commencement of the Annual Meeting.</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4,523 shares of common stock held by the David and Lisa Floyd Family Limited Partnership of which Mr. Floyd and his wife are the sole general partners and sole limited partners.</w:t>
      </w: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22,600 shares of common stock subject to options that are presently exercisable or exercisable within 60 days of March 19, 2019.</w:t>
      </w:r>
    </w:p>
    <w:p>
      <w:pPr>
        <w:spacing w:after="0" w:line="20" w:lineRule="exact"/>
        <w:rPr>
          <w:rFonts w:ascii="Arial" w:cs="Arial" w:eastAsia="Arial" w:hAnsi="Arial"/>
          <w:sz w:val="17"/>
          <w:szCs w:val="17"/>
          <w:color w:val="auto"/>
        </w:rPr>
      </w:pPr>
    </w:p>
    <w:p>
      <w:pPr>
        <w:ind w:left="440" w:right="440" w:hanging="436"/>
        <w:spacing w:after="0" w:line="261"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 the aggregate, 272,334 shares of common stock subject to options that are presently exercisable or exercisable within 60 days of March 19,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 of Certain Beneficial Owners</w:t>
      </w:r>
      <w:r>
        <w:rPr>
          <w:rFonts w:ascii="Arial" w:cs="Arial" w:eastAsia="Arial" w:hAnsi="Arial"/>
          <w:sz w:val="18"/>
          <w:szCs w:val="18"/>
          <w:color w:val="auto"/>
        </w:rPr>
        <w:t>. The following table sets forth the number of shares of our common stock beneficially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only parties known to our management to own more than 5% of our common stock, as of March 19, 2019 and based on 42,366,961 shares of common stock outstanding.</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47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Beneficial</w:t>
            </w: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4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PRIMECAP Management Company </w:t>
            </w:r>
            <w:r>
              <w:rPr>
                <w:rFonts w:ascii="Arial" w:cs="Arial" w:eastAsia="Arial" w:hAnsi="Arial"/>
                <w:sz w:val="15"/>
                <w:szCs w:val="15"/>
                <w:color w:val="auto"/>
              </w:rPr>
              <w:t>(1)</w:t>
            </w:r>
          </w:p>
        </w:tc>
        <w:tc>
          <w:tcPr>
            <w:tcW w:w="1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6,312,600</w:t>
            </w:r>
          </w:p>
        </w:tc>
        <w:tc>
          <w:tcPr>
            <w:tcW w:w="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Prudential Financial, Inc. </w:t>
            </w:r>
            <w:r>
              <w:rPr>
                <w:rFonts w:ascii="Arial" w:cs="Arial" w:eastAsia="Arial" w:hAnsi="Arial"/>
                <w:sz w:val="15"/>
                <w:szCs w:val="15"/>
                <w:color w:val="auto"/>
              </w:rPr>
              <w:t>(2)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3,530,916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Legion Partners Asset Management, LLC </w:t>
            </w:r>
            <w:r>
              <w:rPr>
                <w:rFonts w:ascii="Arial" w:cs="Arial" w:eastAsia="Arial" w:hAnsi="Arial"/>
                <w:sz w:val="15"/>
                <w:szCs w:val="15"/>
                <w:color w:val="auto"/>
              </w:rPr>
              <w:t>(3)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3,378,631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3,014,206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Private Management Group, Inc. </w:t>
            </w:r>
            <w:r>
              <w:rPr>
                <w:rFonts w:ascii="Arial" w:cs="Arial" w:eastAsia="Arial" w:hAnsi="Arial"/>
                <w:sz w:val="15"/>
                <w:szCs w:val="15"/>
                <w:color w:val="auto"/>
              </w:rPr>
              <w:t>(6)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2,949,556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Corre Partners Advisors, LLC </w:t>
            </w:r>
            <w:r>
              <w:rPr>
                <w:rFonts w:ascii="Arial" w:cs="Arial" w:eastAsia="Arial" w:hAnsi="Arial"/>
                <w:sz w:val="15"/>
                <w:szCs w:val="15"/>
                <w:color w:val="auto"/>
              </w:rPr>
              <w:t>(5)</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2,612,638</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2,593,354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RE Advisers Corporation </w:t>
            </w:r>
            <w:r>
              <w:rPr>
                <w:rFonts w:ascii="Arial" w:cs="Arial" w:eastAsia="Arial" w:hAnsi="Arial"/>
                <w:sz w:val="15"/>
                <w:szCs w:val="15"/>
                <w:color w:val="auto"/>
              </w:rPr>
              <w:t>(8)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2,397,250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jc w:val="both"/>
        <w:ind w:left="440" w:right="20" w:hanging="436"/>
        <w:spacing w:after="0" w:line="271"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13G/A filed on February 8, 2019 with the SEC by PRIMECAP Management Company, or PRIMECAP. The Schedule 13G/A states that PRIMECAP has sole voting power with respect to 4,777,300 shares and sole dispositive power with respect to 6,312,600 shares. The principal business address of PRIMECAP is 177 E. Colorado Blvd., 11</w:t>
      </w:r>
      <w:r>
        <w:rPr>
          <w:rFonts w:ascii="Arial" w:cs="Arial" w:eastAsia="Arial" w:hAnsi="Arial"/>
          <w:sz w:val="14"/>
          <w:szCs w:val="14"/>
          <w:color w:val="auto"/>
        </w:rPr>
        <w:t>th</w:t>
      </w:r>
      <w:r>
        <w:rPr>
          <w:rFonts w:ascii="Arial" w:cs="Arial" w:eastAsia="Arial" w:hAnsi="Arial"/>
          <w:sz w:val="17"/>
          <w:szCs w:val="17"/>
          <w:color w:val="auto"/>
        </w:rPr>
        <w:t xml:space="preserve"> Floor, Pasadena, California 91105.</w:t>
      </w:r>
    </w:p>
    <w:p>
      <w:pPr>
        <w:ind w:left="440" w:hanging="436"/>
        <w:spacing w:after="0" w:line="265"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13G/A filed on January 31, 2019 with the SEC by Prudential Financial, Inc., or Prudential. The Schedule 13G/A states that Prudential and certain of its affiliates have sole voting power with respect to 33,398 shares, shared voting power with respect to 3,496,978 shares, sole dispositive power with respect to 33,938 shares and shared dispositive power with respect to 3,496,978 shares. Jennison Associates LLC, or Jennison, filed a separate Schedule 13G/A on February 1, 2019 with the SEC reporting beneficial ownership of 3,527,411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1" w:lineRule="exact"/>
        <w:rPr>
          <w:rFonts w:ascii="Arial" w:cs="Arial" w:eastAsia="Arial" w:hAnsi="Arial"/>
          <w:sz w:val="17"/>
          <w:szCs w:val="17"/>
          <w:color w:val="auto"/>
        </w:rPr>
      </w:pPr>
    </w:p>
    <w:p>
      <w:pPr>
        <w:ind w:left="440" w:right="160" w:hanging="436"/>
        <w:spacing w:after="0" w:line="265"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13D/A filed on February 26, 2019 with the SEC by Legion Partners Asset Management, LLC, or Legion. The Schedule 13D/A states that Legion and certain of its affiliates have shared voting power for up to 3,378,631 shares and shared dispositive power for up to 3,378,631 shares. The principal business address of Legion is 9401 Wilshire Blvd., Suite 705, Beverly Hills, CA 90212.</w:t>
      </w:r>
    </w:p>
    <w:p>
      <w:pPr>
        <w:ind w:left="440" w:right="10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 filed on February 8, 2019 with the SEC by BlackRock, Inc. The Schedule 13G states that BlackRock, Inc. has sole voting power with respect to 2,930,045 shares and sole dispositive power with respect to 3,014,206 shares. The principal business address of BlackRock, Inc. is 55 East 52nd Street, New York, New York 10055.</w:t>
      </w:r>
    </w:p>
    <w:p>
      <w:pPr>
        <w:spacing w:after="0" w:line="1" w:lineRule="exact"/>
        <w:rPr>
          <w:rFonts w:ascii="Arial" w:cs="Arial" w:eastAsia="Arial" w:hAnsi="Arial"/>
          <w:sz w:val="18"/>
          <w:szCs w:val="18"/>
          <w:color w:val="auto"/>
        </w:rPr>
      </w:pPr>
    </w:p>
    <w:p>
      <w:pPr>
        <w:ind w:left="440" w:right="160" w:hanging="436"/>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 filed on January 23, 2019 with the SEC by Private Management Group, Inc., or PMG. The Schedule 13G states that PMG has sole voting power with respect to 2,949,556 shares and sole dispositive power with respect to 2,949,556 shares. The principal business address of PMG is 15635 Alton Parkway, Suite 400, Irvine, CA 92618.</w:t>
      </w:r>
    </w:p>
    <w:p>
      <w:pPr>
        <w:spacing w:after="0" w:line="1" w:lineRule="exact"/>
        <w:rPr>
          <w:rFonts w:ascii="Arial" w:cs="Arial" w:eastAsia="Arial" w:hAnsi="Arial"/>
          <w:sz w:val="18"/>
          <w:szCs w:val="18"/>
          <w:color w:val="auto"/>
        </w:rPr>
      </w:pPr>
    </w:p>
    <w:p>
      <w:pPr>
        <w:ind w:left="440" w:right="20" w:hanging="436"/>
        <w:spacing w:after="0" w:line="265"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 filed on February 7, 2019 with the SEC by Corre Partners Advisors, LLC, or Corre. The Schedule 13G states that Corre and certain of its affiliates have shared voting power with respect to 2,612,638 shares and shared dispositive power with respect to 2,612,638 shares. The principal business address of Corre is 12 East 49th Street, 40th Floor, New York, New York 10017.</w:t>
      </w:r>
    </w:p>
    <w:p>
      <w:pPr>
        <w:ind w:left="440" w:right="180" w:hanging="436"/>
        <w:spacing w:after="0" w:line="281"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 based on Schedule 13G/A filed on February 8, 2019 with the SEC by Dimensional Fund Advisors LP, or Dimensional Fund. The Schedule 13G/A states that Dimensional Fund has sole voting power with respect to 2,502,036 shares and sole dispositive power with respect to 2,593,354 shares. The principal business address of Dimensional Fund is Building One, 6300 Bee Cave Road, Austin, Texas 78746.</w:t>
      </w:r>
    </w:p>
    <w:p>
      <w:pPr>
        <w:spacing w:after="0" w:line="2" w:lineRule="exact"/>
        <w:rPr>
          <w:rFonts w:ascii="Arial" w:cs="Arial" w:eastAsia="Arial" w:hAnsi="Arial"/>
          <w:sz w:val="16"/>
          <w:szCs w:val="16"/>
          <w:color w:val="auto"/>
        </w:rPr>
      </w:pPr>
    </w:p>
    <w:p>
      <w:pPr>
        <w:ind w:left="440" w:right="80" w:hanging="436"/>
        <w:spacing w:after="0" w:line="25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 filed on February 13, 2019 with the SEC by RE Advisors Corporation, or RE Advisors. The Schedule 13G states that RE Advisors and National Rural Electric Cooperative Association each has sole voting power with respect to 2,397,250 shares and sole dispositive power with respect to 2,397,250 shares. The principal business address of RE Advisors is 4301 Wilson Boulevard, Arlington, Virginia 22203.</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121" w:lineRule="exact"/>
        <w:rPr>
          <w:sz w:val="20"/>
          <w:szCs w:val="20"/>
          <w:color w:val="auto"/>
        </w:rPr>
      </w:pPr>
    </w:p>
    <w:p>
      <w:pPr>
        <w:jc w:val="both"/>
        <w:ind w:right="660" w:firstLine="441"/>
        <w:spacing w:after="0" w:line="312" w:lineRule="auto"/>
        <w:rPr>
          <w:sz w:val="20"/>
          <w:szCs w:val="20"/>
          <w:color w:val="auto"/>
        </w:rPr>
      </w:pPr>
      <w:r>
        <w:rPr>
          <w:rFonts w:ascii="Arial" w:cs="Arial" w:eastAsia="Arial" w:hAnsi="Arial"/>
          <w:sz w:val="16"/>
          <w:szCs w:val="16"/>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4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Based solely on its review of the copies of these reports furnished to us for the year ended December 31, 2018, we are not aware of any instance of noncompliance with Section 16(a) by its directors, executive officers or owners of more than 10% of the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II: AMENDMENT TO CERTIFICATE OF INCORPORATION TO DECLASSIFY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On February 25, 2019, the Board unanimously adopted and approved an amendment to the Certificate of Incorporation to eliminate the classification of the Board over a two-year period so that beginning at the 2021 annual meeting of stockholders all directors will be elected for one-year terms, or the Declassification Amendment, subject to the approval of this proposal by the requisite vote of our stockholders at the Annual Meeting. The following discussion of the Declassification Amendment is qualified in its entirety by reference to the text of the Declassification Amendment set forth in the form of the Certificate of Amendment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Declassification Amendment</w:t>
      </w:r>
    </w:p>
    <w:p>
      <w:pPr>
        <w:spacing w:after="0" w:line="121"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Section 3 of Article V of the Certificate of Incorporation currently provides that the Company’s directors are divided into three classes, with the term of one class expiring each year and the directors in each class serving three-year terms. If the Declassification Amendment is approved and becomes effective, the Class III directors elected at the Annual Meeting will be elected to one-year terms. The Class I directors and Class II directors would continue to serve out the remaining portion of their three-year terms but, upon completion of such terms, would also be elected for one-year terms. As a result, beginning with the 2021 annual meeting of stockholders, the Board would be declassified, and all directors would be elected on an annual basis.</w:t>
      </w:r>
    </w:p>
    <w:p>
      <w:pPr>
        <w:spacing w:after="0" w:line="193"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Declassification Amendment would not change the present number of directors or the Board’s authority to change that number and to fill any vacancies or newly created directorships. Until the 2021 annual meeting of stockholders, any director appointed to fill a vacancy or newly created directorship would hold office for the current remaining term of the relevant class. Upon the annual election of the entire Board at the 2021 annual meeting of stockholders, any director appointed to fill a vacancy or newly created Board seat would serve for a term expiring at the next annual meeting of stockholders following his or her appointment.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Board Declassification</w:t>
      </w:r>
    </w:p>
    <w:p>
      <w:pPr>
        <w:spacing w:after="0" w:line="12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Board considered a number of factors when considering whether to declassify the Board. These factors included the views expressed to us during our proactive engagement with a number of our stockholders to understand their views on our corporate governance practices, the merits of classified and declassified board structures, corporate governance trends among other public companies and the general views of institutional stockholders regarding board structures. The Board also recognizes that stockholders may believe that a classified board structure diminishes a board’s accountability to stockholders since stockholders are unable to express a view on each director’s performance by means of an annual vote. Annual voting would allow stockholders to express their views on the individual performance of each director and on the entire Board more frequently than with the existing classified board structure. Moreover, many institutional investors believe that the election of directors is the primary means for stockholders to influence corporate governance policies and to hold management accountable for implementing those policies. After careful consideration of the foregoing factors, the full Board determined that declassification of the Board is in the best interests of the Company and our stockholders.</w:t>
      </w:r>
    </w:p>
    <w:p>
      <w:pPr>
        <w:spacing w:after="0" w:line="16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If the proposed Declassification Amendment is approved, it will become effective upon filing of the Certificate of Amendment with the Secretary of State of the State of Delaware, which is expected to occur promptly following the Annual Meeting. The Board also adopted and approved conforming amendments to our bylaws, which will become effective upon the filing and effectiveness of the Certificate of Amendment to fully implement the Declassification Amendment. If the proposed Declassification Amendment is not approved, the Board’s current classified structure will remain in place, and the Class III directors elected at the Annual Meeting will be elected to three-year terms.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This proposal must be approved by the affirmative vote of a majority of the outstanding shares of our common stock entitled to vote on the proposal. Abstentions and broker non-votes will have the effect of a vote “AGAINST” this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ind w:left="460" w:right="40"/>
        <w:spacing w:after="0" w:line="282" w:lineRule="auto"/>
        <w:rPr>
          <w:sz w:val="20"/>
          <w:szCs w:val="20"/>
          <w:color w:val="auto"/>
        </w:rPr>
      </w:pPr>
      <w:r>
        <w:rPr>
          <w:rFonts w:ascii="Arial" w:cs="Arial" w:eastAsia="Arial" w:hAnsi="Arial"/>
          <w:sz w:val="18"/>
          <w:szCs w:val="18"/>
          <w:b w:val="1"/>
          <w:bCs w:val="1"/>
          <w:color w:val="auto"/>
        </w:rPr>
        <w:t>PROPOSAL III: AMENDMENT TO CERTIFICATE OF INCORPORATION TO INCREASE THE NUMBER OF AUTHORIZED SHARES OF COMMON STOCK FROM 45,000,000 TO 90,000,000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On February 25, 2019, the Board unanimously adopted and approved an amendment to the Certificate of Incorporation to increase the number of authorized shares of common stock from 45,000,000 to 90,000,000, or the Share Increase Amendment, subject to the approval of this proposal by the requisite vote of our stockholders at the Annual Meeting. The following discussion of the Share Increase Amendment is qualified in its entirety by reference to the text of the Share Increase Amendment set forth in the form of the Certificate of Amendment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which is incorporated herein by reference.</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Article IV, Section 1 of the Certificate of Incorporation currently provides that the Company shall have the authority to issue 50,000,000 shares, consisting of 45,000,000 shares of common stock and 5,000,000 shares of preferred stock, par value $.01 per share, or the preferred stock. As of the Record Date, 42,366,961 shares of common stock were issued and outstanding, and an additional 781,817 shares of common stock were reserved for issuance upon the exercise of outstanding stock options and the vesting of performance stock units as of such date. No changes to the Certificate of Incorporation are being proposed with respect to the number of authorized shares of preferred stock of which none are currently outstanding. Other than the proposed increase in the number of authorized shares of common stock, this proposal is not intended to modify the rights of existing stockholders in any material respect.</w:t>
      </w:r>
    </w:p>
    <w:p>
      <w:pPr>
        <w:spacing w:after="0" w:line="18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This proposal to increase the number of authorized shares of common stock, if approved, will become effective, and the Company’s number of authorized shares of common stock will be increased as proposed herein, upon the filing of the Certificate of Amendment with the Secretary of State of the State of Delaware.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Increase in Authorized Shares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Board believes that it is in the best interest of the Company to have additional authorized shares of common stock available for possible future financings, equity compensation, strategic transactions and other general corporate purposes. The Board believes that having such additional authorized shares of common stock available for issuance under the Certificate of Incorporation will give the Company increased flexibility to meet future business needs and would allow such shares to be issued without the expense and delay of a special stockholders’ meeting unless such approval is expressly required by applicable law or the Nasdaq Marketplace Rules. The Company currently has no specific plan, commitment, arrangement, understanding or agreement in place for the issuance or use of the proposed additional authorized shares of common stock, other than issuances in the ordinary course of business. There are certain advantages and disadvantages of an increase in authorized common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advantages include:</w:t>
      </w:r>
    </w:p>
    <w:p>
      <w:pPr>
        <w:spacing w:after="0" w:line="131" w:lineRule="exact"/>
        <w:rPr>
          <w:sz w:val="20"/>
          <w:szCs w:val="20"/>
          <w:color w:val="auto"/>
        </w:rPr>
      </w:pPr>
    </w:p>
    <w:p>
      <w:pPr>
        <w:ind w:left="1420" w:hanging="430"/>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raise capital as needed by issuing capital stock in future financing transactions; and</w:t>
      </w:r>
    </w:p>
    <w:p>
      <w:pPr>
        <w:spacing w:after="0" w:line="130" w:lineRule="exact"/>
        <w:rPr>
          <w:rFonts w:ascii="Arial" w:cs="Arial" w:eastAsia="Arial" w:hAnsi="Arial"/>
          <w:sz w:val="18"/>
          <w:szCs w:val="18"/>
          <w:color w:val="auto"/>
        </w:rPr>
      </w:pPr>
    </w:p>
    <w:p>
      <w:pPr>
        <w:ind w:left="1420" w:right="40" w:hanging="430"/>
        <w:spacing w:after="0" w:line="342" w:lineRule="auto"/>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have shares of common stock available for equity compensation, to pursue strategic transactions, including mergers, acquisitions, joint ventures and other business combinations and expansion opportunities, if any, and for general corporate purposes.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disadvantages include:</w:t>
      </w:r>
    </w:p>
    <w:p>
      <w:pPr>
        <w:spacing w:after="0" w:line="131" w:lineRule="exact"/>
        <w:rPr>
          <w:sz w:val="20"/>
          <w:szCs w:val="20"/>
          <w:color w:val="auto"/>
        </w:rPr>
      </w:pPr>
    </w:p>
    <w:p>
      <w:pPr>
        <w:ind w:left="1420" w:right="220" w:hanging="430"/>
        <w:spacing w:after="0" w:line="312" w:lineRule="auto"/>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stockholders do not have any preemptive or similar rights to subscribe for or purchase any additional shares of common stock that may be issued in the future, and therefore, future issuances of common stock may, depending on the circumstances, have a dilutive effect on the earnings per share, voting power and other interests of existing stockholders of the Company; and</w:t>
      </w:r>
    </w:p>
    <w:p>
      <w:pPr>
        <w:spacing w:after="0" w:line="52" w:lineRule="exact"/>
        <w:rPr>
          <w:rFonts w:ascii="Arial" w:cs="Arial" w:eastAsia="Arial" w:hAnsi="Arial"/>
          <w:sz w:val="16"/>
          <w:szCs w:val="16"/>
          <w:color w:val="auto"/>
        </w:rPr>
      </w:pPr>
    </w:p>
    <w:p>
      <w:pPr>
        <w:ind w:left="1420" w:right="360" w:hanging="430"/>
        <w:spacing w:after="0" w:line="264"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authorized but unissued stock could be used to deter a potential takeover of the Company that may otherwise be beneficial to stockholders by diluting the shares held by a potential suitor or issuing shares to a stockholder that will vote in accordance with the Board’s desires.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Effects of the Increase in Authorized Shares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If this proposal is approved, the authorized shares of common stock will be increased from 45,000,000 shares to 90,000,000 shares, effective upon the Company’s filing of the Certificate of Amendment with the Secretary of State of the State of Delaware.</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Upon such filing, the additional authorized shares of common stock would be available for issuance at the discretion of the Board of Directors for various corporate purposes without further stockholder approval, except as may be required by applicable law or the Nasdaq Marketplace Rules. The additional authorized shares of common stock, upon issuance, would have the same rights and privileges as the shares of common stock currently issued and outstanding. No changes would be made to the number of authorized shares of preferred stock or the Board’s authority in connection with issuances thereof under the Certificate of Incorporation. Also, it is not anticipated that the Company’s financial condition, management’s percentage ownership, the number of stockholders, or any aspect of the Company’s business would materially change as a result of the increase in authorized shares of common stock.</w:t>
      </w:r>
    </w:p>
    <w:p>
      <w:pPr>
        <w:spacing w:after="0" w:line="189"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increase in authorized shares would not have any immediate effect on our existing stockholders’ percentage ownership interest in the Company or proportionate voting power. However, it may have a dilutive effect on our existing stockholders if additional shares are issued. The issuance of additional shares would cause immediate dilution of the ownership interests and the voting power of our existing stockholders and, depending on the price at which they are issued, could have a negative effect on the market price of common stock. It may also affect the amount of dividends, if any, paid to our existing stockholders and may reduce the share of the proceeds that they would receive upon the future liquidation, if any, of the Company.</w:t>
      </w:r>
    </w:p>
    <w:p>
      <w:pPr>
        <w:spacing w:after="0" w:line="193"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The Board is not aware of any attempt, or contemplated attempt, to acquire control of the Company, and this proposal is not being presented with the intent that it be utilized as a type of anti-takeover device or to secure management’s position within the Company. However, the increase in the number of authorized shares of common stock could, under certain circumstances, have an “anti-takeover effect” by permitting the issuance of shares to purchasers who might oppose a hostile takeover bid or oppose any efforts to amend or repeal certain provisions of the Certificate of Incorporation or the Company’s bylaws. The increased number of authorized shares of common stock would give the our management more flexibility to resist or impede a third party takeover bid that provides an above market premium that is favored by a majority of the unaffiliated stockholders. The issuance of new shares of common stock could also be used to dilute the stock ownership of a person or entity seeking to obtain control of the Company should the Board consider the action of the entity or person not to be in the best interest of our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This proposal must be approved by the affirmative vote of a majority of the outstanding shares of our common stock entitled to vote on the proposal. Abstentions and broker non-votes will have the effect of a vote “AGAINST” this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IV: APPROVAL OF THE 2019 OMNIBUS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On March 14, 2019, the Board unanimously adopted and approved the NN, Inc. 2019 Omnibus Incentive Plan, or the Plan, subject to approval by our stockholders at the Annual Meeting. The Plan would replace the NN, Inc. 2016 Omnibus Incentive Plan, or the Prior Plan, and would apply to all awards granted after the Annual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determining to adopt and approve the Plan, subject to stockholder approval, the Board considered various factors, including the following:</w:t>
      </w:r>
    </w:p>
    <w:p>
      <w:pPr>
        <w:spacing w:after="0" w:line="142" w:lineRule="exact"/>
        <w:rPr>
          <w:sz w:val="20"/>
          <w:szCs w:val="20"/>
          <w:color w:val="auto"/>
        </w:rPr>
      </w:pPr>
    </w:p>
    <w:p>
      <w:pPr>
        <w:jc w:val="both"/>
        <w:ind w:left="860" w:hanging="316"/>
        <w:spacing w:after="0" w:line="276"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the Record Date, 798,461 shares remain available for grant under our prior equity compensation plans, including the Prior Plan. Based on historical usage, the current share price of our common stock and expected practices, and noting that future circumstances may require us to make changes to our expected practices, we estimate that the existing shares available for grant under our prior equity compensation plans would be insufficient to make company-wide equity grants for fiscal 2020. Upon approval of the Plan by our stockholders, no awards will be granted under any prior equity compensation plans, including the Prior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3" w:name="page24"/>
    <w:bookmarkEnd w:id="23"/>
    <w:p>
      <w:pPr>
        <w:jc w:val="both"/>
        <w:ind w:left="860" w:right="140" w:hanging="316"/>
        <w:spacing w:after="0" w:line="264"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Plan is approved, we would have 2,900,000 shares authorized for issuance for future awards under the Plan, with 1,933,333 available for issuance as full value awards. The additional shares to be authorized for grant under the Plan would be dilutive to stockholders by 6.8% based on the outstanding shares as of the Record Date.</w:t>
      </w:r>
    </w:p>
    <w:p>
      <w:pPr>
        <w:spacing w:after="0" w:line="86" w:lineRule="exact"/>
        <w:rPr>
          <w:rFonts w:ascii="Arial" w:cs="Arial" w:eastAsia="Arial" w:hAnsi="Arial"/>
          <w:sz w:val="18"/>
          <w:szCs w:val="18"/>
          <w:color w:val="auto"/>
        </w:rPr>
      </w:pPr>
    </w:p>
    <w:p>
      <w:pPr>
        <w:ind w:left="860" w:right="120" w:hanging="316"/>
        <w:spacing w:after="0" w:line="259"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historical usage and current share price of our common stock, we estimate that the 2,900,000 shares to be authorized for grant under the Plan, if approved by our stockholders, should be sufficient for us to make equity grants for the next several years, assuming we continue to grant awards consistent with our historical usage and expected practices, and noting that future circumstances may require us to make changes to our expected practices.</w:t>
      </w:r>
    </w:p>
    <w:p>
      <w:pPr>
        <w:spacing w:after="0" w:line="92"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Plan was designed to conform with existing best practices in equity incentive plans, which include: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fixed term of 10 years;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fungible share count;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prohibition on liberal share recycling;</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prohibition on the repricing of stock options or stock appreciation rights;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establishment of minimum vesting requirements;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recoupment of awards under certain circumstances;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limitations on non-employee director compensation.</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Equity compensation is a critical component of our compensation program, and approval of the Plan is necessary to continue our company-wide equity compensation program for 2020 and beyond. If stockholders do not approve the Plan, we will be at a competitive disadvantage within our industry. The Board believes the Plan is essential to our success and in motivating executives and other employees to strive to enhance our growth and profitability. </w:t>
      </w:r>
      <w:r>
        <w:rPr>
          <w:rFonts w:ascii="Arial" w:cs="Arial" w:eastAsia="Arial" w:hAnsi="Arial"/>
          <w:sz w:val="18"/>
          <w:szCs w:val="18"/>
          <w:b w:val="1"/>
          <w:bCs w:val="1"/>
          <w:color w:val="auto"/>
        </w:rPr>
        <w:t>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5"/>
          <w:szCs w:val="15"/>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OARD RECOMMENDS YOU TO VOTE TO APPROVE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Equity Award Data</w:t>
      </w:r>
    </w:p>
    <w:p>
      <w:pPr>
        <w:spacing w:after="0" w:line="121" w:lineRule="exact"/>
        <w:rPr>
          <w:sz w:val="20"/>
          <w:szCs w:val="20"/>
          <w:color w:val="auto"/>
        </w:rPr>
      </w:pPr>
    </w:p>
    <w:p>
      <w:pPr>
        <w:jc w:val="both"/>
        <w:ind w:right="340" w:firstLine="881"/>
        <w:spacing w:after="0" w:line="264" w:lineRule="auto"/>
        <w:rPr>
          <w:sz w:val="20"/>
          <w:szCs w:val="20"/>
          <w:color w:val="auto"/>
        </w:rPr>
      </w:pPr>
      <w:r>
        <w:rPr>
          <w:rFonts w:ascii="Arial" w:cs="Arial" w:eastAsia="Arial" w:hAnsi="Arial"/>
          <w:sz w:val="18"/>
          <w:szCs w:val="18"/>
          <w:color w:val="auto"/>
        </w:rPr>
        <w:t>The following table sets forth information regarding all outstanding Options and unvested Restricted Shares under all of our prior equity compensation plans as of the Record Date. The last sales price of our common stock on December 31, 2018 and the Record Date, as reported on the Nasdaq Global Select Market, was $6.71 and $7.51 per share, respectively.</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1"/>
              </w:rPr>
              <w:t>Weighted Average</w:t>
            </w:r>
          </w:p>
        </w:tc>
        <w:tc>
          <w:tcPr>
            <w:tcW w:w="6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2680" w:type="dxa"/>
            <w:vAlign w:val="bottom"/>
            <w:gridSpan w:val="3"/>
            <w:vMerge w:val="restart"/>
          </w:tcPr>
          <w:p>
            <w:pPr>
              <w:jc w:val="center"/>
              <w:ind w:left="548"/>
              <w:spacing w:after="0"/>
              <w:rPr>
                <w:sz w:val="20"/>
                <w:szCs w:val="20"/>
                <w:color w:val="auto"/>
              </w:rPr>
            </w:pPr>
            <w:r>
              <w:rPr>
                <w:rFonts w:ascii="Arial" w:cs="Arial" w:eastAsia="Arial" w:hAnsi="Arial"/>
                <w:sz w:val="14"/>
                <w:szCs w:val="14"/>
                <w:b w:val="1"/>
                <w:bCs w:val="1"/>
                <w:color w:val="auto"/>
                <w:w w:val="93"/>
              </w:rPr>
              <w:t>Number of Shares Available for</w:t>
            </w: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Average Exercise</w:t>
            </w:r>
          </w:p>
        </w:tc>
        <w:tc>
          <w:tcPr>
            <w:tcW w:w="1800" w:type="dxa"/>
            <w:vAlign w:val="bottom"/>
            <w:gridSpan w:val="2"/>
          </w:tcPr>
          <w:p>
            <w:pPr>
              <w:jc w:val="center"/>
              <w:ind w:left="608"/>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6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Stock/PSU</w:t>
            </w:r>
          </w:p>
        </w:tc>
        <w:tc>
          <w:tcPr>
            <w:tcW w:w="680" w:type="dxa"/>
            <w:vAlign w:val="bottom"/>
          </w:tcPr>
          <w:p>
            <w:pPr>
              <w:spacing w:after="0"/>
              <w:rPr>
                <w:sz w:val="12"/>
                <w:szCs w:val="12"/>
                <w:color w:val="auto"/>
              </w:rPr>
            </w:pPr>
          </w:p>
        </w:tc>
        <w:tc>
          <w:tcPr>
            <w:tcW w:w="2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8"/>
              </w:rPr>
              <w:t>Grant Under All Prior Equity</w:t>
            </w:r>
          </w:p>
        </w:tc>
        <w:tc>
          <w:tcPr>
            <w:tcW w:w="0" w:type="dxa"/>
            <w:vAlign w:val="bottom"/>
          </w:tcPr>
          <w:p>
            <w:pPr>
              <w:spacing w:after="0"/>
              <w:rPr>
                <w:sz w:val="1"/>
                <w:szCs w:val="1"/>
                <w:color w:val="auto"/>
              </w:rPr>
            </w:pPr>
          </w:p>
        </w:tc>
      </w:tr>
      <w:tr>
        <w:trPr>
          <w:trHeight w:val="162"/>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Price</w:t>
            </w:r>
          </w:p>
        </w:tc>
        <w:tc>
          <w:tcPr>
            <w:tcW w:w="6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680" w:type="dxa"/>
            <w:vAlign w:val="bottom"/>
          </w:tcPr>
          <w:p>
            <w:pPr>
              <w:spacing w:after="0"/>
              <w:rPr>
                <w:sz w:val="14"/>
                <w:szCs w:val="14"/>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 xml:space="preserve">Compensation Plans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978,215</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13.58</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843,754</w:t>
            </w:r>
          </w:p>
        </w:tc>
        <w:tc>
          <w:tcPr>
            <w:tcW w:w="68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798,461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amount includes all total outstanding full value awards from all prior equity compensation plans.</w:t>
      </w:r>
    </w:p>
    <w:p>
      <w:pPr>
        <w:spacing w:after="0" w:line="23" w:lineRule="exact"/>
        <w:rPr>
          <w:rFonts w:ascii="Arial" w:cs="Arial" w:eastAsia="Arial" w:hAnsi="Arial"/>
          <w:sz w:val="18"/>
          <w:szCs w:val="18"/>
          <w:color w:val="auto"/>
        </w:rPr>
      </w:pPr>
    </w:p>
    <w:p>
      <w:pPr>
        <w:ind w:left="440" w:right="420" w:hanging="436"/>
        <w:spacing w:after="0" w:line="261"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amount includes all shares available for grant under all prior equity compensation plans; however, as of the effective date of the Plan, no awards will be granted under any prior equity compensation plans.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table below sets forth our burn rate for each of the last three fiscal years and the three-year average burn rate. Burn rate is calculated as</w:t>
      </w:r>
    </w:p>
    <w:p>
      <w:pPr>
        <w:spacing w:after="0" w:line="46" w:lineRule="exact"/>
        <w:rPr>
          <w:sz w:val="20"/>
          <w:szCs w:val="20"/>
          <w:color w:val="auto"/>
        </w:rPr>
      </w:pPr>
    </w:p>
    <w:p>
      <w:pPr>
        <w:ind w:left="220" w:hanging="216"/>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number of stock options and time-based restricted stock granted, plus (ii) the number of performance stock units (PSUs) earned, divided by</w:t>
      </w:r>
    </w:p>
    <w:p>
      <w:pPr>
        <w:spacing w:after="0" w:line="20" w:lineRule="exact"/>
        <w:rPr>
          <w:rFonts w:ascii="Arial" w:cs="Arial" w:eastAsia="Arial" w:hAnsi="Arial"/>
          <w:sz w:val="17"/>
          <w:szCs w:val="17"/>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 average basic common shares outstanding in the year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 = (a) : (c)</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w:t>
            </w: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 ÷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4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PSUs</w:t>
            </w: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Granted/</w:t>
            </w: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Basic Common</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Burn</w:t>
            </w:r>
          </w:p>
        </w:tc>
        <w:tc>
          <w:tcPr>
            <w:tcW w:w="0" w:type="dxa"/>
            <w:vAlign w:val="bottom"/>
          </w:tcPr>
          <w:p>
            <w:pPr>
              <w:spacing w:after="0"/>
              <w:rPr>
                <w:sz w:val="1"/>
                <w:szCs w:val="1"/>
                <w:color w:val="auto"/>
              </w:rPr>
            </w:pPr>
          </w:p>
        </w:tc>
      </w:tr>
      <w:tr>
        <w:trPr>
          <w:trHeight w:val="158"/>
        </w:trPr>
        <w:tc>
          <w:tcPr>
            <w:tcW w:w="700" w:type="dxa"/>
            <w:vAlign w:val="bottom"/>
            <w:gridSpan w:val="2"/>
            <w:vMerge w:val="continue"/>
          </w:tcPr>
          <w:p>
            <w:pPr>
              <w:spacing w:after="0"/>
              <w:rPr>
                <w:sz w:val="13"/>
                <w:szCs w:val="13"/>
                <w:color w:val="auto"/>
              </w:rPr>
            </w:pPr>
          </w:p>
        </w:tc>
        <w:tc>
          <w:tcPr>
            <w:tcW w:w="408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Granted</w:t>
            </w:r>
          </w:p>
        </w:tc>
        <w:tc>
          <w:tcPr>
            <w:tcW w:w="2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Granted</w:t>
            </w:r>
            <w:r>
              <w:rPr>
                <w:rFonts w:ascii="Arial" w:cs="Arial" w:eastAsia="Arial" w:hAnsi="Arial"/>
                <w:sz w:val="12"/>
                <w:szCs w:val="12"/>
                <w:b w:val="1"/>
                <w:bCs w:val="1"/>
                <w:color w:val="auto"/>
                <w:w w:val="96"/>
              </w:rPr>
              <w:t>(1)</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Earned</w:t>
            </w:r>
          </w:p>
        </w:tc>
        <w:tc>
          <w:tcPr>
            <w:tcW w:w="2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Earned</w:t>
            </w:r>
          </w:p>
        </w:tc>
        <w:tc>
          <w:tcPr>
            <w:tcW w:w="15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Shares Outstanding</w:t>
            </w:r>
          </w:p>
        </w:tc>
        <w:tc>
          <w:tcPr>
            <w:tcW w:w="7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2018</w:t>
            </w:r>
          </w:p>
        </w:tc>
        <w:tc>
          <w:tcPr>
            <w:tcW w:w="40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8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57,800</w:t>
            </w:r>
          </w:p>
        </w:tc>
        <w:tc>
          <w:tcPr>
            <w:tcW w:w="2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86,516</w:t>
            </w:r>
          </w:p>
        </w:tc>
        <w:tc>
          <w:tcPr>
            <w:tcW w:w="2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244,316</w:t>
            </w:r>
          </w:p>
        </w:tc>
        <w:tc>
          <w:tcPr>
            <w:tcW w:w="2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31,678</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2017</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125,700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85,393</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80,066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291,159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27,433</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319,510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5461000</wp:posOffset>
            </wp:positionH>
            <wp:positionV relativeFrom="paragraph">
              <wp:posOffset>0</wp:posOffset>
            </wp:positionV>
            <wp:extent cx="15519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1940" cy="154305"/>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b w:val="1"/>
          <w:bCs w:val="1"/>
          <w:color w:val="auto"/>
        </w:rPr>
        <w:t>3-Year Average 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4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7"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excludes PSUs granted in 2016, 2017 and 2018.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440" w:top="274"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the Plan</w:t>
      </w:r>
    </w:p>
    <w:p>
      <w:pPr>
        <w:spacing w:after="0" w:line="121"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 xml:space="preserve">The following summary of the material terms of the Plan is qualified in its entirety by reference to the complete text of the Plan as set forth in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to this Proxy Statement. You should read the complete text of the Plan for more details regarding the operation of the Plan.</w:t>
      </w:r>
    </w:p>
    <w:p>
      <w:pPr>
        <w:spacing w:after="0" w:line="12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Plan is to promote our interests and those of our stockholders by attracting and retaining key officers,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8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Plan will be administered by a committee composed of at least two “non-employee directors,” within the meaning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 of the Plan. The Compensation Committee will determine eligibility for and designate participants of the Plan, determine the type and amount of awards to be granted, determine the timing, terms, and conditions of any award, and make other determinations as provided in the Plan. All decisions and interpretations made by the Compensation Committee with respect to the Plan will be binding on us and participants. Subject to certain limitations under the Plan, the Compensation Committee may delegate its authority to our officers or managers to grant, modify, or cancel awards, other than with respect to participants who are subject to Section 16 of the Exchange Act.</w:t>
      </w:r>
    </w:p>
    <w:p>
      <w:pPr>
        <w:spacing w:after="0" w:line="166"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b w:val="1"/>
          <w:bCs w:val="1"/>
          <w:i w:val="1"/>
          <w:iCs w:val="1"/>
          <w:color w:val="auto"/>
        </w:rPr>
        <w:t>Prohibition on Repricing without Stockholder Approval</w:t>
      </w:r>
      <w:r>
        <w:rPr>
          <w:rFonts w:ascii="Arial" w:cs="Arial" w:eastAsia="Arial" w:hAnsi="Arial"/>
          <w:sz w:val="18"/>
          <w:szCs w:val="18"/>
          <w:color w:val="auto"/>
        </w:rPr>
        <w:t>. The Plan provides that, without the approval of our stockholders,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8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color w:val="auto"/>
        </w:rPr>
        <w:t>. Any current or prospective (i) officer or employee of ours or any of our subsidiaries or affiliates, (ii)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The Board must approve awards to directors that are not also employees of ours. As of December 31, 2018, approximately 56 employees, 6 non-employee directors, and an indeterminate number of consultants would be eligible to participate in the Plan.</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b w:val="1"/>
          <w:bCs w:val="1"/>
          <w:i w:val="1"/>
          <w:iCs w:val="1"/>
          <w:color w:val="auto"/>
        </w:rPr>
        <w:t>Shares Subject to the Plan</w:t>
      </w:r>
      <w:r>
        <w:rPr>
          <w:rFonts w:ascii="Arial" w:cs="Arial" w:eastAsia="Arial" w:hAnsi="Arial"/>
          <w:sz w:val="16"/>
          <w:szCs w:val="16"/>
          <w:color w:val="auto"/>
        </w:rPr>
        <w:t>. A total of 2,900,000 shares shall be authorized for grant under the Plan, less one share for every share that was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stock option or SAR granted after March 15, 2019 under the Prior Plan and one and one-half shares for every share that was subject to an award other than a stock option or SAR granted after March 15, 2019 under the Prior Plan, all of which shares may be used for the granting of incentive stock options. Any shares that are subject to awards other than stock options or SARs shall be counted against this limit one and one-half shares for every one share granted. The number of shares subject to the Plan may be adjusted in the event of certain changes in our corporate structure.</w:t>
      </w:r>
    </w:p>
    <w:p>
      <w:pPr>
        <w:spacing w:after="0" w:line="158"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If (i) any shares subject to an award under the Plan are forfeited, an award under the Plan expires or an award under the Plan is settled for cash (in whole or in part), or (ii) after March 15, 2019, any shares subject to an award under the Prior Plan are forfeited, an award expires or an award under the Prior Plan is settled for cash (in whole or in part), the shares subject to such award under the Plan or the Prior Plan shall, to the extent of such forfeiture, expiration or cash settlement, again be available for awards under the Plan. Notwithstanding anything to the contrary contained herein, the following shares shall not be added to the shares authorized for grant: (I) shares tendered by the participant or withheld by us in payment of the purchase price of a stock option under the Plan or the Prior Plan, or to satisfy any tax withholding obligation with respect to an award under the Plan or the Prior Plan, and</w:t>
      </w:r>
    </w:p>
    <w:p>
      <w:pPr>
        <w:spacing w:after="0" w:line="5" w:lineRule="exact"/>
        <w:rPr>
          <w:sz w:val="20"/>
          <w:szCs w:val="20"/>
          <w:color w:val="auto"/>
        </w:rPr>
      </w:pPr>
    </w:p>
    <w:p>
      <w:pPr>
        <w:jc w:val="both"/>
        <w:ind w:firstLine="4"/>
        <w:spacing w:after="0" w:line="255" w:lineRule="auto"/>
        <w:tabs>
          <w:tab w:leader="none" w:pos="2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subject to a SAR under the Plan that are not issued in connection with the stock settlement of the SAR under the Plan on exercise thereof, or a SAR under the Prior Plan and (III) shares reacquired by us on the open market or otherwise using cash proceeds from the exercise of stock options under the Plan or the Prior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25" w:name="page26"/>
    <w:bookmarkEnd w:id="25"/>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shares that again become available for grant shall be added back as (i) one share for every one share subject to stock options or SARs granted under the Plan or the Prior Plan, and (ii) as one and one-half shares for every one share subject to awards other than stock options or SARs granted under the Plan or the Prior Plan.</w:t>
      </w:r>
    </w:p>
    <w:p>
      <w:pPr>
        <w:spacing w:after="0" w:line="18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Limitations on Awards</w:t>
      </w:r>
      <w:r>
        <w:rPr>
          <w:rFonts w:ascii="Arial" w:cs="Arial" w:eastAsia="Arial" w:hAnsi="Arial"/>
          <w:sz w:val="18"/>
          <w:szCs w:val="18"/>
          <w:color w:val="auto"/>
        </w:rPr>
        <w:t>. Subject to exceptions for extraordinary circumstances, non-employee directors shall not receive compensation, paid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in any calendar year in excess of $500,000.</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b w:val="1"/>
          <w:bCs w:val="1"/>
          <w:i w:val="1"/>
          <w:iCs w:val="1"/>
          <w:color w:val="auto"/>
        </w:rPr>
        <w:t>Terms and Conditions of Awards</w:t>
      </w:r>
      <w:r>
        <w:rPr>
          <w:rFonts w:ascii="Arial" w:cs="Arial" w:eastAsia="Arial" w:hAnsi="Arial"/>
          <w:sz w:val="16"/>
          <w:szCs w:val="16"/>
          <w:color w:val="auto"/>
        </w:rPr>
        <w:t>. The Plan permits the grant of stock options, SARs, restricted shares, restricted share units,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performance shares and performance units), and other stock-based awards. Stock options granted under the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Plan must be evidenced by an award agreement that may specify the terms and conditions of the award and any rules applicable thereto.</w:t>
      </w:r>
    </w:p>
    <w:p>
      <w:pPr>
        <w:spacing w:after="0" w:line="158"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Plan.</w:t>
      </w:r>
    </w:p>
    <w:p>
      <w:pPr>
        <w:spacing w:after="0" w:line="188"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u w:val="single" w:color="auto"/>
          <w:color w:val="auto"/>
        </w:rPr>
        <w:t>Restricted Shares</w:t>
      </w:r>
      <w:r>
        <w:rPr>
          <w:rFonts w:ascii="Arial" w:cs="Arial" w:eastAsia="Arial" w:hAnsi="Arial"/>
          <w:sz w:val="16"/>
          <w:szCs w:val="16"/>
          <w:color w:val="auto"/>
        </w:rPr>
        <w:t>. The award agreement for restricted shares will set forth the number of shares subject to the award, the period during which, and the conditions under which, the restricted shares may be forfeited to us, and the other terms and conditions of the award. Restricted shares may not be sold, transferred, or otherwise encumbered or disposed of until the expiration of the restricted period and the fulfillment of any other conditions to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Unless otherwise provided in the award agreement, the participant receiving restricted shares will have the right to receive dividends and to vote such 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66"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u w:val="single" w:color="auto"/>
          <w:color w:val="auto"/>
        </w:rPr>
        <w:t>Restricted Share Units</w:t>
      </w:r>
      <w:r>
        <w:rPr>
          <w:rFonts w:ascii="Arial" w:cs="Arial" w:eastAsia="Arial" w:hAnsi="Arial"/>
          <w:sz w:val="16"/>
          <w:szCs w:val="16"/>
          <w:color w:val="auto"/>
        </w:rPr>
        <w:t>. Each restricted share unit will have a value equal to the fair market value of a share on the date such restricted share units are granted under the Plan. Restricted share units may be settled in cash, shares, other securities or property (as determined by the Compensation Committee) upon the lapse of restrictions applicable to the award and otherwise in accordance with the award agreement. Unless otherwise provided in the applicable aware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 the criteria listed in the Plan) that will subject the shares to forfeiture and transfer restrictions. The award agreement will specify whether restricted share units entitle the participant to dividend equivalent rights at the time of payment of dividends to our stockholders.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6" w:name="page27"/>
    <w:bookmarkEnd w:id="26"/>
    <w:p>
      <w:pPr>
        <w:ind w:firstLine="441"/>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Awards</w:t>
      </w:r>
      <w:r>
        <w:rPr>
          <w:rFonts w:ascii="Arial" w:cs="Arial" w:eastAsia="Arial" w:hAnsi="Arial"/>
          <w:sz w:val="17"/>
          <w:szCs w:val="17"/>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in its discretion, waive any performance goals and/or other terms and conditions relating to a performance award.</w:t>
      </w:r>
    </w:p>
    <w:p>
      <w:pPr>
        <w:spacing w:after="0" w:line="188"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 accounting principles or other such laws or provisions affecting 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 federal, governmental or regulatory action; or any other event either not directly related to our operations or not within the reasonable control of our management.</w:t>
      </w:r>
    </w:p>
    <w:p>
      <w:pPr>
        <w:spacing w:after="0" w:line="39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Plan.</w:t>
      </w:r>
    </w:p>
    <w:p>
      <w:pPr>
        <w:spacing w:after="0" w:line="18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b w:val="1"/>
          <w:bCs w:val="1"/>
          <w:i w:val="1"/>
          <w:iCs w:val="1"/>
          <w:color w:val="auto"/>
        </w:rPr>
        <w:t>Minimum Vesting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substitute awards, no portion of any option awards, SAR awards, performance awards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awards (as defined in the plan)) and other stock-based awards (to the extent appreciation awards) shall have a vesting period of less than twelve (12) months from the date of grant; provided, however, that up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7" w:name="page28"/>
    <w:bookmarkEnd w:id="27"/>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five percent (5%) of the number of shares authorized for grant under the Plan may be subject to Options or SARs that do not meet the minimum vesting requirement set forth in the previous clause. These minimum vesting requirements shall also apply to any performance awards that are appreciation awards. These minimum vesting requirements shall also apply to non-employee director appreciation awards (as defined in the Plan) but not with respect to non-employee director restricted shares, restricted share units or performance awards (to the extent not appreciation awards (as defined in the Plan)).</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The Compensation Committee will determine the terms and conditions that will apply to any award upon a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separation from service and may provide such terms and conditions in the award agreement or in such rules and regulations as it may prescribe. Unless otherwise provided in the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Unless otherwise provided by the Compensation Committee, or in an award agreement or by a contractual agreement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169" w:lineRule="exact"/>
        <w:rPr>
          <w:sz w:val="20"/>
          <w:szCs w:val="20"/>
          <w:color w:val="auto"/>
        </w:rPr>
      </w:pPr>
    </w:p>
    <w:p>
      <w:pPr>
        <w:jc w:val="both"/>
        <w:ind w:right="100" w:firstLine="441"/>
        <w:spacing w:after="0" w:line="257" w:lineRule="auto"/>
        <w:rPr>
          <w:sz w:val="20"/>
          <w:szCs w:val="20"/>
          <w:color w:val="auto"/>
        </w:rPr>
      </w:pPr>
      <w:r>
        <w:rPr>
          <w:rFonts w:ascii="Arial" w:cs="Arial" w:eastAsia="Arial" w:hAnsi="Arial"/>
          <w:sz w:val="18"/>
          <w:szCs w:val="18"/>
          <w:b w:val="1"/>
          <w:bCs w:val="1"/>
          <w:i w:val="1"/>
          <w:iCs w:val="1"/>
          <w:color w:val="auto"/>
        </w:rPr>
        <w:t>Transferability of Awards</w:t>
      </w:r>
      <w:r>
        <w:rPr>
          <w:rFonts w:ascii="Arial" w:cs="Arial" w:eastAsia="Arial" w:hAnsi="Arial"/>
          <w:sz w:val="18"/>
          <w:szCs w:val="18"/>
          <w:color w:val="auto"/>
        </w:rPr>
        <w:t>. Except as otherwise permitted in the Plan, an award agreement or by the Compensation Committee,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are not transferable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Plan.</w:t>
      </w:r>
    </w:p>
    <w:p>
      <w:pPr>
        <w:spacing w:after="0" w:line="188"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b w:val="1"/>
          <w:bCs w:val="1"/>
          <w:i w:val="1"/>
          <w:iCs w:val="1"/>
          <w:color w:val="auto"/>
        </w:rPr>
        <w:t>Clawback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granted pursuant to the Plan shall be subject to mandatory repayment by the participant to us (i) to the extent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agreement, (ii) to the extent that such participant is, or in the future becomes, subject to (a) any “clawback” or recoupment policy adopted by us or any of our affiliates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73"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b w:val="1"/>
          <w:bCs w:val="1"/>
          <w:i w:val="1"/>
          <w:iCs w:val="1"/>
          <w:color w:val="auto"/>
        </w:rPr>
        <w:t>Term and Amendment</w:t>
      </w:r>
      <w:r>
        <w:rPr>
          <w:rFonts w:ascii="Arial" w:cs="Arial" w:eastAsia="Arial" w:hAnsi="Arial"/>
          <w:sz w:val="18"/>
          <w:szCs w:val="18"/>
          <w:color w:val="auto"/>
        </w:rPr>
        <w:t>. No new awards may be granted under the Plan after the tenth anniversary of its approval by our stockholders.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amend, alter, suspend, discontinue or terminate the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Federal Income Tax Consequences</w:t>
      </w:r>
    </w:p>
    <w:p>
      <w:pPr>
        <w:spacing w:after="0" w:line="12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following is a brief summary of certain Federal income tax laws in effect on the date hereof with applicability to the Plan. This summary is not intended to be exhaustive and the exact tax consequences to any participant will depend on his or her particular circumstances and other factors. The Plan participants are encouraged to consult their own tax advisors with respect to any state tax consequences or particular federal tax implications of awards granted under the Plan. The Plan is not intended to be qualified under Section 401(a) of the Code.</w:t>
      </w:r>
    </w:p>
    <w:p>
      <w:pPr>
        <w:spacing w:after="0" w:line="17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A participant will not recognize income, and we will not be entitled to take a deduction, upon the grant of stock options.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exercising a non-qualified option, the participant generally will recognize ordinary income equal to the 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holdings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80"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b w:val="1"/>
          <w:bCs w:val="1"/>
          <w:i w:val="1"/>
          <w:iCs w:val="1"/>
          <w:color w:val="auto"/>
        </w:rPr>
        <w:t>SARs</w:t>
      </w:r>
      <w:r>
        <w:rPr>
          <w:rFonts w:ascii="Arial" w:cs="Arial" w:eastAsia="Arial" w:hAnsi="Arial"/>
          <w:sz w:val="18"/>
          <w:szCs w:val="18"/>
          <w:color w:val="auto"/>
        </w:rPr>
        <w:t>. A participant will not recognize income, and we will not be entitled to take a deduction, upon the grant of SARs. Upon exercising a SAR,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9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The award of restricted shares will not result in taxable income to the participant, and we will not be entitled to take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Prior to the lapse of the restrictions on restricted shares, any dividends received on such shares will be treated as ordinary income to the participant (and will not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182"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b w:val="1"/>
          <w:bCs w:val="1"/>
          <w:i w:val="1"/>
          <w:iCs w:val="1"/>
          <w:color w:val="auto"/>
        </w:rPr>
        <w:t>Restricted Share Units</w:t>
      </w:r>
      <w:r>
        <w:rPr>
          <w:rFonts w:ascii="Arial" w:cs="Arial" w:eastAsia="Arial" w:hAnsi="Arial"/>
          <w:sz w:val="17"/>
          <w:szCs w:val="17"/>
          <w:color w:val="auto"/>
        </w:rPr>
        <w:t>. With respect to a grant of restricted share units, the participant will recognize ordinary income on the amount of cash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7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A performance award issued in the form of shares will have similar income tax consequences as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subheading “Restricted Shares” above. A performance award issued in the form of units (whether settled in cash or shares) will have similar income tax consequences as described under the subheading “Restricted Share Units”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29" w:name="page30"/>
    <w:bookmarkEnd w:id="29"/>
    <w:p>
      <w:pPr>
        <w:ind w:right="20" w:firstLine="441"/>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Substitute Payments</w:t>
      </w:r>
      <w:r>
        <w:rPr>
          <w:rFonts w:ascii="Arial" w:cs="Arial" w:eastAsia="Arial" w:hAnsi="Arial"/>
          <w:sz w:val="18"/>
          <w:szCs w:val="18"/>
          <w:color w:val="auto"/>
        </w:rPr>
        <w:t>. Substitute payments for dividends made to participants with respect to restricted shares or certain performance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9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Section 409A of the Code provides generally that nonqualified deferred compensation that does not meet certain requirements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we will not have any obligation to indemnify or otherwise hold any participant harmless from any or all such taxes or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Any future awards granted to eligible participants under the Plan will be subject to the discretion of the Compensation Committee and, therefore, the number of awards that will be granted under the Plan is not determinable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last sales price of our common stock on December 31, 2018 and the Record Date, as reported on the Nasdaq Global Select Market, was $6.71 and $7.51 per share,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Payments</w:t>
      </w:r>
    </w:p>
    <w:p>
      <w:pPr>
        <w:spacing w:after="0" w:line="12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b w:val="1"/>
          <w:bCs w:val="1"/>
          <w:i w:val="1"/>
          <w:iCs w:val="1"/>
          <w:color w:val="auto"/>
        </w:rPr>
        <w:t>Past Award Payments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table sets forth information regarding the number of equity and cash based awards that were made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Plan during 2018, to (i) each of our named executive officers, (ii) all named executive officers as a group, (iii) all directors, who are not executive officers, as a group, and (iv) 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PSUs</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PSUs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Restricted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3"/>
          </w:tcPr>
          <w:p>
            <w:pPr>
              <w:jc w:val="center"/>
              <w:ind w:left="6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(TSR</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(ROIC</w:t>
            </w:r>
          </w:p>
        </w:tc>
        <w:tc>
          <w:tcPr>
            <w:tcW w:w="1140" w:type="dxa"/>
            <w:vAlign w:val="bottom"/>
            <w:gridSpan w:val="3"/>
            <w:vMerge w:val="continue"/>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1940" w:type="dxa"/>
            <w:vAlign w:val="bottom"/>
            <w:gridSpan w:val="2"/>
          </w:tcPr>
          <w:p>
            <w:pPr>
              <w:jc w:val="center"/>
              <w:ind w:left="948"/>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Stock</w:t>
            </w: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30,549</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30,549</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30,549</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Mr. Burwell</w:t>
            </w:r>
            <w:r>
              <w:rPr>
                <w:rFonts w:ascii="Arial" w:cs="Arial" w:eastAsia="Arial" w:hAnsi="Arial"/>
                <w:sz w:val="15"/>
                <w:szCs w:val="15"/>
                <w:color w:val="auto"/>
              </w:rPr>
              <w:t>(1)</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4,081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4,081</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0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43,940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43,940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43,940</w:t>
            </w:r>
          </w:p>
        </w:tc>
        <w:tc>
          <w:tcPr>
            <w:tcW w:w="26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executive officers, as a group</w:t>
            </w:r>
          </w:p>
        </w:tc>
        <w:tc>
          <w:tcPr>
            <w:tcW w:w="1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0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10,702</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18,138</w:t>
            </w:r>
          </w:p>
        </w:tc>
        <w:tc>
          <w:tcPr>
            <w:tcW w:w="26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57,800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520" w:hanging="436"/>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4" w:right="419" w:bottom="1440" w:gutter="0" w:footer="0" w:header="0"/>
        </w:sectPr>
      </w:pPr>
    </w:p>
    <w:bookmarkStart w:id="30" w:name="page31"/>
    <w:bookmarkEnd w:id="30"/>
    <w:p>
      <w:pPr>
        <w:ind w:right="440" w:firstLine="441"/>
        <w:spacing w:after="0" w:line="273"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Award Grants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granting of equity-based awards under the Plan is at the discretion of the Compensation Committee.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not yet determined any additional awards that will be granted under the Plan to the persons and groups of persons identified in the preceding table. See “Executive Compensation — Grant of Plan Based Awards” for information regarding the restricted stock and performance stock units granted in 2018 to our named executive officers. See “Compensation Discussion and Analysis — Non-Equity Incentive Compensation,” “Compensation Discussion and Analysis — Long Term Incentive Compensation” and “Executive Compensation — Summary Compensation Table” for information regarding our recent practices with respect to awards under the Prior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V: ADVISORY (NON-BINDING) VOTE TO APPROVE THE COMPENSATION OF OUR NAMED EXECUTIVE OFFICERS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95" w:lineRule="exact"/>
        <w:rPr>
          <w:sz w:val="20"/>
          <w:szCs w:val="20"/>
          <w:color w:val="auto"/>
        </w:rPr>
      </w:pPr>
    </w:p>
    <w:p>
      <w:pPr>
        <w:ind w:left="860" w:hanging="316"/>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providing compensation packages that are competitive with the compensation arrangements offered by comparable companies;</w:t>
      </w:r>
    </w:p>
    <w:p>
      <w:pPr>
        <w:spacing w:after="0" w:line="142" w:lineRule="exact"/>
        <w:rPr>
          <w:rFonts w:ascii="Arial" w:cs="Arial" w:eastAsia="Arial" w:hAnsi="Arial"/>
          <w:sz w:val="17"/>
          <w:szCs w:val="17"/>
          <w:color w:val="auto"/>
        </w:rPr>
      </w:pPr>
    </w:p>
    <w:p>
      <w:pPr>
        <w:ind w:left="860" w:right="120" w:hanging="316"/>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attainment of specific financial performance goals and the individual’s performance; and</w:t>
      </w:r>
    </w:p>
    <w:p>
      <w:pPr>
        <w:spacing w:after="0" w:line="75" w:lineRule="exact"/>
        <w:rPr>
          <w:rFonts w:ascii="Arial" w:cs="Arial" w:eastAsia="Arial" w:hAnsi="Arial"/>
          <w:sz w:val="18"/>
          <w:szCs w:val="18"/>
          <w:color w:val="auto"/>
        </w:rPr>
      </w:pPr>
    </w:p>
    <w:p>
      <w:pPr>
        <w:ind w:left="860" w:right="580" w:hanging="316"/>
        <w:spacing w:after="0" w:line="342"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2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Stockholders are urged to read the “Compensation Discussion and Analysis” beginning on page 26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37 through 42,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our recent and long-term success.</w:t>
      </w:r>
    </w:p>
    <w:p>
      <w:pPr>
        <w:spacing w:after="0" w:line="178"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ind w:left="880" w:right="220"/>
        <w:spacing w:after="0" w:line="312" w:lineRule="auto"/>
        <w:rPr>
          <w:sz w:val="20"/>
          <w:szCs w:val="20"/>
          <w:color w:val="auto"/>
        </w:rPr>
      </w:pPr>
      <w:r>
        <w:rPr>
          <w:rFonts w:ascii="Arial" w:cs="Arial" w:eastAsia="Arial" w:hAnsi="Arial"/>
          <w:sz w:val="16"/>
          <w:szCs w:val="16"/>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2019 Annual Meeting of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76" w:lineRule="exact"/>
        <w:rPr>
          <w:sz w:val="20"/>
          <w:szCs w:val="20"/>
          <w:color w:val="auto"/>
        </w:rPr>
      </w:pPr>
    </w:p>
    <w:p>
      <w:pPr>
        <w:ind w:left="1420" w:hanging="430"/>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1420" w:right="400" w:hanging="430"/>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tying a significant portion of an executive officer’s compensation to the Company’s and the individual’s performance; and</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aligning the interests of management with the interests of our stockholders through stock-based compensation arrangements.</w:t>
      </w:r>
    </w:p>
    <w:p>
      <w:pPr>
        <w:spacing w:after="0" w:line="23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2018, our named executive officers received a compensation package that consisted of an annual base salary, annual incentive award opportunities and long-term equity incentive award opportunities. The components of our compensation that are tied to performance align the interests of our named executive officers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88"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We believe our executive compensation program incorporates market best practices, creates long-term stockholder value and increases management accountability via:</w:t>
      </w:r>
    </w:p>
    <w:p>
      <w:pPr>
        <w:spacing w:after="0" w:line="76" w:lineRule="exact"/>
        <w:rPr>
          <w:sz w:val="20"/>
          <w:szCs w:val="20"/>
          <w:color w:val="auto"/>
        </w:rPr>
      </w:pPr>
    </w:p>
    <w:p>
      <w:pPr>
        <w:ind w:left="1420" w:right="140" w:hanging="430"/>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PSUs that vest based on our return on invested capital (ROIC) over a three-year performance period; and</w:t>
      </w:r>
    </w:p>
    <w:p>
      <w:pPr>
        <w:spacing w:after="0" w:line="130" w:lineRule="exact"/>
        <w:rPr>
          <w:rFonts w:ascii="Arial" w:cs="Arial" w:eastAsia="Arial" w:hAnsi="Arial"/>
          <w:sz w:val="18"/>
          <w:szCs w:val="18"/>
          <w:color w:val="auto"/>
        </w:rPr>
      </w:pPr>
    </w:p>
    <w:p>
      <w:pPr>
        <w:jc w:val="both"/>
        <w:ind w:left="1420" w:right="300" w:hanging="430"/>
        <w:spacing w:after="0" w:line="264"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metrics intended to hold our executive officers accountable for the Company’s financial performance. In 2018, the short-term incentive performance metrics established by the Compensation Committee related to net sales, adjusted earnings per share and free cash flow generation.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2018 Pay for Performance Summary</w:t>
      </w:r>
    </w:p>
    <w:p>
      <w:pPr>
        <w:spacing w:after="0" w:line="11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At the start of 2018, and in light of outstanding Company financial performance in 2017 and a record high market capitalization in excess of $760 million, the Compensation Committee focused on retaining the high performing, in-demand senior management team, as well as attracting additional talent to the organization. Relatedly, the Board determined to relocate the corporate headquarters from Johnson City, Tennessee to Charlotte, North Carolina to enhance our executive recruitment opportunities and strengthen our customer, stockholder and supplier relationships. Our Chief Executive Officer and certain of the named executive officers received meaningful pay increases, which reflected new roles, increased responsibilities and further alignment with market pay practices. In order to minimize the financial hardships related to our corporate relocation, including moving to North Carolina which has a substantially higher state income tax, our Chief Executive Officer and the impacted named executive officers were provided additional, one-time compensation. This one-time compensation included a make whole payment related to the difference in real estate values in Charlotte and Johnson City, reimbursement for real estate closing and related costs, tax assistance, reimbursement of certain moving expenses and a general moving expense allowance. This one-time compensation did not include any home loss buyouts.</w:t>
      </w:r>
    </w:p>
    <w:p>
      <w:pPr>
        <w:spacing w:after="0" w:line="169"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2018 proved to be a challenging year for the Company, and our ultimate financial performance failed to meet expectations. As more fully described below, the performance metrics established for our executive incentive bonus program and for our 2016 TSR and ROIC performance stock units were not met resulting in no payout to our Chief Executive Officer or to any of the named executive officers. In addition, for 2018, the Compensation Committee did not award any discretionary bonuses to the Chief Executive Officer or to any our named executive officers and determined not to increase the Chief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32" w:name="page33"/>
    <w:bookmarkEnd w:id="3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salary for 2019. Furthermore, and as a result of engagement with our stockholders regarding our long term incentive compensation program, the Compensation Committee modified the calculation of return on invested capital with respect to ROIC performance stock units granted in 2019 to include a capital charge for the goodwill acquired in acquisitions. We believe our executive compensation programs are acting as intended, that is to properly incentivize and compensate our executive officers when our financial objectives are met and to hold our executive officers accountable when they are not.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highlights practices that the Company embraces in support of our pay-for-performance philosophy: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What We Do</w:t>
      </w:r>
    </w:p>
    <w:p>
      <w:pPr>
        <w:spacing w:after="0" w:line="131" w:lineRule="exact"/>
        <w:rPr>
          <w:sz w:val="20"/>
          <w:szCs w:val="20"/>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 meaningful vesting periods on equity awards;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Set maximum payout limits on all variable, performance-based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Utilize an independent compensation consultant;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employment/separation agreements;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executive stock ownership guidelines; and</w:t>
      </w:r>
    </w:p>
    <w:p>
      <w:pPr>
        <w:spacing w:after="0" w:line="130" w:lineRule="exact"/>
        <w:rPr>
          <w:rFonts w:ascii="Arial" w:cs="Arial" w:eastAsia="Arial" w:hAnsi="Arial"/>
          <w:sz w:val="18"/>
          <w:szCs w:val="18"/>
          <w:color w:val="auto"/>
        </w:rPr>
      </w:pPr>
    </w:p>
    <w:p>
      <w:pPr>
        <w:ind w:left="1420" w:right="160" w:hanging="430"/>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an incentive compensation recoupment (clawback) policy applicable to all equity awards granted under our compensation plans.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What We Don’t Do</w:t>
      </w:r>
    </w:p>
    <w:p>
      <w:pPr>
        <w:spacing w:after="0" w:line="131" w:lineRule="exact"/>
        <w:rPr>
          <w:sz w:val="20"/>
          <w:szCs w:val="20"/>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Grant multi-year guaranteed bonuses;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hedging, pledging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section we discuss and analyze the compensation provided to each of our “named executive officers” for 2018, who were: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14"/>
                <w:szCs w:val="14"/>
                <w:color w:val="auto"/>
              </w:rPr>
            </w:pPr>
          </w:p>
        </w:tc>
        <w:tc>
          <w:tcPr>
            <w:tcW w:w="528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194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 xml:space="preserve">Thomas C. Burwell, Jr. </w:t>
            </w:r>
            <w:r>
              <w:rPr>
                <w:rFonts w:ascii="Arial" w:cs="Arial" w:eastAsia="Arial" w:hAnsi="Arial"/>
                <w:sz w:val="15"/>
                <w:szCs w:val="15"/>
                <w:color w:val="auto"/>
              </w:rPr>
              <w:t>(1)</w:t>
            </w:r>
          </w:p>
        </w:tc>
        <w:tc>
          <w:tcPr>
            <w:tcW w:w="7220" w:type="dxa"/>
            <w:vAlign w:val="bottom"/>
            <w:gridSpan w:val="2"/>
          </w:tcPr>
          <w:p>
            <w:pPr>
              <w:ind w:left="19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72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Executive Vice President — Life Sciences</w:t>
            </w: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 Gail Nixon</w:t>
            </w:r>
          </w:p>
        </w:tc>
        <w:tc>
          <w:tcPr>
            <w:tcW w:w="7220" w:type="dxa"/>
            <w:vAlign w:val="bottom"/>
            <w:gridSpan w:val="2"/>
          </w:tcPr>
          <w:p>
            <w:pPr>
              <w:ind w:left="19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Veltman</w:t>
            </w:r>
          </w:p>
        </w:tc>
        <w:tc>
          <w:tcPr>
            <w:tcW w:w="72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Executive Vice President — Mobile Solutions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20" w:hanging="436"/>
        <w:spacing w:after="0" w:line="27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440" w:top="274"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121" w:lineRule="exact"/>
        <w:rPr>
          <w:sz w:val="20"/>
          <w:szCs w:val="20"/>
          <w:color w:val="auto"/>
        </w:rPr>
      </w:pPr>
    </w:p>
    <w:p>
      <w:pPr>
        <w:ind w:right="400" w:firstLine="441"/>
        <w:spacing w:after="0" w:line="312" w:lineRule="auto"/>
        <w:rPr>
          <w:sz w:val="20"/>
          <w:szCs w:val="20"/>
          <w:color w:val="auto"/>
        </w:rPr>
      </w:pPr>
      <w:r>
        <w:rPr>
          <w:rFonts w:ascii="Arial" w:cs="Arial" w:eastAsia="Arial" w:hAnsi="Arial"/>
          <w:sz w:val="16"/>
          <w:szCs w:val="16"/>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52" w:lineRule="exact"/>
        <w:rPr>
          <w:sz w:val="20"/>
          <w:szCs w:val="20"/>
          <w:color w:val="auto"/>
        </w:rPr>
      </w:pPr>
    </w:p>
    <w:p>
      <w:pPr>
        <w:ind w:left="1420" w:hanging="430"/>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reviews, approves and administers all of our executive compensation programs;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establishes the performance objectives under our executive incentive compensation and long-term equity compensation programs;</w:t>
      </w:r>
    </w:p>
    <w:p>
      <w:pPr>
        <w:spacing w:after="0" w:line="153" w:lineRule="exact"/>
        <w:rPr>
          <w:rFonts w:ascii="Arial" w:cs="Arial" w:eastAsia="Arial" w:hAnsi="Arial"/>
          <w:sz w:val="16"/>
          <w:szCs w:val="16"/>
          <w:color w:val="auto"/>
        </w:rPr>
      </w:pPr>
    </w:p>
    <w:p>
      <w:pPr>
        <w:ind w:left="1420" w:hanging="430"/>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determines the attainment of those performance objectives and the awards to be made under our compensation programs;</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evaluates the performance of our chief executive officer and our other named executive officers;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reviews succession planning for our executives, including the position of the chief executive officer;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reviews proposed organization or responsibility changes at the senior executive level.</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93"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In fiscal 2018, Willis Towers Watson provided services to us in the areas of executive compensation, benefits and corporate risk and broking consulting services. During fiscal 2018, we paid Willis Towers Watson the following amounts for such services:</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Executive Compensation Consulting Fees. Fees for executive compensation consulting services totaled approximately $125,000, including fees associated with services provided to management and the Compensation Committee.</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Other Consulting Fees. Fees for other consulting services totaled approximately $955,000 related to the NN, Inc. Health and Welfare Benefit Plan and Voluntary benefit offerings and Global Property, Casualty and Management Liability Insurance programs.</w:t>
      </w:r>
    </w:p>
    <w:p>
      <w:pPr>
        <w:spacing w:after="0" w:line="170" w:lineRule="exact"/>
        <w:rPr>
          <w:sz w:val="20"/>
          <w:szCs w:val="20"/>
          <w:color w:val="auto"/>
        </w:rPr>
      </w:pPr>
    </w:p>
    <w:p>
      <w:pPr>
        <w:jc w:val="both"/>
        <w:ind w:right="340" w:firstLine="441"/>
        <w:spacing w:after="0" w:line="279" w:lineRule="auto"/>
        <w:rPr>
          <w:sz w:val="20"/>
          <w:szCs w:val="20"/>
          <w:color w:val="auto"/>
        </w:rPr>
      </w:pPr>
      <w:r>
        <w:rPr>
          <w:rFonts w:ascii="Arial" w:cs="Arial" w:eastAsia="Arial" w:hAnsi="Arial"/>
          <w:sz w:val="17"/>
          <w:szCs w:val="17"/>
          <w:color w:val="auto"/>
        </w:rPr>
        <w:t>The Compensation Committee engaged Willis Towers Watson to perform a competitive review of the Company’s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Company’s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7"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Compensation Analysis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peer group consists of the companies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Actuant Corporation</w:t>
            </w:r>
          </w:p>
        </w:tc>
        <w:tc>
          <w:tcPr>
            <w:tcW w:w="4080" w:type="dxa"/>
            <w:vAlign w:val="bottom"/>
          </w:tcPr>
          <w:p>
            <w:pPr>
              <w:ind w:left="920"/>
              <w:spacing w:after="0"/>
              <w:rPr>
                <w:sz w:val="20"/>
                <w:szCs w:val="20"/>
                <w:color w:val="auto"/>
              </w:rPr>
            </w:pPr>
            <w:r>
              <w:rPr>
                <w:rFonts w:ascii="Arial" w:cs="Arial" w:eastAsia="Arial" w:hAnsi="Arial"/>
                <w:sz w:val="18"/>
                <w:szCs w:val="18"/>
                <w:color w:val="auto"/>
              </w:rPr>
              <w:t>Crane Co.</w:t>
            </w:r>
          </w:p>
        </w:tc>
        <w:tc>
          <w:tcPr>
            <w:tcW w:w="1920" w:type="dxa"/>
            <w:vAlign w:val="bottom"/>
          </w:tcPr>
          <w:p>
            <w:pPr>
              <w:ind w:left="480"/>
              <w:spacing w:after="0"/>
              <w:rPr>
                <w:sz w:val="20"/>
                <w:szCs w:val="20"/>
                <w:color w:val="auto"/>
              </w:rPr>
            </w:pPr>
            <w:r>
              <w:rPr>
                <w:rFonts w:ascii="Arial" w:cs="Arial" w:eastAsia="Arial" w:hAnsi="Arial"/>
                <w:sz w:val="18"/>
                <w:szCs w:val="18"/>
                <w:color w:val="auto"/>
                <w:w w:val="90"/>
              </w:rPr>
              <w:t>Kaman Corporation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4080" w:type="dxa"/>
            <w:vAlign w:val="bottom"/>
          </w:tcPr>
          <w:p>
            <w:pPr>
              <w:ind w:left="920"/>
              <w:spacing w:after="0"/>
              <w:rPr>
                <w:sz w:val="20"/>
                <w:szCs w:val="20"/>
                <w:color w:val="auto"/>
              </w:rPr>
            </w:pPr>
            <w:r>
              <w:rPr>
                <w:rFonts w:ascii="Arial" w:cs="Arial" w:eastAsia="Arial" w:hAnsi="Arial"/>
                <w:sz w:val="18"/>
                <w:szCs w:val="18"/>
                <w:color w:val="auto"/>
              </w:rPr>
              <w:t>EnPro Industries, Inc.</w:t>
            </w:r>
          </w:p>
        </w:tc>
        <w:tc>
          <w:tcPr>
            <w:tcW w:w="1920" w:type="dxa"/>
            <w:vAlign w:val="bottom"/>
          </w:tcPr>
          <w:p>
            <w:pPr>
              <w:ind w:left="480"/>
              <w:spacing w:after="0"/>
              <w:rPr>
                <w:sz w:val="20"/>
                <w:szCs w:val="20"/>
                <w:color w:val="auto"/>
              </w:rPr>
            </w:pPr>
            <w:r>
              <w:rPr>
                <w:rFonts w:ascii="Arial" w:cs="Arial" w:eastAsia="Arial" w:hAnsi="Arial"/>
                <w:sz w:val="18"/>
                <w:szCs w:val="18"/>
                <w:color w:val="auto"/>
              </w:rPr>
              <w:t>Lydall,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4080" w:type="dxa"/>
            <w:vAlign w:val="bottom"/>
          </w:tcPr>
          <w:p>
            <w:pPr>
              <w:ind w:left="920"/>
              <w:spacing w:after="0"/>
              <w:rPr>
                <w:sz w:val="20"/>
                <w:szCs w:val="20"/>
                <w:color w:val="auto"/>
              </w:rPr>
            </w:pPr>
            <w:r>
              <w:rPr>
                <w:rFonts w:ascii="Arial" w:cs="Arial" w:eastAsia="Arial" w:hAnsi="Arial"/>
                <w:sz w:val="18"/>
                <w:szCs w:val="18"/>
                <w:color w:val="auto"/>
              </w:rPr>
              <w:t>ESCO Technologies, Inc.</w:t>
            </w:r>
          </w:p>
        </w:tc>
        <w:tc>
          <w:tcPr>
            <w:tcW w:w="1920" w:type="dxa"/>
            <w:vAlign w:val="bottom"/>
          </w:tcPr>
          <w:p>
            <w:pPr>
              <w:ind w:left="480"/>
              <w:spacing w:after="0"/>
              <w:rPr>
                <w:sz w:val="20"/>
                <w:szCs w:val="20"/>
                <w:color w:val="auto"/>
              </w:rPr>
            </w:pPr>
            <w:r>
              <w:rPr>
                <w:rFonts w:ascii="Arial" w:cs="Arial" w:eastAsia="Arial" w:hAnsi="Arial"/>
                <w:sz w:val="18"/>
                <w:szCs w:val="18"/>
                <w:color w:val="auto"/>
                <w:w w:val="95"/>
              </w:rPr>
              <w:t>RBC Bearings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Barnes Group, Inc.</w:t>
            </w:r>
          </w:p>
        </w:tc>
        <w:tc>
          <w:tcPr>
            <w:tcW w:w="4080" w:type="dxa"/>
            <w:vAlign w:val="bottom"/>
          </w:tcPr>
          <w:p>
            <w:pPr>
              <w:ind w:left="920"/>
              <w:spacing w:after="0"/>
              <w:rPr>
                <w:sz w:val="20"/>
                <w:szCs w:val="20"/>
                <w:color w:val="auto"/>
              </w:rPr>
            </w:pPr>
            <w:r>
              <w:rPr>
                <w:rFonts w:ascii="Arial" w:cs="Arial" w:eastAsia="Arial" w:hAnsi="Arial"/>
                <w:sz w:val="18"/>
                <w:szCs w:val="18"/>
                <w:color w:val="auto"/>
              </w:rPr>
              <w:t>HEICO Corporation</w:t>
            </w:r>
          </w:p>
        </w:tc>
        <w:tc>
          <w:tcPr>
            <w:tcW w:w="1920" w:type="dxa"/>
            <w:vAlign w:val="bottom"/>
          </w:tcPr>
          <w:p>
            <w:pPr>
              <w:ind w:left="480"/>
              <w:spacing w:after="0"/>
              <w:rPr>
                <w:sz w:val="20"/>
                <w:szCs w:val="20"/>
                <w:color w:val="auto"/>
              </w:rPr>
            </w:pPr>
            <w:r>
              <w:rPr>
                <w:rFonts w:ascii="Arial" w:cs="Arial" w:eastAsia="Arial" w:hAnsi="Arial"/>
                <w:sz w:val="18"/>
                <w:szCs w:val="18"/>
                <w:color w:val="auto"/>
              </w:rPr>
              <w:t>SPX Corporation</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4080" w:type="dxa"/>
            <w:vAlign w:val="bottom"/>
          </w:tcPr>
          <w:p>
            <w:pPr>
              <w:ind w:left="920"/>
              <w:spacing w:after="0"/>
              <w:rPr>
                <w:sz w:val="20"/>
                <w:szCs w:val="20"/>
                <w:color w:val="auto"/>
              </w:rPr>
            </w:pPr>
            <w:r>
              <w:rPr>
                <w:rFonts w:ascii="Arial" w:cs="Arial" w:eastAsia="Arial" w:hAnsi="Arial"/>
                <w:sz w:val="18"/>
                <w:szCs w:val="18"/>
                <w:color w:val="auto"/>
              </w:rPr>
              <w:t>John Bean Technologies Corporation</w:t>
            </w:r>
          </w:p>
        </w:tc>
        <w:tc>
          <w:tcPr>
            <w:tcW w:w="1920" w:type="dxa"/>
            <w:vAlign w:val="bottom"/>
          </w:tcPr>
          <w:p>
            <w:pPr>
              <w:ind w:left="480"/>
              <w:spacing w:after="0"/>
              <w:rPr>
                <w:sz w:val="20"/>
                <w:szCs w:val="20"/>
                <w:color w:val="auto"/>
              </w:rPr>
            </w:pPr>
            <w:r>
              <w:rPr>
                <w:rFonts w:ascii="Arial" w:cs="Arial" w:eastAsia="Arial" w:hAnsi="Arial"/>
                <w:sz w:val="18"/>
                <w:szCs w:val="18"/>
                <w:color w:val="auto"/>
                <w:w w:val="92"/>
              </w:rPr>
              <w:t>TriMas Corporation</w:t>
            </w:r>
          </w:p>
        </w:tc>
      </w:tr>
    </w:tbl>
    <w:p>
      <w:pPr>
        <w:spacing w:after="0" w:line="202"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The Compensation Committee selected companies for inclusion in this peer group based on (i) the extent to which they compete with us in one or more lines of business, for executive talent and for investors, and (ii) selected financial measures such as comparability of revenues.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40" w:top="274" w:right="5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2018 Achievements and Value Creation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Reorganized Business Groups to Focus on Key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Life Sciences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Continued Investment to Accelerate Growth in Aerospace and Defense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Capital Structure &amp; Enhanced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Efficient Capital Spending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 Relocation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We implemented a new enterprise and management structure designed to accelerate growth in our key end markets. We reorganized our business groups into Life Sciences (medical), Power Solutions (aerospace and defense and electrical) and Mobile Solutions (general industrial and 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-1080135</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4" w:lineRule="exact"/>
        <w:rPr>
          <w:sz w:val="20"/>
          <w:szCs w:val="20"/>
          <w:color w:val="auto"/>
        </w:rPr>
      </w:pPr>
    </w:p>
    <w:p>
      <w:pPr>
        <w:ind w:left="440" w:right="260"/>
        <w:spacing w:after="0" w:line="264" w:lineRule="auto"/>
        <w:rPr>
          <w:sz w:val="20"/>
          <w:szCs w:val="20"/>
          <w:color w:val="auto"/>
        </w:rPr>
      </w:pPr>
      <w:r>
        <w:rPr>
          <w:rFonts w:ascii="Arial" w:cs="Arial" w:eastAsia="Arial" w:hAnsi="Arial"/>
          <w:sz w:val="18"/>
          <w:szCs w:val="18"/>
          <w:color w:val="auto"/>
        </w:rPr>
        <w:t>We believe our new business groups will allow us to further balance our portfolio and enhance alignment of our strategic assets and businesses.</w:t>
      </w:r>
    </w:p>
    <w:p>
      <w:pPr>
        <w:spacing w:after="0" w:line="87"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We made two important life sciences acquisitions that have provided significant growth in our medical end market.</w:t>
      </w:r>
    </w:p>
    <w:p>
      <w:pPr>
        <w:spacing w:after="0" w:line="76"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We acquired Bridgemedica, LLC, a medical device company that provides concept through commercialization solutions through design, development engineering and manufacturing. We also acquired Paragon Medical, Inc., a medical device company focused on the orthopedic, case and tray, implant and instrumentation markets.</w:t>
      </w:r>
    </w:p>
    <w:p>
      <w:pPr>
        <w:spacing w:after="0" w:line="64"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In 2018, our revenue in life sciences grew by 152%, or approximately $150 million dollars.</w:t>
      </w:r>
    </w:p>
    <w:p>
      <w:pPr>
        <w:spacing w:after="0" w:line="76" w:lineRule="exact"/>
        <w:rPr>
          <w:sz w:val="20"/>
          <w:szCs w:val="20"/>
          <w:color w:val="auto"/>
        </w:rPr>
      </w:pPr>
    </w:p>
    <w:p>
      <w:pPr>
        <w:ind w:left="440" w:right="80"/>
        <w:spacing w:after="0" w:line="286" w:lineRule="auto"/>
        <w:rPr>
          <w:sz w:val="20"/>
          <w:szCs w:val="20"/>
          <w:color w:val="auto"/>
        </w:rPr>
      </w:pPr>
      <w:r>
        <w:rPr>
          <w:rFonts w:ascii="Arial" w:cs="Arial" w:eastAsia="Arial" w:hAnsi="Arial"/>
          <w:sz w:val="17"/>
          <w:szCs w:val="17"/>
          <w:color w:val="auto"/>
        </w:rPr>
        <w:t>We acquired a business and began the buildout of a 78,000 square foot facility located in Southern California to better service the numerous aerospace and defense customers in that region.</w:t>
      </w:r>
    </w:p>
    <w:p>
      <w:pPr>
        <w:spacing w:after="0" w:line="7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We designed a brand new 100,000 square foot manufacturing facility in Taunton Massachusetts. We expect both facilities to be in full production by the second half of 2019.</w:t>
      </w:r>
    </w:p>
    <w:p>
      <w:pPr>
        <w:spacing w:after="0" w:line="87"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We raised $217 million through the sale of equity and repaid in full our Second Lien credit facility that was accruing interest at 10.3% annually.</w:t>
      </w:r>
    </w:p>
    <w:p>
      <w:pPr>
        <w:spacing w:after="0" w:line="8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We enhanced our access to capital by increasing the amount available under our revolving credit agreement by $25 million.</w:t>
      </w:r>
    </w:p>
    <w:p>
      <w:pPr>
        <w:spacing w:after="0" w:line="76"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We continued to deploy our capital in 2018 to make efficient, growth-oriented investments in our businesses.</w:t>
      </w:r>
    </w:p>
    <w:p>
      <w:pPr>
        <w:spacing w:after="0" w:line="62" w:lineRule="exact"/>
        <w:rPr>
          <w:sz w:val="20"/>
          <w:szCs w:val="20"/>
          <w:color w:val="auto"/>
        </w:rPr>
      </w:pPr>
    </w:p>
    <w:p>
      <w:pPr>
        <w:jc w:val="both"/>
        <w:ind w:left="440" w:right="180"/>
        <w:spacing w:after="0" w:line="264" w:lineRule="auto"/>
        <w:rPr>
          <w:sz w:val="20"/>
          <w:szCs w:val="20"/>
          <w:color w:val="auto"/>
        </w:rPr>
      </w:pPr>
      <w:r>
        <w:rPr>
          <w:rFonts w:ascii="Arial" w:cs="Arial" w:eastAsia="Arial" w:hAnsi="Arial"/>
          <w:sz w:val="18"/>
          <w:szCs w:val="18"/>
          <w:color w:val="auto"/>
        </w:rPr>
        <w:t>We relocated our corporate headquarters to Charlotte, North Carolina to facilitate customer, supplier and investor visits, as well as enhance our executive recruitment opportunities.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080" w:space="340"/>
            <w:col w:w="5600"/>
          </w:cols>
          <w:pgMar w:left="440" w:top="270"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Pay and Why: Elements of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three elements of total direct compensation: base salary, annual incentive compensation and long-term equity incentive compensation.</w:t>
      </w:r>
    </w:p>
    <w:p>
      <w:pPr>
        <w:spacing w:after="0" w:line="248"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pay base salaries to attract talented executives and to provide a fixed base of cash compensation. The salary levels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Based on compensation studies prepared by Willis Towers Watson, the Compensation Committee approved increases to the base salaries for our named executive officers. In light of outstanding Company financial performance in 2017 and a record high market capitalization in excess of $760 million, the Compensation Committee focused on retaining the high performing, in-demand senior management team. Base salary increases were implemented for retention purposes, to bring base salaries for certain of the named executive officers in line with market and to offset the cost of living impact of relocating our corporate headquarters to Charlotte, North Carolina.</w:t>
      </w:r>
    </w:p>
    <w:p>
      <w:pPr>
        <w:spacing w:after="0" w:line="166"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The following table indicates the base salaries for 2017 and 2018, and the percentage increase from the prior year for our named executive officers: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2017 Base</w:t>
            </w:r>
          </w:p>
        </w:tc>
        <w:tc>
          <w:tcPr>
            <w:tcW w:w="46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2018 Base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Salary</w:t>
            </w:r>
          </w:p>
        </w:tc>
        <w:tc>
          <w:tcPr>
            <w:tcW w:w="460" w:type="dxa"/>
            <w:vAlign w:val="bottom"/>
          </w:tcPr>
          <w:p>
            <w:pPr>
              <w:spacing w:after="0"/>
              <w:rPr>
                <w:sz w:val="13"/>
                <w:szCs w:val="13"/>
                <w:color w:val="auto"/>
              </w:rPr>
            </w:pPr>
          </w:p>
        </w:tc>
        <w:tc>
          <w:tcPr>
            <w:tcW w:w="11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7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25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$720,000</w:t>
            </w:r>
          </w:p>
        </w:tc>
        <w:tc>
          <w:tcPr>
            <w:tcW w:w="4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$972,000</w:t>
            </w:r>
          </w:p>
        </w:tc>
        <w:tc>
          <w:tcPr>
            <w:tcW w:w="4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Mr. Burwell</w:t>
            </w:r>
            <w:r>
              <w:rPr>
                <w:rFonts w:ascii="Arial" w:cs="Arial" w:eastAsia="Arial" w:hAnsi="Arial"/>
                <w:sz w:val="15"/>
                <w:szCs w:val="15"/>
                <w:color w:val="auto"/>
              </w:rPr>
              <w:t>(2)</w:t>
            </w:r>
          </w:p>
        </w:tc>
        <w:tc>
          <w:tcPr>
            <w:tcW w:w="3260" w:type="dxa"/>
            <w:vAlign w:val="bottom"/>
            <w:gridSpan w:val="2"/>
          </w:tcPr>
          <w:p>
            <w:pPr>
              <w:jc w:val="center"/>
              <w:ind w:left="2490"/>
              <w:spacing w:after="0"/>
              <w:rPr>
                <w:sz w:val="20"/>
                <w:szCs w:val="20"/>
                <w:color w:val="auto"/>
              </w:rPr>
            </w:pPr>
            <w:r>
              <w:rPr>
                <w:rFonts w:ascii="Arial" w:cs="Arial" w:eastAsia="Arial" w:hAnsi="Arial"/>
                <w:sz w:val="18"/>
                <w:szCs w:val="18"/>
                <w:color w:val="auto"/>
                <w:w w:val="90"/>
              </w:rPr>
              <w:t>$292,000</w:t>
            </w:r>
          </w:p>
        </w:tc>
        <w:tc>
          <w:tcPr>
            <w:tcW w:w="16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$382,880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2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0"/>
              </w:rPr>
              <w:t>$200,000</w:t>
            </w:r>
          </w:p>
        </w:tc>
        <w:tc>
          <w:tcPr>
            <w:tcW w:w="1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$280,000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260" w:type="dxa"/>
            <w:vAlign w:val="bottom"/>
            <w:gridSpan w:val="2"/>
          </w:tcPr>
          <w:p>
            <w:pPr>
              <w:jc w:val="center"/>
              <w:ind w:left="2490"/>
              <w:spacing w:after="0"/>
              <w:rPr>
                <w:sz w:val="20"/>
                <w:szCs w:val="20"/>
                <w:color w:val="auto"/>
              </w:rPr>
            </w:pPr>
            <w:r>
              <w:rPr>
                <w:rFonts w:ascii="Arial" w:cs="Arial" w:eastAsia="Arial" w:hAnsi="Arial"/>
                <w:sz w:val="18"/>
                <w:szCs w:val="18"/>
                <w:color w:val="auto"/>
                <w:w w:val="90"/>
              </w:rPr>
              <w:t>$237,800</w:t>
            </w:r>
          </w:p>
        </w:tc>
        <w:tc>
          <w:tcPr>
            <w:tcW w:w="16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$268,710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2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0"/>
              </w:rPr>
              <w:t>$345,700</w:t>
            </w:r>
          </w:p>
        </w:tc>
        <w:tc>
          <w:tcPr>
            <w:tcW w:w="16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3"/>
              </w:rPr>
              <w:t>$359,530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40" w:hanging="436"/>
        <w:spacing w:after="0" w:line="258"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cost of living adjustments for Messrs. Holder, Burwell and Atkinson and Ms. Nixon made in connection with the relocation of our corporate headquarters to Charlotte, North Carolina of $72,000, $29,200, $20,000 and $23,780, respectively.</w:t>
      </w:r>
    </w:p>
    <w:p>
      <w:pPr>
        <w:spacing w:after="0" w:line="1" w:lineRule="exact"/>
        <w:rPr>
          <w:rFonts w:ascii="Arial" w:cs="Arial" w:eastAsia="Arial" w:hAnsi="Arial"/>
          <w:sz w:val="18"/>
          <w:szCs w:val="18"/>
          <w:color w:val="auto"/>
        </w:rPr>
      </w:pPr>
    </w:p>
    <w:p>
      <w:pPr>
        <w:ind w:left="440" w:right="480" w:hanging="436"/>
        <w:spacing w:after="0" w:line="261"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8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b w:val="1"/>
          <w:bCs w:val="1"/>
          <w:i w:val="1"/>
          <w:iCs w:val="1"/>
          <w:color w:val="auto"/>
        </w:rPr>
        <w:t>Executive Incentive Compensation (EIC)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pay annual incentives to drive the achievement of key business results and to recognize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their contributions to those results. The Compensation Committee believes that this feature of compensation motivates executive officers to strive to attain our annual goals. Each fiscal year, the Compensation Committee establishes objectives for the upcoming fiscal year which are tied to our success in achieving our strategic plan. These objectives are within the following categories:</w:t>
      </w:r>
    </w:p>
    <w:p>
      <w:pPr>
        <w:spacing w:after="0" w:line="73" w:lineRule="exact"/>
        <w:rPr>
          <w:sz w:val="20"/>
          <w:szCs w:val="20"/>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Operational Excellence</w:t>
      </w:r>
      <w:r>
        <w:rPr>
          <w:rFonts w:ascii="Arial" w:cs="Arial" w:eastAsia="Arial" w:hAnsi="Arial"/>
          <w:sz w:val="17"/>
          <w:szCs w:val="17"/>
          <w:color w:val="auto"/>
        </w:rPr>
        <w:t>: Improve workplace safety; maintain and improve product quality; improve on-time delivery of products; and</w:t>
      </w:r>
    </w:p>
    <w:p>
      <w:pPr>
        <w:spacing w:after="0" w:line="142" w:lineRule="exact"/>
        <w:rPr>
          <w:rFonts w:ascii="Arial" w:cs="Arial" w:eastAsia="Arial" w:hAnsi="Arial"/>
          <w:sz w:val="17"/>
          <w:szCs w:val="17"/>
          <w:color w:val="auto"/>
        </w:rPr>
      </w:pPr>
    </w:p>
    <w:p>
      <w:pPr>
        <w:ind w:left="860" w:right="20" w:hanging="316"/>
        <w:spacing w:after="0" w:line="282"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Functional Excellence</w:t>
      </w:r>
      <w:r>
        <w:rPr>
          <w:rFonts w:ascii="Arial" w:cs="Arial" w:eastAsia="Arial" w:hAnsi="Arial"/>
          <w:sz w:val="18"/>
          <w:szCs w:val="18"/>
          <w:color w:val="auto"/>
        </w:rPr>
        <w:t>: Attract and develop talent; remediate previously identified material weaknesses in internal controls; reduce net debt</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successfully source, execute and integrate acquisitions.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2018, the Compensation Committee established that Messrs. Holder and Burwell and Ms. Nixon’s performance would be measured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attainment of the Company Financial Goals (Company adjusted earnings per share, free cash flow generation and net sales). The performance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Atkinson would be measured against attainment of the Life Sciences (LS) Group Financial Goals (LS group adjusted earnings per share, LS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generation and LS group net sales), and the performance of Mr. Veltman would be measured against attainment of the Mobile Solutions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 Group Financial Goals (MS group adjusted earnings per share, MS group free cash flow generation and MS net sales). For all of our named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attainment of their respective Financial Goals was weighted at 75%, and attainment of operational and functional goals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weighted at 25%, in the aggregate. The operational and functional goals related to attaining excellence with respect to safety, product quality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delivery improvements, remediation of previously identified material weaknesses in internal controls, reduction of net debt leverage, improvements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NN Operating System, deployment of a manufacturing enterprise software platform within the business groups, successfully integrating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exceeding new sales targets and successful execution of the Company’s acquisition and divestiture strategy.</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provide our executive officers with targeted executive incentive compensation of 45% to 100% of base salary, as shown in the table below. In 2018, the Compensation Committee established the following targeted award levels for our named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7" w:name="page38"/>
    <w:bookmarkEnd w:id="37"/>
    <w:tbl>
      <w:tblPr>
        <w:tblLayout w:type="fixed"/>
        <w:tblInd w:w="17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980" w:type="dxa"/>
            <w:vAlign w:val="bottom"/>
            <w:gridSpan w:val="3"/>
          </w:tcPr>
          <w:p>
            <w:pPr>
              <w:jc w:val="center"/>
              <w:ind w:left="2254"/>
              <w:spacing w:after="0" w:line="149" w:lineRule="exact"/>
              <w:rPr>
                <w:sz w:val="20"/>
                <w:szCs w:val="20"/>
                <w:color w:val="auto"/>
              </w:rPr>
            </w:pPr>
            <w:r>
              <w:rPr>
                <w:rFonts w:ascii="Arial" w:cs="Arial" w:eastAsia="Arial" w:hAnsi="Arial"/>
                <w:sz w:val="14"/>
                <w:szCs w:val="14"/>
                <w:b w:val="1"/>
                <w:bCs w:val="1"/>
                <w:color w:val="auto"/>
                <w:w w:val="97"/>
              </w:rPr>
              <w:t>Opportunity as a %</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4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5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9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41"/>
        <w:spacing w:after="0" w:line="257" w:lineRule="auto"/>
        <w:rPr>
          <w:sz w:val="20"/>
          <w:szCs w:val="20"/>
          <w:color w:val="auto"/>
        </w:rPr>
      </w:pPr>
      <w:r>
        <w:rPr>
          <w:rFonts w:ascii="Arial" w:cs="Arial" w:eastAsia="Arial" w:hAnsi="Arial"/>
          <w:sz w:val="18"/>
          <w:szCs w:val="18"/>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2018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difficult, yet attainable, to achieve at the time when the goals are set.</w:t>
      </w:r>
    </w:p>
    <w:p>
      <w:pPr>
        <w:spacing w:after="0" w:line="188" w:lineRule="exact"/>
        <w:rPr>
          <w:sz w:val="20"/>
          <w:szCs w:val="20"/>
          <w:color w:val="auto"/>
        </w:rPr>
      </w:pPr>
    </w:p>
    <w:p>
      <w:pPr>
        <w:ind w:right="380" w:firstLine="441"/>
        <w:spacing w:after="0" w:line="302" w:lineRule="auto"/>
        <w:rPr>
          <w:sz w:val="20"/>
          <w:szCs w:val="20"/>
          <w:color w:val="auto"/>
        </w:rPr>
      </w:pPr>
      <w:r>
        <w:rPr>
          <w:rFonts w:ascii="Arial" w:cs="Arial" w:eastAsia="Arial" w:hAnsi="Arial"/>
          <w:sz w:val="16"/>
          <w:szCs w:val="16"/>
          <w:color w:val="auto"/>
        </w:rPr>
        <w:t>In addition, the Compensation Committee established a performance gate for 2018 of Company adjusted earnings per share of $1.24. If the Company did not achieve at least $1.24 adjusted earnings per share for 2018, no payout under this program would be made. For 2018, the specific Company and business group financial goals, weighting of the goals and actual achievement by the Company, the Life Sciences and the Mobile Solutions groups in relation to the performance levels previously set by the Compensation Committee is reflected in the following tables: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Company Performance Levels</w:t>
            </w:r>
          </w:p>
        </w:tc>
        <w:tc>
          <w:tcPr>
            <w:tcW w:w="180" w:type="dxa"/>
            <w:vAlign w:val="bottom"/>
          </w:tcPr>
          <w:p>
            <w:pPr>
              <w:spacing w:after="0"/>
              <w:rPr>
                <w:sz w:val="16"/>
                <w:szCs w:val="16"/>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NN, Inc.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34.30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51.60</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NN, Inc.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LS Group Performance Levels</w:t>
            </w:r>
          </w:p>
        </w:tc>
        <w:tc>
          <w:tcPr>
            <w:tcW w:w="180" w:type="dxa"/>
            <w:vAlign w:val="bottom"/>
          </w:tcPr>
          <w:p>
            <w:pPr>
              <w:spacing w:after="0"/>
              <w:rPr>
                <w:sz w:val="24"/>
                <w:szCs w:val="24"/>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Life Sciences Group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26.40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39.60</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MS Group Performance Levels</w:t>
            </w:r>
          </w:p>
        </w:tc>
        <w:tc>
          <w:tcPr>
            <w:tcW w:w="180" w:type="dxa"/>
            <w:vAlign w:val="bottom"/>
          </w:tcPr>
          <w:p>
            <w:pPr>
              <w:spacing w:after="0"/>
              <w:rPr>
                <w:sz w:val="24"/>
                <w:szCs w:val="24"/>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Mobile Solutions Group Financial Goals</w:t>
            </w:r>
          </w:p>
        </w:tc>
        <w:tc>
          <w:tcPr>
            <w:tcW w:w="100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91"/>
              </w:rPr>
              <w:t>Threshold</w:t>
            </w:r>
          </w:p>
        </w:tc>
        <w:tc>
          <w:tcPr>
            <w:tcW w:w="420" w:type="dxa"/>
            <w:vAlign w:val="bottom"/>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3"/>
              </w:rPr>
              <w:t>by Goal</w:t>
            </w:r>
          </w:p>
        </w:tc>
        <w:tc>
          <w:tcPr>
            <w:tcW w:w="36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50%</w:t>
            </w:r>
          </w:p>
        </w:tc>
        <w:tc>
          <w:tcPr>
            <w:tcW w:w="42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100%</w:t>
            </w: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40%</w:t>
            </w:r>
          </w:p>
        </w:tc>
        <w:tc>
          <w:tcPr>
            <w:tcW w:w="5680" w:type="dxa"/>
            <w:vAlign w:val="bottom"/>
            <w:gridSpan w:val="2"/>
          </w:tcPr>
          <w:p>
            <w:pPr>
              <w:ind w:left="36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19.20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28.80</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Company does not attain the threshold performance for Adjusted Earnings per Share, no payout under the program is made.</w:t>
      </w:r>
    </w:p>
    <w:p>
      <w:pPr>
        <w:spacing w:after="0" w:line="23" w:lineRule="exact"/>
        <w:rPr>
          <w:rFonts w:ascii="Arial" w:cs="Arial" w:eastAsia="Arial" w:hAnsi="Arial"/>
          <w:sz w:val="18"/>
          <w:szCs w:val="18"/>
          <w:color w:val="auto"/>
        </w:rPr>
      </w:pPr>
    </w:p>
    <w:p>
      <w:pPr>
        <w:ind w:left="440" w:right="60" w:hanging="436"/>
        <w:spacing w:after="0" w:line="265"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charges related to acquisition and integration costs, amortization of intangibles costs for fair value step-up in values related to acquisitions and amortization of deferred financing costs, and foreign exchange gain (loss) on inter-company loans. We believe this performance measure provides meaningful supplemental information regarding our core operational performance.</w:t>
      </w:r>
    </w:p>
    <w:p>
      <w:pPr>
        <w:spacing w:after="0" w:line="1" w:lineRule="exact"/>
        <w:rPr>
          <w:rFonts w:ascii="Arial" w:cs="Arial" w:eastAsia="Arial" w:hAnsi="Arial"/>
          <w:sz w:val="17"/>
          <w:szCs w:val="17"/>
          <w:color w:val="auto"/>
        </w:rPr>
      </w:pPr>
    </w:p>
    <w:p>
      <w:pPr>
        <w:ind w:left="440" w:right="80" w:hanging="436"/>
        <w:spacing w:after="0" w:line="250"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 Cash Flow represents GAAP net income, adjusted to include income taxes, interest expense, depreciation and amortization, acquisition and integration expenses, non-stock compensation, foreign exchange gain (loss) on intercompany loans, and working capital, and further adjusted to exclude capital expenditures, interest expense, dividends, and income tax expense. We believe this performance measure provides meaningful supplemental information regarding our core operational performance.</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reported in millions of U.S. dollars.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53" w:right="539" w:bottom="1440" w:gutter="0" w:footer="0" w:header="0"/>
        </w:sectPr>
      </w:pPr>
    </w:p>
    <w:bookmarkStart w:id="38" w:name="page39"/>
    <w:bookmarkEnd w:id="3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March 2019, the Compensation Committee met to consider the payment of executive incentive compensation. Because the Company’s adjusted earnings per share was below the threshold amount, no payout under this program was made.</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i w:val="1"/>
          <w:iCs w:val="1"/>
          <w:color w:val="auto"/>
        </w:rPr>
        <w:t>Long-Term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performance-based long-term incentive compensation to certain employees, including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93"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named executive officers receive long-term incentive compensation in the form of shares of restricted stock. Such long-term incentive compensation is equally allocated among TSR Awards, ROIC Awards and restricted stock awards. Our long-term incentive compensation is designed to directly align the interests of executives to the interests of our stockholders and to create long-term stockholder value.</w:t>
      </w:r>
    </w:p>
    <w:p>
      <w:pPr>
        <w:spacing w:after="0" w:line="17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3"/>
          </w:tcPr>
          <w:p>
            <w:pPr>
              <w:ind w:left="1780"/>
              <w:spacing w:after="0"/>
              <w:rPr>
                <w:sz w:val="20"/>
                <w:szCs w:val="20"/>
                <w:color w:val="auto"/>
              </w:rPr>
            </w:pPr>
            <w:r>
              <w:rPr>
                <w:rFonts w:ascii="Arial" w:cs="Arial" w:eastAsia="Arial" w:hAnsi="Arial"/>
                <w:sz w:val="14"/>
                <w:szCs w:val="14"/>
                <w:b w:val="1"/>
                <w:bCs w:val="1"/>
                <w:color w:val="auto"/>
              </w:rPr>
              <w:t>Performance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1780" w:type="dxa"/>
            <w:vAlign w:val="bottom"/>
          </w:tcPr>
          <w:p>
            <w:pPr>
              <w:spacing w:after="0"/>
              <w:rPr>
                <w:sz w:val="17"/>
                <w:szCs w:val="17"/>
                <w:color w:val="auto"/>
              </w:rPr>
            </w:pPr>
          </w:p>
        </w:tc>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shd w:val="clear" w:color="auto" w:fill="CCEEFF"/>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17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w w:val="97"/>
              </w:rPr>
              <w:t>If performance is below the 35</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no award will be earned or paid as it relates to that measure.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performance metrics and corresponding payouts for ROIC Awards granted in 2018 are based on our achieving a specified average return on invested capital during the Performance Period as follows:</w:t>
      </w:r>
    </w:p>
    <w:p>
      <w:pPr>
        <w:spacing w:after="0" w:line="189"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Performance</w:t>
            </w:r>
          </w:p>
        </w:tc>
        <w:tc>
          <w:tcPr>
            <w:tcW w:w="548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–15.5%</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Target – 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20.5%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we do not achieve at least an 15.5% return on invested capital during the Performance Period, no award will be earned or paid.</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Restricted Stock will vest ratably over three years in accordance with historical compensation practice, subject to continued employment.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Dividends will be paid on outstanding Restricted Stock during the vesting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9" w:name="page40"/>
    <w:bookmarkEnd w:id="3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2018, the Compensation Committee established a long-term incentive compensation target opportunity for each executive that ranged between</w:t>
      </w:r>
    </w:p>
    <w:p>
      <w:pPr>
        <w:spacing w:after="0" w:line="46"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250% and 65% of the respective named executive officer’s base salary and was intended to approximate the market values of long-term equity awards granted within our peer group. Each named executive officer’s long-term incentive opportunity award in 2018 is shown in the following table:</w:t>
      </w:r>
    </w:p>
    <w:p>
      <w:pPr>
        <w:spacing w:after="0" w:line="1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40" w:type="dxa"/>
            <w:vAlign w:val="bottom"/>
            <w:gridSpan w:val="3"/>
            <w:vMerge w:val="restart"/>
          </w:tcPr>
          <w:p>
            <w:pPr>
              <w:jc w:val="center"/>
              <w:ind w:left="1654"/>
              <w:spacing w:after="0"/>
              <w:rPr>
                <w:sz w:val="20"/>
                <w:szCs w:val="20"/>
                <w:color w:val="auto"/>
              </w:rPr>
            </w:pPr>
            <w:r>
              <w:rPr>
                <w:rFonts w:ascii="Arial" w:cs="Arial" w:eastAsia="Arial" w:hAnsi="Arial"/>
                <w:sz w:val="14"/>
                <w:szCs w:val="14"/>
                <w:b w:val="1"/>
                <w:bCs w:val="1"/>
                <w:color w:val="auto"/>
                <w:w w:val="98"/>
              </w:rPr>
              <w:t>Grant Date Fair</w:t>
            </w:r>
          </w:p>
        </w:tc>
        <w:tc>
          <w:tcPr>
            <w:tcW w:w="1540" w:type="dxa"/>
            <w:vAlign w:val="bottom"/>
            <w:gridSpan w:val="3"/>
            <w:vMerge w:val="restart"/>
          </w:tcPr>
          <w:p>
            <w:pPr>
              <w:jc w:val="center"/>
              <w:ind w:left="454"/>
              <w:spacing w:after="0"/>
              <w:rPr>
                <w:sz w:val="20"/>
                <w:szCs w:val="20"/>
                <w:color w:val="auto"/>
              </w:rPr>
            </w:pPr>
            <w:r>
              <w:rPr>
                <w:rFonts w:ascii="Arial" w:cs="Arial" w:eastAsia="Arial" w:hAnsi="Arial"/>
                <w:sz w:val="14"/>
                <w:szCs w:val="14"/>
                <w:b w:val="1"/>
                <w:bCs w:val="1"/>
                <w:color w:val="auto"/>
                <w:w w:val="98"/>
              </w:rPr>
              <w:t>Grant Date Fair</w:t>
            </w:r>
          </w:p>
        </w:tc>
        <w:tc>
          <w:tcPr>
            <w:tcW w:w="540" w:type="dxa"/>
            <w:vAlign w:val="bottom"/>
          </w:tcPr>
          <w:p>
            <w:pPr>
              <w:spacing w:after="0"/>
              <w:rPr>
                <w:sz w:val="14"/>
                <w:szCs w:val="1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158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740" w:type="dxa"/>
            <w:vAlign w:val="bottom"/>
            <w:gridSpan w:val="3"/>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Value of Long-</w:t>
            </w:r>
          </w:p>
        </w:tc>
        <w:tc>
          <w:tcPr>
            <w:tcW w:w="0" w:type="dxa"/>
            <w:vAlign w:val="bottom"/>
          </w:tcPr>
          <w:p>
            <w:pPr>
              <w:spacing w:after="0"/>
              <w:rPr>
                <w:sz w:val="1"/>
                <w:szCs w:val="1"/>
                <w:color w:val="auto"/>
              </w:rPr>
            </w:pPr>
          </w:p>
        </w:tc>
      </w:tr>
      <w:tr>
        <w:trPr>
          <w:trHeight w:val="149"/>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Value of TSR</w:t>
            </w:r>
          </w:p>
        </w:tc>
        <w:tc>
          <w:tcPr>
            <w:tcW w:w="5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Value of ROIC</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1"/>
              </w:rPr>
              <w:t>Value of</w:t>
            </w:r>
          </w:p>
        </w:tc>
        <w:tc>
          <w:tcPr>
            <w:tcW w:w="5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Term Incentive</w:t>
            </w:r>
          </w:p>
        </w:tc>
        <w:tc>
          <w:tcPr>
            <w:tcW w:w="0" w:type="dxa"/>
            <w:vAlign w:val="bottom"/>
          </w:tcPr>
          <w:p>
            <w:pPr>
              <w:spacing w:after="0"/>
              <w:rPr>
                <w:sz w:val="1"/>
                <w:szCs w:val="1"/>
                <w:color w:val="auto"/>
              </w:rPr>
            </w:pPr>
          </w:p>
        </w:tc>
      </w:tr>
      <w:tr>
        <w:trPr>
          <w:trHeight w:val="158"/>
        </w:trPr>
        <w:tc>
          <w:tcPr>
            <w:tcW w:w="2720" w:type="dxa"/>
            <w:vAlign w:val="bottom"/>
            <w:gridSpan w:val="3"/>
            <w:vMerge w:val="continue"/>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3"/>
              <w:spacing w:after="0" w:line="158" w:lineRule="exact"/>
              <w:rPr>
                <w:sz w:val="20"/>
                <w:szCs w:val="20"/>
                <w:color w:val="auto"/>
              </w:rPr>
            </w:pPr>
            <w:r>
              <w:rPr>
                <w:rFonts w:ascii="Arial" w:cs="Arial" w:eastAsia="Arial" w:hAnsi="Arial"/>
                <w:sz w:val="14"/>
                <w:szCs w:val="14"/>
                <w:b w:val="1"/>
                <w:bCs w:val="1"/>
                <w:color w:val="auto"/>
                <w:w w:val="90"/>
              </w:rPr>
              <w:t>Awards</w:t>
            </w:r>
          </w:p>
        </w:tc>
        <w:tc>
          <w:tcPr>
            <w:tcW w:w="1560" w:type="dxa"/>
            <w:vAlign w:val="bottom"/>
            <w:gridSpan w:val="3"/>
          </w:tcPr>
          <w:p>
            <w:pPr>
              <w:jc w:val="center"/>
              <w:ind w:left="434"/>
              <w:spacing w:after="0" w:line="158" w:lineRule="exact"/>
              <w:rPr>
                <w:sz w:val="20"/>
                <w:szCs w:val="20"/>
                <w:color w:val="auto"/>
              </w:rPr>
            </w:pPr>
            <w:r>
              <w:rPr>
                <w:rFonts w:ascii="Arial" w:cs="Arial" w:eastAsia="Arial" w:hAnsi="Arial"/>
                <w:sz w:val="14"/>
                <w:szCs w:val="14"/>
                <w:b w:val="1"/>
                <w:bCs w:val="1"/>
                <w:color w:val="auto"/>
                <w:w w:val="90"/>
              </w:rPr>
              <w:t>Restricted Stock</w:t>
            </w:r>
          </w:p>
        </w:tc>
        <w:tc>
          <w:tcPr>
            <w:tcW w:w="54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753,033</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749,978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749,978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2,252,989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100,597</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100,189</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100,189</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53,269</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53,053</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53,053</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102,273</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b w:val="1"/>
          <w:bCs w:val="1"/>
          <w:i w:val="1"/>
          <w:iCs w:val="1"/>
          <w:color w:val="auto"/>
        </w:rPr>
        <w:t>TSR and ROIC Metrics and Actual Performance Attainment – 2016-2018 Performance Period</w:t>
      </w:r>
      <w:r>
        <w:rPr>
          <w:rFonts w:ascii="Arial" w:cs="Arial" w:eastAsia="Arial" w:hAnsi="Arial"/>
          <w:sz w:val="17"/>
          <w:szCs w:val="17"/>
          <w:color w:val="auto"/>
        </w:rPr>
        <w:t>. In 2016,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the following TSR and ROIC performance thresholds to be measured over the 2016-2018 performance period:</w:t>
      </w:r>
    </w:p>
    <w:p>
      <w:pPr>
        <w:spacing w:after="0" w:line="165"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TSR Performance</w:t>
            </w:r>
          </w:p>
        </w:tc>
        <w:tc>
          <w:tcPr>
            <w:tcW w:w="5180" w:type="dxa"/>
            <w:vAlign w:val="bottom"/>
            <w:gridSpan w:val="2"/>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r>
        <w:trPr>
          <w:trHeight w:val="412"/>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ROIC Performance</w:t>
            </w:r>
          </w:p>
        </w:tc>
        <w:tc>
          <w:tcPr>
            <w:tcW w:w="50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3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15.5%</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Target – 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 of target</w:t>
            </w: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20.5%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ind w:right="580" w:firstLine="441"/>
        <w:spacing w:after="0" w:line="312" w:lineRule="auto"/>
        <w:rPr>
          <w:sz w:val="20"/>
          <w:szCs w:val="20"/>
          <w:color w:val="auto"/>
        </w:rPr>
      </w:pPr>
      <w:r>
        <w:rPr>
          <w:rFonts w:ascii="Arial" w:cs="Arial" w:eastAsia="Arial" w:hAnsi="Arial"/>
          <w:sz w:val="16"/>
          <w:szCs w:val="16"/>
          <w:color w:val="auto"/>
        </w:rPr>
        <w:t>In March 2019, we certified to the Compensation Committee that during the 2016-2018 performance period Relative TSR was -57.6% (6</w:t>
      </w:r>
      <w:r>
        <w:rPr>
          <w:rFonts w:ascii="Arial" w:cs="Arial" w:eastAsia="Arial" w:hAnsi="Arial"/>
          <w:sz w:val="13"/>
          <w:szCs w:val="13"/>
          <w:color w:val="auto"/>
        </w:rPr>
        <w:t>th</w:t>
      </w:r>
      <w:r>
        <w:rPr>
          <w:rFonts w:ascii="Arial" w:cs="Arial" w:eastAsia="Arial" w:hAnsi="Arial"/>
          <w:sz w:val="16"/>
          <w:szCs w:val="16"/>
          <w:color w:val="auto"/>
        </w:rPr>
        <w:t xml:space="preserve"> percentile) and ROIC was 13.0%, both of which were below the threshold requirements. As a result of the Relative TSR and ROIC results, no performance shares were awarded to our named executive officers under the 2016 Long-Term Incentive Compensation Plan.</w:t>
      </w:r>
    </w:p>
    <w:p>
      <w:pPr>
        <w:spacing w:after="0" w:line="143"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three elements of total direct compensation (base salary, annual incentive compensation and long-term equity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we provide certain other benefits to our named executive officers, including a car allowance for the Chief Executive Officer, country club dues (which were discontinued in the Fall of 2018), limited personal use of the Company aircraft by the Chief Executive Officer, Company-matched contributions under a 401(k) savings plan, premium payments relating to supplemental disability insurance, health savings accounts, group term life insurance, employee travel allowance, relocation costs and moving expenses. Most of these benefits are limited in financial significance, but we view these as necessary from a recruitment and retention perspective. In 2018, we relocated our corporate headquarters to Charlotte, North Carolina and compensated certain of our named executive officers impacted by the relocation. These relocation benefits are one-time in nature and should not be considered part of our annual compensation philosophy. These benefits included a make whole payment related to the difference in real estate values in Charlotte and Johnson City, Tennessee (the former location of our corporate headquarters), reimbursement for real estate closing and related costs, tax assistance, reimbursement of certain moving expenses and a general moving expense allowance equal to one month of salary. Accordingly, Messrs. Holder, Burwell and Atkinson and Ms. Nixon received relocation benefits in the amounts of $797,120, $590,586, $490,439 and $330,531,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Analysis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At our 2018 Annual Meeting, we held an annual advisory vote on executive compensation, and over 97% of our stockholders voted in favor of our named executive officer compensation for 2017. We considered these results to be an endorsement by our stockholders of our compensation program and practices.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0" w:name="page41"/>
    <w:bookmarkEnd w:id="40"/>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w:t>
      </w:r>
    </w:p>
    <w:p>
      <w:pPr>
        <w:spacing w:after="0" w:line="181"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Furthermore, based on the results of the advisory vote held at our 2017 Annual Meeting on the frequency of advisory votes on executive compensation, we intend to continue our practice to hold an advisory vote to approve our named executive officer compensation annually and will continue to consider the results from future advisory votes on the frequency of advisory votes on executive compensation, as well as feedback from stockholders, when evaluating our compensation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structure our executive compensation arrangements in order to encourage executives to take appropriate risks designed to enhance our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860" w:right="460" w:hanging="316"/>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860" w:right="180" w:hanging="316"/>
        <w:spacing w:after="0" w:line="259"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executive incentive compensation for executive officers is designed to reward achievement of performance metrics, which we believe will create stockholder value. Through a combination of plan design and management procedures, undue risk-taking is mitigated. Our executive incentive compensation is also structured to be self-funding in that portions of the incentive that are based on performance measurements must be obtained after the expense of the incentive is considered.</w:t>
      </w:r>
    </w:p>
    <w:p>
      <w:pPr>
        <w:spacing w:after="0" w:line="92" w:lineRule="exact"/>
        <w:rPr>
          <w:rFonts w:ascii="Arial" w:cs="Arial" w:eastAsia="Arial" w:hAnsi="Arial"/>
          <w:sz w:val="18"/>
          <w:szCs w:val="18"/>
          <w:color w:val="auto"/>
        </w:rPr>
      </w:pPr>
    </w:p>
    <w:p>
      <w:pPr>
        <w:ind w:left="860" w:right="40" w:hanging="316"/>
        <w:spacing w:after="0" w:line="259"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 companies. Additionally, on an annual basis, the CEO prepares a written succession plan that is reviewed by the Compensation Committee. This plan includes a plan of succession for the CEO and our other executive officers.</w:t>
      </w:r>
    </w:p>
    <w:p>
      <w:pPr>
        <w:spacing w:after="0" w:line="165"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b w:val="1"/>
          <w:bCs w:val="1"/>
          <w:i w:val="1"/>
          <w:iCs w:val="1"/>
          <w:color w:val="auto"/>
        </w:rPr>
        <w:t>Legacy Tax Provisions</w:t>
      </w:r>
      <w:r>
        <w:rPr>
          <w:rFonts w:ascii="Arial" w:cs="Arial" w:eastAsia="Arial" w:hAnsi="Arial"/>
          <w:sz w:val="17"/>
          <w:szCs w:val="17"/>
          <w:color w:val="auto"/>
        </w:rPr>
        <w:t>. In 2013, we entered into an employment agreement with Mr. Holder based on the same form of employment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we had with each of our named executive officers at that time, which included an excise tax reimbursement provision, or tax gross up, related to termination following a change-in-control. The tax gross up provisions included in the form employment agreement were legacy provisions and were included in these executives’ original agreements executed in 2006. Based on our analysis of the structure and formulas contained in the employment agreements, and with assistance from our compensation consultant and outside counsel, we have determined that the tax gross up provisions in these agreements are not capable of being triggered, and as such, the provision has no practical effect. Going forward, we do not plan to include these provisions in future in employment agreements.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Ownership Policies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i w:val="1"/>
          <w:iCs w:val="1"/>
          <w:color w:val="auto"/>
        </w:rPr>
        <w:t>Stock Ownership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further align management and stockholder interests and discourage inappropriate or excessive risk-taking,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ownership policy requires each executive officer to obtain a substantial equity stake in us within five years of the effective date of this policy, March 19, 2020, or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189"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b w:val="1"/>
          <w:bCs w:val="1"/>
          <w:i w:val="1"/>
          <w:iCs w:val="1"/>
          <w:color w:val="auto"/>
        </w:rPr>
        <w:t>Pledging Policy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our insider trading policy prohibits any director or officer (including the named executive officers) from pledging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 our securities as collateral for a loan without first obtaining approval from our Chief Executive Officer and our General Counsel.</w:t>
      </w:r>
    </w:p>
    <w:p>
      <w:pPr>
        <w:spacing w:after="0" w:line="14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Hedging Policy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insider trading policy prohibits our directors and officers (including the named executive officers) from engaging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a derivative of our securities, including hedging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right="300" w:firstLine="441"/>
        <w:spacing w:after="0" w:line="273" w:lineRule="auto"/>
        <w:rPr>
          <w:sz w:val="20"/>
          <w:szCs w:val="20"/>
          <w:color w:val="auto"/>
        </w:rPr>
      </w:pPr>
      <w:r>
        <w:rPr>
          <w:rFonts w:ascii="Arial" w:cs="Arial" w:eastAsia="Arial" w:hAnsi="Arial"/>
          <w:sz w:val="17"/>
          <w:szCs w:val="17"/>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K. Floyd</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table sets forth for the year ended December 31, 2018 information concerning the compensation paid for services rendered in all capacities by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00" w:type="dxa"/>
            <w:vAlign w:val="bottom"/>
          </w:tcPr>
          <w:p>
            <w:pPr>
              <w:spacing w:after="0"/>
              <w:rPr>
                <w:sz w:val="15"/>
                <w:szCs w:val="15"/>
                <w:color w:val="auto"/>
              </w:rPr>
            </w:pPr>
          </w:p>
        </w:tc>
        <w:tc>
          <w:tcPr>
            <w:tcW w:w="6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900" w:type="dxa"/>
            <w:vAlign w:val="bottom"/>
            <w:gridSpan w:val="2"/>
          </w:tcPr>
          <w:p>
            <w:pPr>
              <w:jc w:val="center"/>
              <w:ind w:left="114"/>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13"/>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220" w:type="dxa"/>
            <w:vAlign w:val="bottom"/>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2018</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941,539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2,252,989</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856,434</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4,050,962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717,115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1,848,453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761,483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3,358,210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634,616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118,680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1,225,551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2,352,158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Thomas C. Burwell</w:t>
            </w: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420" w:type="dxa"/>
            <w:vAlign w:val="bottom"/>
          </w:tcPr>
          <w:p>
            <w:pPr>
              <w:ind w:left="40"/>
              <w:spacing w:after="0" w:line="201"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370,526</w:t>
            </w:r>
          </w:p>
        </w:tc>
        <w:tc>
          <w:tcPr>
            <w:tcW w:w="200" w:type="dxa"/>
            <w:vAlign w:val="bottom"/>
          </w:tcPr>
          <w:p>
            <w:pPr>
              <w:spacing w:after="0"/>
              <w:rPr>
                <w:sz w:val="17"/>
                <w:szCs w:val="17"/>
                <w:color w:val="auto"/>
              </w:rPr>
            </w:pPr>
          </w:p>
        </w:tc>
        <w:tc>
          <w:tcPr>
            <w:tcW w:w="8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300,975</w:t>
            </w:r>
          </w:p>
        </w:tc>
        <w:tc>
          <w:tcPr>
            <w:tcW w:w="200" w:type="dxa"/>
            <w:vAlign w:val="bottom"/>
          </w:tcPr>
          <w:p>
            <w:pPr>
              <w:spacing w:after="0"/>
              <w:rPr>
                <w:sz w:val="17"/>
                <w:szCs w:val="17"/>
                <w:color w:val="auto"/>
              </w:rPr>
            </w:pPr>
          </w:p>
        </w:tc>
        <w:tc>
          <w:tcPr>
            <w:tcW w:w="6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608,172</w:t>
            </w:r>
          </w:p>
        </w:tc>
        <w:tc>
          <w:tcPr>
            <w:tcW w:w="2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1,279,673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i w:val="1"/>
                <w:iCs w:val="1"/>
                <w:color w:val="auto"/>
              </w:rPr>
              <w:t>Senior Vice President –</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292,000</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254,833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254,237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139,351</w:t>
            </w:r>
          </w:p>
        </w:tc>
        <w:tc>
          <w:tcPr>
            <w:tcW w:w="22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14,752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243,151</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133,854</w:t>
            </w:r>
          </w:p>
        </w:tc>
        <w:tc>
          <w:tcPr>
            <w:tcW w:w="2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100,104</w:t>
            </w:r>
          </w:p>
        </w:tc>
        <w:tc>
          <w:tcPr>
            <w:tcW w:w="2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11,805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488,914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Robbie Atkinson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271,539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Life Sciences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D. Gail Nixon</w:t>
            </w:r>
          </w:p>
        </w:tc>
        <w:tc>
          <w:tcPr>
            <w:tcW w:w="160" w:type="dxa"/>
            <w:vAlign w:val="bottom"/>
          </w:tcPr>
          <w:p>
            <w:pPr>
              <w:spacing w:after="0"/>
              <w:rPr>
                <w:sz w:val="17"/>
                <w:szCs w:val="17"/>
                <w:color w:val="auto"/>
              </w:rPr>
            </w:pPr>
          </w:p>
        </w:tc>
        <w:tc>
          <w:tcPr>
            <w:tcW w:w="420" w:type="dxa"/>
            <w:vAlign w:val="bottom"/>
          </w:tcPr>
          <w:p>
            <w:pPr>
              <w:ind w:left="40"/>
              <w:spacing w:after="0" w:line="201"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258,649</w:t>
            </w:r>
          </w:p>
        </w:tc>
        <w:tc>
          <w:tcPr>
            <w:tcW w:w="200" w:type="dxa"/>
            <w:vAlign w:val="bottom"/>
          </w:tcPr>
          <w:p>
            <w:pPr>
              <w:spacing w:after="0"/>
              <w:rPr>
                <w:sz w:val="17"/>
                <w:szCs w:val="17"/>
                <w:color w:val="auto"/>
              </w:rPr>
            </w:pPr>
          </w:p>
        </w:tc>
        <w:tc>
          <w:tcPr>
            <w:tcW w:w="8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159,375</w:t>
            </w:r>
          </w:p>
        </w:tc>
        <w:tc>
          <w:tcPr>
            <w:tcW w:w="200" w:type="dxa"/>
            <w:vAlign w:val="bottom"/>
          </w:tcPr>
          <w:p>
            <w:pPr>
              <w:spacing w:after="0"/>
              <w:rPr>
                <w:sz w:val="17"/>
                <w:szCs w:val="17"/>
                <w:color w:val="auto"/>
              </w:rPr>
            </w:pPr>
          </w:p>
        </w:tc>
        <w:tc>
          <w:tcPr>
            <w:tcW w:w="6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ind w:left="6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344,884</w:t>
            </w:r>
          </w:p>
        </w:tc>
        <w:tc>
          <w:tcPr>
            <w:tcW w:w="2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762,908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i w:val="1"/>
                <w:iCs w:val="1"/>
                <w:color w:val="auto"/>
              </w:rPr>
              <w:t>Senior Vice President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w w:val="93"/>
              </w:rPr>
              <w:t>Chief Human Resources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359,264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344,748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301,716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192,891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Mobile Solutions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326,014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520" w:hanging="436"/>
        <w:spacing w:after="0" w:line="25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previously announced, Mr. Burwell will be departing the Company but has agreed to remain in his current role and assist with an orderly transition while a search for a replacement is being conducted.</w:t>
      </w:r>
    </w:p>
    <w:p>
      <w:pPr>
        <w:spacing w:after="0" w:line="1" w:lineRule="exact"/>
        <w:rPr>
          <w:rFonts w:ascii="Arial" w:cs="Arial" w:eastAsia="Arial" w:hAnsi="Arial"/>
          <w:sz w:val="18"/>
          <w:szCs w:val="18"/>
          <w:color w:val="auto"/>
        </w:rPr>
      </w:pPr>
    </w:p>
    <w:p>
      <w:pPr>
        <w:ind w:left="440" w:right="40" w:hanging="436"/>
        <w:spacing w:after="0" w:line="268" w:lineRule="auto"/>
        <w:tabs>
          <w:tab w:leader="none" w:pos="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17 of the Notes to Consolidated Financial Statements included in our Annual Report on Form 10-K for the year ended December 31, 2018 filed with the SEC on March 18, 2019.</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440" w:top="270" w:right="419" w:bottom="1440" w:gutter="0" w:footer="0" w:header="0"/>
        </w:sectPr>
      </w:pPr>
    </w:p>
    <w:bookmarkStart w:id="43" w:name="page44"/>
    <w:bookmarkEnd w:id="43"/>
    <w:p>
      <w:pPr>
        <w:jc w:val="center"/>
        <w:ind w:righ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Date Fair Value of TSR Awards</w:t>
      </w:r>
    </w:p>
    <w:p>
      <w:pPr>
        <w:spacing w:after="0" w:line="30" w:lineRule="exact"/>
        <w:rPr>
          <w:sz w:val="20"/>
          <w:szCs w:val="20"/>
          <w:color w:val="auto"/>
        </w:rPr>
      </w:pPr>
    </w:p>
    <w:tbl>
      <w:tblPr>
        <w:tblLayout w:type="fixed"/>
        <w:tblInd w:w="1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300"/>
              <w:spacing w:after="0" w:line="113" w:lineRule="exact"/>
              <w:rPr>
                <w:sz w:val="20"/>
                <w:szCs w:val="20"/>
                <w:color w:val="auto"/>
              </w:rPr>
            </w:pPr>
            <w:r>
              <w:rPr>
                <w:rFonts w:ascii="Arial" w:cs="Arial" w:eastAsia="Arial" w:hAnsi="Arial"/>
                <w:sz w:val="13"/>
                <w:szCs w:val="13"/>
                <w:b w:val="1"/>
                <w:bCs w:val="1"/>
                <w:color w:val="auto"/>
              </w:rPr>
              <w:t>Target</w:t>
            </w:r>
          </w:p>
        </w:tc>
        <w:tc>
          <w:tcPr>
            <w:tcW w:w="1540" w:type="dxa"/>
            <w:vAlign w:val="bottom"/>
            <w:gridSpan w:val="3"/>
          </w:tcPr>
          <w:p>
            <w:pPr>
              <w:ind w:left="80"/>
              <w:spacing w:after="0" w:line="113" w:lineRule="exact"/>
              <w:rPr>
                <w:sz w:val="20"/>
                <w:szCs w:val="20"/>
                <w:color w:val="auto"/>
              </w:rPr>
            </w:pPr>
            <w:r>
              <w:rPr>
                <w:rFonts w:ascii="Arial" w:cs="Arial" w:eastAsia="Arial" w:hAnsi="Arial"/>
                <w:sz w:val="13"/>
                <w:szCs w:val="13"/>
                <w:b w:val="1"/>
                <w:bCs w:val="1"/>
                <w:color w:val="auto"/>
              </w:rPr>
              <w:t>Maximum Value</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6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753,033</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1,129,550</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100,597</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150,896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60" w:type="dxa"/>
            <w:vAlign w:val="bottom"/>
          </w:tcPr>
          <w:p>
            <w:pPr>
              <w:jc w:val="right"/>
              <w:spacing w:after="0"/>
              <w:rPr>
                <w:sz w:val="20"/>
                <w:szCs w:val="20"/>
                <w:color w:val="auto"/>
              </w:rPr>
            </w:pPr>
            <w:r>
              <w:rPr>
                <w:rFonts w:ascii="Arial" w:cs="Arial" w:eastAsia="Arial" w:hAnsi="Arial"/>
                <w:sz w:val="18"/>
                <w:szCs w:val="18"/>
                <w:color w:val="auto"/>
              </w:rPr>
              <w:t>53,269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79,904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102,273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-702310</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Grant Date Fair Value of ROIC Awards</w:t>
      </w:r>
    </w:p>
    <w:p>
      <w:pPr>
        <w:spacing w:after="0" w:line="30" w:lineRule="exact"/>
        <w:rPr>
          <w:sz w:val="20"/>
          <w:szCs w:val="20"/>
          <w:color w:val="auto"/>
        </w:rPr>
      </w:pPr>
    </w:p>
    <w:tbl>
      <w:tblPr>
        <w:tblLayout w:type="fixed"/>
        <w:tblInd w:w="1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jc w:val="right"/>
              <w:ind w:right="36"/>
              <w:spacing w:after="0" w:line="113" w:lineRule="exact"/>
              <w:rPr>
                <w:sz w:val="20"/>
                <w:szCs w:val="20"/>
                <w:color w:val="auto"/>
              </w:rPr>
            </w:pPr>
            <w:r>
              <w:rPr>
                <w:rFonts w:ascii="Arial" w:cs="Arial" w:eastAsia="Arial" w:hAnsi="Arial"/>
                <w:sz w:val="13"/>
                <w:szCs w:val="13"/>
                <w:b w:val="1"/>
                <w:bCs w:val="1"/>
                <w:color w:val="auto"/>
              </w:rPr>
              <w:t>Target</w:t>
            </w:r>
          </w:p>
        </w:tc>
        <w:tc>
          <w:tcPr>
            <w:tcW w:w="1540" w:type="dxa"/>
            <w:vAlign w:val="bottom"/>
            <w:gridSpan w:val="3"/>
          </w:tcPr>
          <w:p>
            <w:pPr>
              <w:ind w:left="460"/>
              <w:spacing w:after="0" w:line="113" w:lineRule="exact"/>
              <w:rPr>
                <w:sz w:val="20"/>
                <w:szCs w:val="20"/>
                <w:color w:val="auto"/>
              </w:rPr>
            </w:pPr>
            <w:r>
              <w:rPr>
                <w:rFonts w:ascii="Arial" w:cs="Arial" w:eastAsia="Arial" w:hAnsi="Arial"/>
                <w:sz w:val="13"/>
                <w:szCs w:val="13"/>
                <w:b w:val="1"/>
                <w:bCs w:val="1"/>
                <w:color w:val="auto"/>
              </w:rPr>
              <w:t>Maximum Value</w:t>
            </w:r>
          </w:p>
        </w:tc>
        <w:tc>
          <w:tcPr>
            <w:tcW w:w="0" w:type="dxa"/>
            <w:vAlign w:val="bottom"/>
          </w:tcPr>
          <w:p>
            <w:pPr>
              <w:spacing w:after="0"/>
              <w:rPr>
                <w:sz w:val="1"/>
                <w:szCs w:val="1"/>
                <w:color w:val="auto"/>
              </w:rPr>
            </w:pPr>
          </w:p>
        </w:tc>
      </w:tr>
      <w:tr>
        <w:trPr>
          <w:trHeight w:val="158"/>
        </w:trPr>
        <w:tc>
          <w:tcPr>
            <w:tcW w:w="6200" w:type="dxa"/>
            <w:vAlign w:val="bottom"/>
            <w:gridSpan w:val="3"/>
            <w:vMerge w:val="continue"/>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1500" w:type="dxa"/>
            <w:vAlign w:val="bottom"/>
            <w:gridSpan w:val="2"/>
          </w:tcPr>
          <w:p>
            <w:pPr>
              <w:jc w:val="right"/>
              <w:ind w:right="350"/>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749,978</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1,124,967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100,189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40" w:type="dxa"/>
            <w:vAlign w:val="bottom"/>
          </w:tcPr>
          <w:p>
            <w:pPr>
              <w:jc w:val="right"/>
              <w:spacing w:after="0"/>
              <w:rPr>
                <w:sz w:val="20"/>
                <w:szCs w:val="20"/>
                <w:color w:val="auto"/>
              </w:rPr>
            </w:pPr>
            <w:r>
              <w:rPr>
                <w:rFonts w:ascii="Arial" w:cs="Arial" w:eastAsia="Arial" w:hAnsi="Arial"/>
                <w:sz w:val="18"/>
                <w:szCs w:val="18"/>
                <w:color w:val="auto"/>
              </w:rPr>
              <w:t>53,053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101,858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 w:hanging="436"/>
        <w:spacing w:after="0" w:line="286"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17 of the Notes to Consolidated Financial Statements included in our Annual Report on Form 10-K for the year ended December 31, 2018 filed with the SEC on March 18, 2019.</w:t>
      </w:r>
    </w:p>
    <w:p>
      <w:pPr>
        <w:spacing w:after="0" w:line="1" w:lineRule="exact"/>
        <w:rPr>
          <w:rFonts w:ascii="Arial" w:cs="Arial" w:eastAsia="Arial" w:hAnsi="Arial"/>
          <w:sz w:val="16"/>
          <w:szCs w:val="16"/>
          <w:color w:val="auto"/>
        </w:rPr>
      </w:pPr>
    </w:p>
    <w:p>
      <w:pPr>
        <w:ind w:left="440" w:right="66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non-equity incentive plan compensation is earned in one fiscal year and paid in the first quarter of the next year. No non-equity incentive plan compensation was earned during 2018.</w:t>
      </w: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all other compensation, as summarized in the following table for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Excess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Country</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Supplemental</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22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Health</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restart"/>
          </w:tcPr>
          <w:p>
            <w:pPr>
              <w:jc w:val="center"/>
              <w:ind w:left="588"/>
              <w:spacing w:after="0"/>
              <w:rPr>
                <w:sz w:val="20"/>
                <w:szCs w:val="20"/>
                <w:color w:val="auto"/>
              </w:rPr>
            </w:pPr>
            <w:r>
              <w:rPr>
                <w:rFonts w:ascii="Arial" w:cs="Arial" w:eastAsia="Arial" w:hAnsi="Arial"/>
                <w:sz w:val="14"/>
                <w:szCs w:val="14"/>
                <w:b w:val="1"/>
                <w:bCs w:val="1"/>
                <w:color w:val="auto"/>
                <w:w w:val="93"/>
              </w:rPr>
              <w:t>Automobile</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 of</w:t>
            </w:r>
          </w:p>
        </w:tc>
        <w:tc>
          <w:tcPr>
            <w:tcW w:w="7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 Life</w:t>
            </w:r>
          </w:p>
        </w:tc>
        <w:tc>
          <w:tcPr>
            <w:tcW w:w="2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Travel</w:t>
            </w:r>
          </w:p>
        </w:tc>
        <w:tc>
          <w:tcPr>
            <w:tcW w:w="2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Relocation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Club</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Savings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Allowance</w:t>
            </w:r>
          </w:p>
        </w:tc>
        <w:tc>
          <w:tcPr>
            <w:tcW w:w="88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rPr>
              <w:t>Aircraft</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Dues</w:t>
            </w:r>
            <w:r>
              <w:rPr>
                <w:rFonts w:ascii="Arial" w:cs="Arial" w:eastAsia="Arial" w:hAnsi="Arial"/>
                <w:sz w:val="12"/>
                <w:szCs w:val="12"/>
                <w:b w:val="1"/>
                <w:bCs w:val="1"/>
                <w:color w:val="auto"/>
                <w:w w:val="89"/>
              </w:rPr>
              <w:t>(2)</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6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Match</w:t>
            </w:r>
          </w:p>
        </w:tc>
        <w:tc>
          <w:tcPr>
            <w:tcW w:w="74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Account</w:t>
            </w:r>
          </w:p>
        </w:tc>
        <w:tc>
          <w:tcPr>
            <w:tcW w:w="86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94"/>
              </w:rPr>
              <w:t>Premiums</w:t>
            </w:r>
          </w:p>
        </w:tc>
        <w:tc>
          <w:tcPr>
            <w:tcW w:w="102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92"/>
              </w:rPr>
              <w:t>Allowance</w:t>
            </w:r>
            <w:r>
              <w:rPr>
                <w:rFonts w:ascii="Arial" w:cs="Arial" w:eastAsia="Arial" w:hAnsi="Arial"/>
                <w:sz w:val="12"/>
                <w:szCs w:val="12"/>
                <w:b w:val="1"/>
                <w:bCs w:val="1"/>
                <w:color w:val="auto"/>
                <w:w w:val="92"/>
              </w:rPr>
              <w:t>(3)</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Expenses</w:t>
            </w:r>
            <w:r>
              <w:rPr>
                <w:rFonts w:ascii="Arial" w:cs="Arial" w:eastAsia="Arial" w:hAnsi="Arial"/>
                <w:sz w:val="12"/>
                <w:szCs w:val="12"/>
                <w:b w:val="1"/>
                <w:bCs w:val="1"/>
                <w:color w:val="auto"/>
              </w:rPr>
              <w:t>(4)</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00" w:type="dxa"/>
            <w:vAlign w:val="bottom"/>
            <w:gridSpan w:val="3"/>
            <w:vMerge w:val="continue"/>
          </w:tcPr>
          <w:p>
            <w:pPr>
              <w:spacing w:after="0"/>
              <w:rPr>
                <w:sz w:val="13"/>
                <w:szCs w:val="13"/>
                <w:color w:val="auto"/>
              </w:rPr>
            </w:pPr>
          </w:p>
        </w:tc>
        <w:tc>
          <w:tcPr>
            <w:tcW w:w="1380" w:type="dxa"/>
            <w:vAlign w:val="bottom"/>
            <w:gridSpan w:val="2"/>
          </w:tcPr>
          <w:p>
            <w:pPr>
              <w:jc w:val="center"/>
              <w:ind w:left="56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17"/>
              <w:spacing w:after="0" w:line="158" w:lineRule="exact"/>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116"/>
              <w:spacing w:after="0" w:line="158" w:lineRule="exact"/>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right"/>
              <w:ind w:right="162"/>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22"/>
              <w:spacing w:after="0" w:line="158"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36"/>
              <w:spacing w:after="0" w:line="158" w:lineRule="exact"/>
              <w:rPr>
                <w:sz w:val="20"/>
                <w:szCs w:val="20"/>
                <w:color w:val="auto"/>
              </w:rPr>
            </w:pPr>
            <w:r>
              <w:rPr>
                <w:rFonts w:ascii="Arial" w:cs="Arial" w:eastAsia="Arial" w:hAnsi="Arial"/>
                <w:sz w:val="14"/>
                <w:szCs w:val="14"/>
                <w:color w:val="auto"/>
                <w:w w:val="93"/>
              </w:rPr>
              <w:t>($)</w:t>
            </w:r>
          </w:p>
        </w:tc>
        <w:tc>
          <w:tcPr>
            <w:tcW w:w="1020" w:type="dxa"/>
            <w:vAlign w:val="bottom"/>
            <w:gridSpan w:val="2"/>
          </w:tcPr>
          <w:p>
            <w:pPr>
              <w:jc w:val="center"/>
              <w:ind w:left="142"/>
              <w:spacing w:after="0" w:line="158"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6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87"/>
              </w:rPr>
              <w:t>14,400</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25,552</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7,884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3,578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797,120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856,434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6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590,586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608,172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490,439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6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330,531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344,884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750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00" w:hanging="436"/>
        <w:spacing w:after="0" w:line="256"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Pursuant to the Company’s policy, the Chief Executive Officer is entitled to personal use of the Company aircraft of up to $100,000 per year in expenses. The amount in this column was determined by calculating the incremental cost, including fuel, pilot and other variable costs. No other executive officer is entitled to personal use of the Company aircraft.</w:t>
      </w: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discontinued this benefit in the fall of 2018.</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Veltman was paid a travel award for electing to fly coach on several overseas trips rather than business class as permitted by Company policy.</w:t>
      </w:r>
    </w:p>
    <w:p>
      <w:pPr>
        <w:spacing w:after="0" w:line="32" w:lineRule="exact"/>
        <w:rPr>
          <w:rFonts w:ascii="Arial" w:cs="Arial" w:eastAsia="Arial" w:hAnsi="Arial"/>
          <w:sz w:val="16"/>
          <w:szCs w:val="16"/>
          <w:color w:val="auto"/>
        </w:rPr>
      </w:pPr>
    </w:p>
    <w:p>
      <w:pPr>
        <w:ind w:left="440" w:right="120" w:hanging="436"/>
        <w:spacing w:after="0" w:line="271"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2018, the Company relocated its corporate headquarters to Charlotte, North Carolina and compensated certain of its named executive officers impacted by the relocation. Amounts in this Relocation Expenses column include a make whole payment related to the difference in real estate values in Charlotte, North Carolina and Johnson City, Tennessee (the former location of the Company’s corporate headquarters), reimbursement for real estate closing and related costs, tax assistance, reimbursement of certain moving expenses and a general moving expense allowance equal to one month of salary. These Relocation Expenses did not include any home loss buyouts.</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440" w:top="265" w:right="41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plan-based awards granted during 2018 to the named executive officers.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For 2018</w:t>
      </w:r>
    </w:p>
    <w:p>
      <w:pPr>
        <w:sectPr>
          <w:pgSz w:w="11900" w:h="16838" w:orient="portrait"/>
          <w:cols w:equalWidth="0" w:num="1">
            <w:col w:w="11040"/>
          </w:cols>
          <w:pgMar w:left="440" w:top="274" w:right="41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Estimated Future payouts</w:t>
            </w: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Grant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Thres-</w:t>
            </w: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w:t>
            </w: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Thresh-</w:t>
            </w:r>
          </w:p>
        </w:tc>
        <w:tc>
          <w:tcPr>
            <w:tcW w:w="8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Maxi-</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Type</w:t>
            </w:r>
          </w:p>
        </w:tc>
        <w:tc>
          <w:tcPr>
            <w:tcW w:w="1120" w:type="dxa"/>
            <w:vAlign w:val="bottom"/>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hold</w:t>
            </w:r>
          </w:p>
        </w:tc>
        <w:tc>
          <w:tcPr>
            <w:tcW w:w="1000" w:type="dxa"/>
            <w:vAlign w:val="bottom"/>
            <w:vMerge w:val="continue"/>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mum</w:t>
            </w: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old</w:t>
            </w:r>
          </w:p>
        </w:tc>
        <w:tc>
          <w:tcPr>
            <w:tcW w:w="820" w:type="dxa"/>
            <w:vAlign w:val="bottom"/>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mum</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1120" w:type="dxa"/>
            <w:vAlign w:val="bottom"/>
          </w:tcPr>
          <w:p>
            <w:pPr>
              <w:jc w:val="center"/>
              <w:ind w:left="68"/>
              <w:spacing w:after="0" w:line="158" w:lineRule="exact"/>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right"/>
              <w:ind w:right="408"/>
              <w:spacing w:after="0" w:line="158"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2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0</wp:posOffset>
            </wp:positionV>
            <wp:extent cx="42881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Mr. Holder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3"/>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or Base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2">
            <w:col w:w="8120" w:space="140"/>
            <w:col w:w="2780"/>
          </w:cols>
          <w:pgMar w:left="440" w:top="274" w:right="41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30,549</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749,978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376,517</w:t>
            </w:r>
          </w:p>
        </w:tc>
        <w:tc>
          <w:tcPr>
            <w:tcW w:w="700" w:type="dxa"/>
            <w:vAlign w:val="bottom"/>
          </w:tcPr>
          <w:p>
            <w:pPr>
              <w:jc w:val="right"/>
              <w:spacing w:after="0"/>
              <w:rPr>
                <w:sz w:val="20"/>
                <w:szCs w:val="20"/>
                <w:color w:val="auto"/>
              </w:rPr>
            </w:pPr>
            <w:r>
              <w:rPr>
                <w:rFonts w:ascii="Arial" w:cs="Arial" w:eastAsia="Arial" w:hAnsi="Arial"/>
                <w:sz w:val="16"/>
                <w:szCs w:val="16"/>
                <w:color w:val="auto"/>
              </w:rPr>
              <w:t>753,033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1,129,549</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753,033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262,492</w:t>
            </w:r>
          </w:p>
        </w:tc>
        <w:tc>
          <w:tcPr>
            <w:tcW w:w="700" w:type="dxa"/>
            <w:vAlign w:val="bottom"/>
          </w:tcPr>
          <w:p>
            <w:pPr>
              <w:jc w:val="right"/>
              <w:spacing w:after="0"/>
              <w:rPr>
                <w:sz w:val="20"/>
                <w:szCs w:val="20"/>
                <w:color w:val="auto"/>
              </w:rPr>
            </w:pPr>
            <w:r>
              <w:rPr>
                <w:rFonts w:ascii="Arial" w:cs="Arial" w:eastAsia="Arial" w:hAnsi="Arial"/>
                <w:sz w:val="16"/>
                <w:szCs w:val="16"/>
                <w:color w:val="auto"/>
              </w:rPr>
              <w:t>749,978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1,124,967</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486,000</w:t>
            </w:r>
          </w:p>
        </w:tc>
        <w:tc>
          <w:tcPr>
            <w:tcW w:w="700" w:type="dxa"/>
            <w:vAlign w:val="bottom"/>
          </w:tcPr>
          <w:p>
            <w:pPr>
              <w:ind w:left="80"/>
              <w:spacing w:after="0"/>
              <w:rPr>
                <w:sz w:val="20"/>
                <w:szCs w:val="20"/>
                <w:color w:val="auto"/>
              </w:rPr>
            </w:pPr>
            <w:r>
              <w:rPr>
                <w:rFonts w:ascii="Arial" w:cs="Arial" w:eastAsia="Arial" w:hAnsi="Arial"/>
                <w:sz w:val="16"/>
                <w:szCs w:val="16"/>
                <w:color w:val="auto"/>
              </w:rPr>
              <w:t>972,000</w:t>
            </w:r>
          </w:p>
        </w:tc>
        <w:tc>
          <w:tcPr>
            <w:tcW w:w="820" w:type="dxa"/>
            <w:vAlign w:val="bottom"/>
          </w:tcPr>
          <w:p>
            <w:pPr>
              <w:jc w:val="right"/>
              <w:spacing w:after="0"/>
              <w:rPr>
                <w:sz w:val="20"/>
                <w:szCs w:val="20"/>
                <w:color w:val="auto"/>
              </w:rPr>
            </w:pPr>
            <w:r>
              <w:rPr>
                <w:rFonts w:ascii="Arial" w:cs="Arial" w:eastAsia="Arial" w:hAnsi="Arial"/>
                <w:sz w:val="16"/>
                <w:szCs w:val="16"/>
                <w:color w:val="auto"/>
              </w:rPr>
              <w:t>1,458,000</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20"/>
                <w:szCs w:val="20"/>
                <w:color w:val="auto"/>
              </w:rPr>
            </w:pPr>
            <w:r>
              <w:rPr>
                <w:rFonts w:ascii="Arial" w:cs="Arial" w:eastAsia="Arial" w:hAnsi="Arial"/>
                <w:sz w:val="16"/>
                <w:szCs w:val="16"/>
                <w:color w:val="auto"/>
              </w:rPr>
              <w:t>Mr. Burwell</w:t>
            </w:r>
          </w:p>
        </w:tc>
        <w:tc>
          <w:tcPr>
            <w:tcW w:w="1510" w:type="dxa"/>
            <w:vAlign w:val="bottom"/>
            <w:gridSpan w:val="2"/>
            <w:shd w:val="clear" w:color="auto" w:fill="CCEEFF"/>
          </w:tcPr>
          <w:p>
            <w:pPr>
              <w:spacing w:after="0"/>
              <w:rPr>
                <w:sz w:val="18"/>
                <w:szCs w:val="18"/>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4,081</w:t>
            </w:r>
          </w:p>
        </w:tc>
        <w:tc>
          <w:tcPr>
            <w:tcW w:w="7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100,597</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150,896</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150,284</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1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95,720</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191,440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287,160</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20"/>
                <w:szCs w:val="20"/>
                <w:color w:val="auto"/>
              </w:rPr>
            </w:pPr>
            <w:r>
              <w:rPr>
                <w:rFonts w:ascii="Arial" w:cs="Arial" w:eastAsia="Arial" w:hAnsi="Arial"/>
                <w:sz w:val="16"/>
                <w:szCs w:val="16"/>
                <w:color w:val="auto"/>
              </w:rPr>
              <w:t>Mr. Atkinson</w:t>
            </w:r>
          </w:p>
        </w:tc>
        <w:tc>
          <w:tcPr>
            <w:tcW w:w="9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9"/>
              <w:spacing w:after="0"/>
              <w:rPr>
                <w:sz w:val="20"/>
                <w:szCs w:val="20"/>
                <w:color w:val="auto"/>
              </w:rPr>
            </w:pPr>
            <w:r>
              <w:rPr>
                <w:rFonts w:ascii="Arial" w:cs="Arial" w:eastAsia="Arial" w:hAnsi="Arial"/>
                <w:sz w:val="16"/>
                <w:szCs w:val="16"/>
                <w:color w:val="auto"/>
              </w:rPr>
              <w:t>3,000</w:t>
            </w:r>
          </w:p>
        </w:tc>
        <w:tc>
          <w:tcPr>
            <w:tcW w:w="70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73,650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36,975</w:t>
            </w:r>
          </w:p>
        </w:tc>
        <w:tc>
          <w:tcPr>
            <w:tcW w:w="700" w:type="dxa"/>
            <w:vAlign w:val="bottom"/>
          </w:tcPr>
          <w:p>
            <w:pPr>
              <w:jc w:val="right"/>
              <w:spacing w:after="0"/>
              <w:rPr>
                <w:sz w:val="20"/>
                <w:szCs w:val="20"/>
                <w:color w:val="auto"/>
              </w:rPr>
            </w:pPr>
            <w:r>
              <w:rPr>
                <w:rFonts w:ascii="Arial" w:cs="Arial" w:eastAsia="Arial" w:hAnsi="Arial"/>
                <w:sz w:val="16"/>
                <w:szCs w:val="16"/>
                <w:color w:val="auto"/>
              </w:rPr>
              <w:t>73,950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110,925</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25,778</w:t>
            </w:r>
          </w:p>
        </w:tc>
        <w:tc>
          <w:tcPr>
            <w:tcW w:w="700" w:type="dxa"/>
            <w:vAlign w:val="bottom"/>
          </w:tcPr>
          <w:p>
            <w:pPr>
              <w:jc w:val="right"/>
              <w:spacing w:after="0"/>
              <w:rPr>
                <w:sz w:val="20"/>
                <w:szCs w:val="20"/>
                <w:color w:val="auto"/>
              </w:rPr>
            </w:pPr>
            <w:r>
              <w:rPr>
                <w:rFonts w:ascii="Arial" w:cs="Arial" w:eastAsia="Arial" w:hAnsi="Arial"/>
                <w:sz w:val="16"/>
                <w:szCs w:val="16"/>
                <w:color w:val="auto"/>
              </w:rPr>
              <w:t>73,650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110,475</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70,000</w:t>
            </w:r>
          </w:p>
        </w:tc>
        <w:tc>
          <w:tcPr>
            <w:tcW w:w="700" w:type="dxa"/>
            <w:vAlign w:val="bottom"/>
          </w:tcPr>
          <w:p>
            <w:pPr>
              <w:ind w:left="80"/>
              <w:spacing w:after="0"/>
              <w:rPr>
                <w:sz w:val="20"/>
                <w:szCs w:val="20"/>
                <w:color w:val="auto"/>
              </w:rPr>
            </w:pPr>
            <w:r>
              <w:rPr>
                <w:rFonts w:ascii="Arial" w:cs="Arial" w:eastAsia="Arial" w:hAnsi="Arial"/>
                <w:sz w:val="16"/>
                <w:szCs w:val="16"/>
                <w:color w:val="auto"/>
              </w:rPr>
              <w:t>140,000</w:t>
            </w:r>
          </w:p>
        </w:tc>
        <w:tc>
          <w:tcPr>
            <w:tcW w:w="820" w:type="dxa"/>
            <w:vAlign w:val="bottom"/>
          </w:tcPr>
          <w:p>
            <w:pPr>
              <w:jc w:val="right"/>
              <w:spacing w:after="0"/>
              <w:rPr>
                <w:sz w:val="20"/>
                <w:szCs w:val="20"/>
                <w:color w:val="auto"/>
              </w:rPr>
            </w:pPr>
            <w:r>
              <w:rPr>
                <w:rFonts w:ascii="Arial" w:cs="Arial" w:eastAsia="Arial" w:hAnsi="Arial"/>
                <w:sz w:val="16"/>
                <w:szCs w:val="16"/>
                <w:color w:val="auto"/>
              </w:rPr>
              <w:t>210,000</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20"/>
                <w:szCs w:val="20"/>
                <w:color w:val="auto"/>
              </w:rPr>
            </w:pPr>
            <w:r>
              <w:rPr>
                <w:rFonts w:ascii="Arial" w:cs="Arial" w:eastAsia="Arial" w:hAnsi="Arial"/>
                <w:sz w:val="16"/>
                <w:szCs w:val="16"/>
                <w:color w:val="auto"/>
              </w:rPr>
              <w:t>Ms. Nixon</w:t>
            </w:r>
          </w:p>
        </w:tc>
        <w:tc>
          <w:tcPr>
            <w:tcW w:w="1510" w:type="dxa"/>
            <w:vAlign w:val="bottom"/>
            <w:gridSpan w:val="2"/>
            <w:shd w:val="clear" w:color="auto" w:fill="CCEEFF"/>
          </w:tcPr>
          <w:p>
            <w:pPr>
              <w:spacing w:after="0"/>
              <w:rPr>
                <w:sz w:val="18"/>
                <w:szCs w:val="18"/>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2,161</w:t>
            </w:r>
          </w:p>
        </w:tc>
        <w:tc>
          <w:tcPr>
            <w:tcW w:w="7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53,269</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79,904</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79,580</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1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1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60,460</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120,920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181,379</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20"/>
                <w:szCs w:val="20"/>
                <w:color w:val="auto"/>
              </w:rPr>
            </w:pPr>
            <w:r>
              <w:rPr>
                <w:rFonts w:ascii="Arial" w:cs="Arial" w:eastAsia="Arial" w:hAnsi="Arial"/>
                <w:sz w:val="16"/>
                <w:szCs w:val="16"/>
                <w:color w:val="auto"/>
              </w:rPr>
              <w:t>Mr. Veltman</w:t>
            </w:r>
          </w:p>
        </w:tc>
        <w:tc>
          <w:tcPr>
            <w:tcW w:w="9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2"/>
              </w:rPr>
              <w:t>Restricted Stock</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9"/>
              <w:spacing w:after="0"/>
              <w:rPr>
                <w:sz w:val="20"/>
                <w:szCs w:val="20"/>
                <w:color w:val="auto"/>
              </w:rPr>
            </w:pPr>
            <w:r>
              <w:rPr>
                <w:rFonts w:ascii="Arial" w:cs="Arial" w:eastAsia="Arial" w:hAnsi="Arial"/>
                <w:sz w:val="16"/>
                <w:szCs w:val="16"/>
                <w:color w:val="auto"/>
              </w:rPr>
              <w:t>4,149</w:t>
            </w:r>
          </w:p>
        </w:tc>
        <w:tc>
          <w:tcPr>
            <w:tcW w:w="70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101,858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1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TSR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51,137</w:t>
            </w:r>
          </w:p>
        </w:tc>
        <w:tc>
          <w:tcPr>
            <w:tcW w:w="700" w:type="dxa"/>
            <w:vAlign w:val="bottom"/>
          </w:tcPr>
          <w:p>
            <w:pPr>
              <w:jc w:val="right"/>
              <w:spacing w:after="0"/>
              <w:rPr>
                <w:sz w:val="20"/>
                <w:szCs w:val="20"/>
                <w:color w:val="auto"/>
              </w:rPr>
            </w:pPr>
            <w:r>
              <w:rPr>
                <w:rFonts w:ascii="Arial" w:cs="Arial" w:eastAsia="Arial" w:hAnsi="Arial"/>
                <w:sz w:val="16"/>
                <w:szCs w:val="16"/>
                <w:color w:val="auto"/>
              </w:rPr>
              <w:t>102,273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153,410</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102,273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ROIC Award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3/14/2018</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35,650</w:t>
            </w:r>
          </w:p>
        </w:tc>
        <w:tc>
          <w:tcPr>
            <w:tcW w:w="700" w:type="dxa"/>
            <w:vAlign w:val="bottom"/>
          </w:tcPr>
          <w:p>
            <w:pPr>
              <w:jc w:val="right"/>
              <w:spacing w:after="0"/>
              <w:rPr>
                <w:sz w:val="20"/>
                <w:szCs w:val="20"/>
                <w:color w:val="auto"/>
              </w:rPr>
            </w:pPr>
            <w:r>
              <w:rPr>
                <w:rFonts w:ascii="Arial" w:cs="Arial" w:eastAsia="Arial" w:hAnsi="Arial"/>
                <w:sz w:val="16"/>
                <w:szCs w:val="16"/>
                <w:color w:val="auto"/>
              </w:rPr>
              <w:t>101,858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152,787</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510" w:type="dxa"/>
            <w:vAlign w:val="bottom"/>
            <w:gridSpan w:val="2"/>
          </w:tcPr>
          <w:p>
            <w:pPr>
              <w:jc w:val="center"/>
              <w:spacing w:after="0"/>
              <w:rPr>
                <w:sz w:val="20"/>
                <w:szCs w:val="20"/>
                <w:color w:val="auto"/>
              </w:rPr>
            </w:pPr>
            <w:r>
              <w:rPr>
                <w:rFonts w:ascii="Arial" w:cs="Arial" w:eastAsia="Arial" w:hAnsi="Arial"/>
                <w:sz w:val="16"/>
                <w:szCs w:val="16"/>
                <w:color w:val="auto"/>
                <w:w w:val="94"/>
              </w:rPr>
              <w:t>Non-Equity Incentive</w:t>
            </w: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Plan Award</w:t>
            </w:r>
          </w:p>
        </w:tc>
        <w:tc>
          <w:tcPr>
            <w:tcW w:w="92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89,883</w:t>
            </w:r>
          </w:p>
        </w:tc>
        <w:tc>
          <w:tcPr>
            <w:tcW w:w="700" w:type="dxa"/>
            <w:vAlign w:val="bottom"/>
          </w:tcPr>
          <w:p>
            <w:pPr>
              <w:ind w:left="80"/>
              <w:spacing w:after="0"/>
              <w:rPr>
                <w:sz w:val="20"/>
                <w:szCs w:val="20"/>
                <w:color w:val="auto"/>
              </w:rPr>
            </w:pPr>
            <w:r>
              <w:rPr>
                <w:rFonts w:ascii="Arial" w:cs="Arial" w:eastAsia="Arial" w:hAnsi="Arial"/>
                <w:sz w:val="16"/>
                <w:szCs w:val="16"/>
                <w:color w:val="auto"/>
              </w:rPr>
              <w:t>179,765</w:t>
            </w:r>
          </w:p>
        </w:tc>
        <w:tc>
          <w:tcPr>
            <w:tcW w:w="820" w:type="dxa"/>
            <w:vAlign w:val="bottom"/>
          </w:tcPr>
          <w:p>
            <w:pPr>
              <w:jc w:val="right"/>
              <w:spacing w:after="0"/>
              <w:rPr>
                <w:sz w:val="20"/>
                <w:szCs w:val="20"/>
                <w:color w:val="auto"/>
              </w:rPr>
            </w:pPr>
            <w:r>
              <w:rPr>
                <w:rFonts w:ascii="Arial" w:cs="Arial" w:eastAsia="Arial" w:hAnsi="Arial"/>
                <w:sz w:val="16"/>
                <w:szCs w:val="16"/>
                <w:color w:val="auto"/>
              </w:rPr>
              <w:t>269,648</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694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82" w:lineRule="exact"/>
        <w:rPr>
          <w:sz w:val="20"/>
          <w:szCs w:val="20"/>
          <w:color w:val="auto"/>
        </w:rPr>
      </w:pPr>
    </w:p>
    <w:p>
      <w:pPr>
        <w:ind w:left="440" w:right="80" w:hanging="436"/>
        <w:spacing w:after="0" w:line="253"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40" w:right="100" w:hanging="436"/>
        <w:spacing w:after="0" w:line="281"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17 of the Notes to Consolidated Financial Statements included in our Annual Report on Form 10-K for the year ended December 31, 2018 filed with the SEC on March 18, 2019. See also “Compensation Discussion &amp; Analysis — What We Pay and Why: Elements of Compensation — Long-Term Incentive Compensation” for additional information regarding our PSUs, including information regarding performance criteria.</w:t>
      </w:r>
    </w:p>
    <w:p>
      <w:pPr>
        <w:spacing w:after="0" w:line="4" w:lineRule="exact"/>
        <w:rPr>
          <w:rFonts w:ascii="Arial" w:cs="Arial" w:eastAsia="Arial" w:hAnsi="Arial"/>
          <w:sz w:val="16"/>
          <w:szCs w:val="16"/>
          <w:color w:val="auto"/>
        </w:rPr>
      </w:pPr>
    </w:p>
    <w:p>
      <w:pPr>
        <w:ind w:left="440" w:right="20" w:hanging="436"/>
        <w:spacing w:after="0" w:line="250"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17 of the Notes to Consolidated Financial Statements included in our Annual Report on Form 10-K for the year ended December 31, 2018 filed with the SEC on March 18, 2019.</w:t>
      </w:r>
    </w:p>
    <w:p>
      <w:pPr>
        <w:spacing w:after="0" w:line="1" w:lineRule="exact"/>
        <w:rPr>
          <w:rFonts w:ascii="Arial" w:cs="Arial" w:eastAsia="Arial" w:hAnsi="Arial"/>
          <w:sz w:val="18"/>
          <w:szCs w:val="18"/>
          <w:color w:val="auto"/>
        </w:rPr>
      </w:pPr>
    </w:p>
    <w:p>
      <w:pPr>
        <w:ind w:left="440" w:right="80" w:hanging="436"/>
        <w:spacing w:after="0" w:line="250"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ASC Topic 718. Shares of restricted stock vest over a period of three years beginning on the first anniversary of the date of grant.</w:t>
      </w:r>
    </w:p>
    <w:p>
      <w:pPr>
        <w:ind w:left="440" w:right="200" w:hanging="436"/>
        <w:spacing w:after="0" w:line="261"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date fair values of PSUs in the table above assumes target performance, but the actual number of performance shares distributed at the end of the performance period is dependent upon the achievement of stated performance goals.</w:t>
      </w:r>
    </w:p>
    <w:p>
      <w:pPr>
        <w:sectPr>
          <w:pgSz w:w="11900" w:h="16838" w:orient="portrait"/>
          <w:cols w:equalWidth="0" w:num="1">
            <w:col w:w="11040"/>
          </w:cols>
          <w:pgMar w:left="440" w:top="274" w:right="419" w:bottom="1440" w:gutter="0" w:footer="0" w:header="0"/>
          <w:type w:val="continuous"/>
        </w:sectPr>
      </w:pP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040"/>
          </w:cols>
          <w:pgMar w:left="440" w:top="274" w:right="419" w:bottom="1440" w:gutter="0" w:footer="0" w:header="0"/>
          <w:type w:val="continuous"/>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2018.</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or</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6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Units</w:t>
            </w:r>
          </w:p>
        </w:tc>
        <w:tc>
          <w:tcPr>
            <w:tcW w:w="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Units or</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6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Rights</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Unexercised</w:t>
            </w:r>
          </w:p>
        </w:tc>
        <w:tc>
          <w:tcPr>
            <w:tcW w:w="40" w:type="dxa"/>
            <w:vAlign w:val="bottom"/>
          </w:tcPr>
          <w:p>
            <w:pPr>
              <w:spacing w:after="0"/>
              <w:rPr>
                <w:sz w:val="12"/>
                <w:szCs w:val="12"/>
                <w:color w:val="auto"/>
              </w:rPr>
            </w:pPr>
          </w:p>
        </w:tc>
        <w:tc>
          <w:tcPr>
            <w:tcW w:w="90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Unearned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7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Grant/Award Type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3"/>
          </w:tcPr>
          <w:p>
            <w:pPr>
              <w:jc w:val="center"/>
              <w:ind w:left="82"/>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2"/>
                <w:szCs w:val="12"/>
                <w:color w:val="auto"/>
              </w:rPr>
            </w:pPr>
          </w:p>
        </w:tc>
        <w:tc>
          <w:tcPr>
            <w:tcW w:w="6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Vested</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8"/>
        </w:trPr>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880" w:type="dxa"/>
            <w:vAlign w:val="bottom"/>
            <w:gridSpan w:val="2"/>
          </w:tcPr>
          <w:p>
            <w:pPr>
              <w:jc w:val="center"/>
              <w:ind w:left="3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60" w:type="dxa"/>
            <w:vAlign w:val="bottom"/>
            <w:gridSpan w:val="3"/>
          </w:tcPr>
          <w:p>
            <w:pPr>
              <w:jc w:val="center"/>
              <w:ind w:left="10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94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center"/>
              <w:ind w:left="92"/>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right"/>
              <w:ind w:right="33"/>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840" w:type="dxa"/>
            <w:vAlign w:val="bottom"/>
            <w:gridSpan w:val="2"/>
          </w:tcPr>
          <w:p>
            <w:pPr>
              <w:jc w:val="center"/>
              <w:ind w:left="91"/>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60" w:type="dxa"/>
            <w:vAlign w:val="bottom"/>
          </w:tcPr>
          <w:p>
            <w:pPr>
              <w:spacing w:after="0"/>
              <w:rPr>
                <w:sz w:val="15"/>
                <w:szCs w:val="15"/>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Mr.</w:t>
            </w:r>
          </w:p>
        </w:tc>
        <w:tc>
          <w:tcPr>
            <w:tcW w:w="920" w:type="dxa"/>
            <w:vAlign w:val="bottom"/>
          </w:tcPr>
          <w:p>
            <w:pPr>
              <w:spacing w:after="0" w:line="189" w:lineRule="exact"/>
              <w:rPr>
                <w:sz w:val="20"/>
                <w:szCs w:val="20"/>
                <w:color w:val="auto"/>
              </w:rPr>
            </w:pPr>
            <w:r>
              <w:rPr>
                <w:rFonts w:ascii="Arial" w:cs="Arial" w:eastAsia="Arial" w:hAnsi="Arial"/>
                <w:sz w:val="18"/>
                <w:szCs w:val="18"/>
                <w:color w:val="auto"/>
              </w:rPr>
              <w:t>Holder</w:t>
            </w:r>
          </w:p>
        </w:tc>
        <w:tc>
          <w:tcPr>
            <w:tcW w:w="14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FY 2013 Option</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1"/>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9.40</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6/3/2023</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62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2014 Option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80,788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16,528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110,903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21,731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145,815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1"/>
              </w:rPr>
              <w:t>FY 2017 ROIC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24,793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166,361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204,984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Burwell</w:t>
            </w: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FY 2011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2012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2013 Option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3/25/2023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2017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2017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Option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2018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2018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2018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Mr. Atkinson</w:t>
            </w:r>
          </w:p>
        </w:tc>
        <w:tc>
          <w:tcPr>
            <w:tcW w:w="1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7"/>
                <w:szCs w:val="17"/>
                <w:color w:val="auto"/>
              </w:rPr>
            </w:pPr>
          </w:p>
        </w:tc>
        <w:tc>
          <w:tcPr>
            <w:tcW w:w="7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978</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6,562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8,911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Options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4,440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8,800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20,130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FY 2011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2012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2013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3/25/2023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2014 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3/19/2024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2017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2017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2017 Options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FY 2018 RSU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FY 2018 TSR Awards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FY 2018 ROIC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Mr. Veltman</w:t>
            </w:r>
          </w:p>
        </w:tc>
        <w:tc>
          <w:tcPr>
            <w:tcW w:w="14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FY 2014 Option</w:t>
            </w:r>
          </w:p>
        </w:tc>
        <w:tc>
          <w:tcPr>
            <w:tcW w:w="1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22.15</w:t>
            </w: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5"/>
              </w:rPr>
              <w:t>10/20/2024</w:t>
            </w:r>
          </w:p>
        </w:tc>
        <w:tc>
          <w:tcPr>
            <w:tcW w:w="200" w:type="dxa"/>
            <w:vAlign w:val="bottom"/>
          </w:tcPr>
          <w:p>
            <w:pPr>
              <w:spacing w:after="0"/>
              <w:rPr>
                <w:sz w:val="17"/>
                <w:szCs w:val="17"/>
                <w:color w:val="auto"/>
              </w:rPr>
            </w:pPr>
          </w:p>
        </w:tc>
        <w:tc>
          <w:tcPr>
            <w:tcW w:w="54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2016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2017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2017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27,155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RSU</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6"/>
              </w:rPr>
              <w:t>FY 2018 TSR Awards</w:t>
            </w: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FY 2018 ROIC</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019"/>
          </w:cols>
          <w:pgMar w:left="1440" w:top="125" w:right="1440" w:bottom="1440" w:gutter="0" w:footer="0" w:header="0"/>
        </w:sectPr>
      </w:pPr>
    </w:p>
    <w:bookmarkStart w:id="47" w:name="page48"/>
    <w:bookmarkEnd w:id="47"/>
    <w:p>
      <w:pPr>
        <w:ind w:left="440" w:hanging="436"/>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269240</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t>Stock options vest in three equal annual installments beginning on the first anniversary of the date of grant.</w:t>
      </w:r>
    </w:p>
    <w:p>
      <w:pPr>
        <w:spacing w:after="0" w:line="23" w:lineRule="exact"/>
        <w:rPr>
          <w:rFonts w:ascii="Arial" w:cs="Arial" w:eastAsia="Arial" w:hAnsi="Arial"/>
          <w:sz w:val="18"/>
          <w:szCs w:val="18"/>
          <w:color w:val="auto"/>
        </w:rPr>
      </w:pPr>
    </w:p>
    <w:p>
      <w:pPr>
        <w:ind w:left="440" w:right="200" w:hanging="436"/>
        <w:spacing w:after="0" w:line="281"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restricted stock vest in three equal annual installments beginning on the first anniversary of the date of grant. Performance share units granted on April 30, 2015, March 16, 2016, March 17, 2017 and March 14, 2018 will, subject to the achievement of the performance goals applicable thereto, vest on December 31, 2017, December 31, 2018, December 31, 2019 and December 31, 2020, respectively.</w:t>
      </w:r>
    </w:p>
    <w:p>
      <w:pPr>
        <w:spacing w:after="0" w:line="2" w:lineRule="exact"/>
        <w:rPr>
          <w:rFonts w:ascii="Arial" w:cs="Arial" w:eastAsia="Arial" w:hAnsi="Arial"/>
          <w:sz w:val="16"/>
          <w:szCs w:val="16"/>
          <w:color w:val="auto"/>
        </w:rPr>
      </w:pPr>
    </w:p>
    <w:p>
      <w:pPr>
        <w:ind w:left="440" w:right="500" w:hanging="436"/>
        <w:spacing w:after="0" w:line="323"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market value of unvested shares of restricted stock and unvested shares issuable in respect of PSUs is based on the closing price of our common stock on the last day of fiscal year 2018, which was $6.71 and, with respect to PSUs, assumes target performance.</w:t>
      </w:r>
    </w:p>
    <w:p>
      <w:pPr>
        <w:spacing w:after="0" w:line="1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following table sets forth information with respect to option exercises and stock vesting as of December 31, 2018.</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 Exercises and Stock Vested During 2018</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1880" w:type="dxa"/>
            <w:vAlign w:val="bottom"/>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5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Acquired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w:t>
            </w:r>
          </w:p>
        </w:tc>
        <w:tc>
          <w:tcPr>
            <w:tcW w:w="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50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200" w:type="dxa"/>
            <w:vAlign w:val="bottom"/>
            <w:gridSpan w:val="3"/>
          </w:tcPr>
          <w:p>
            <w:pPr>
              <w:jc w:val="center"/>
              <w:ind w:left="356"/>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3560" w:type="dxa"/>
            <w:vAlign w:val="bottom"/>
            <w:gridSpan w:val="3"/>
            <w:vMerge w:val="continue"/>
          </w:tcPr>
          <w:p>
            <w:pPr>
              <w:spacing w:after="0"/>
              <w:rPr>
                <w:sz w:val="13"/>
                <w:szCs w:val="13"/>
                <w:color w:val="auto"/>
              </w:rPr>
            </w:pPr>
          </w:p>
        </w:tc>
        <w:tc>
          <w:tcPr>
            <w:tcW w:w="3160" w:type="dxa"/>
            <w:vAlign w:val="bottom"/>
            <w:gridSpan w:val="2"/>
          </w:tcPr>
          <w:p>
            <w:pPr>
              <w:jc w:val="center"/>
              <w:ind w:left="2508"/>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428"/>
              <w:spacing w:after="0" w:line="15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414"/>
              <w:spacing w:after="0" w:line="158"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396"/>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28,526</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692,556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2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2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7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the named executive officer’s base salary (as of the date of termination) plus the named executive officer’s target bonus;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463" w:right="499" w:bottom="1440" w:gutter="0" w:footer="0" w:header="0"/>
        </w:sectPr>
      </w:pPr>
    </w:p>
    <w:bookmarkStart w:id="48" w:name="page49"/>
    <w:bookmarkEnd w:id="48"/>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each named executive officer would have received under their respective agreements had a change in control and the termination of the executive’s service occurred, each as of December 31, 2018.</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Restricted</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Stock And</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Stock Option</w:t>
            </w: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Cash Severance</w:t>
            </w: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Share Unit</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4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3220" w:type="dxa"/>
            <w:vAlign w:val="bottom"/>
            <w:gridSpan w:val="2"/>
          </w:tcPr>
          <w:p>
            <w:pPr>
              <w:jc w:val="right"/>
              <w:ind w:right="25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40" w:type="dxa"/>
            <w:vAlign w:val="bottom"/>
            <w:gridSpan w:val="2"/>
          </w:tcPr>
          <w:p>
            <w:pPr>
              <w:jc w:val="right"/>
              <w:ind w:right="173"/>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20" w:type="dxa"/>
            <w:vAlign w:val="bottom"/>
            <w:gridSpan w:val="2"/>
          </w:tcPr>
          <w:p>
            <w:pPr>
              <w:jc w:val="center"/>
              <w:ind w:left="336"/>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8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2,928,000</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1,118,819</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4,046,819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969,200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149,298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1,118,498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Atkinson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712,000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92,806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670,340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82,385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910,825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171,018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1,081,843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4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76" w:lineRule="exact"/>
        <w:rPr>
          <w:sz w:val="20"/>
          <w:szCs w:val="20"/>
          <w:color w:val="auto"/>
        </w:rPr>
      </w:pPr>
    </w:p>
    <w:p>
      <w:pPr>
        <w:ind w:left="440" w:right="140" w:hanging="436"/>
        <w:spacing w:after="0" w:line="256"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represent two-times the named executive officer’s base salary, plus the named executive officer’s target bonus, plus a transition assistance payment of $12,000. None of the named executive officers were entitled to their bonuses for 2018, so that additional component is not reflected in the amounts above.</w:t>
      </w:r>
    </w:p>
    <w:p>
      <w:pPr>
        <w:ind w:left="440" w:hanging="436"/>
        <w:spacing w:after="0" w:line="265"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Stock option acceleration is calculated based on the difference between: (a) the market value of the shares of common stock underlying the above named executive officer’s unvested options on December 31, 2018, and (b) the exercise price of the unvested options held by such executive officer. The market value as of December 31, 2018 is deemed to have been $6.71 per share, which is the closing sale price of our common stock reported for transactions effected on the Nasdaq Global Select Market on December 31, 2018. Mr. Burwell, Mr. Atkinson and Ms. Nixon each held unvested options as of December 31, 2018 with an exercise price of $24.20 per share. However, no compensation is reflected in this column since the exercise price of their unvested options is greater than the market value.</w:t>
      </w:r>
    </w:p>
    <w:p>
      <w:pPr>
        <w:spacing w:after="0" w:line="1" w:lineRule="exact"/>
        <w:rPr>
          <w:rFonts w:ascii="Arial" w:cs="Arial" w:eastAsia="Arial" w:hAnsi="Arial"/>
          <w:sz w:val="17"/>
          <w:szCs w:val="17"/>
          <w:color w:val="auto"/>
        </w:rPr>
      </w:pPr>
    </w:p>
    <w:p>
      <w:pPr>
        <w:ind w:left="440" w:right="60" w:hanging="436"/>
        <w:spacing w:after="0" w:line="252"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acceleration is calculated based on the market value of the above named executive officers’ unvested restricted stock and performance share units on December 31, 2018. The market value as of December 31, 2018 is deemed to have been $6.71 per share, which is the closing sale price of our common stock reported for transactions effected on the Nasdaq Global Select Market on December 31, 2018.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All compensation decisions during the fiscal year ended December 31, 2018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For 2018, the annual total compensation of the CEO, as set forth in the Summary Compensation Table, was $4,050,962, and the median of the annual total compensation of all employees, other than the CEO, was $29,546, resulting in a ratio of 137:1, or the Pay Ratio.</w:t>
      </w:r>
    </w:p>
    <w:p>
      <w:pPr>
        <w:spacing w:after="0" w:line="14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determining the median employee, we collected information regarding taxable wages for all 5,479 employees of the Company and its consolidated subsidiaries as of December 31, 2018 for the period beginning January 1, 2018 and ending December 31, 2018. Taxable wages generally included an employee’s actual income, including base wages, overtime, bonuses and other cash incentives, that are subject to taxation in the applicable jurisdiction. We converted earnings paid in local currencies to U.S. dollars by applying the exchange rate at December 31, 2018.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9" w:name="page50"/>
    <w:bookmarkEnd w:id="49"/>
    <w:p>
      <w:pPr>
        <w:ind w:right="3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did not utilize the “de minimis” exception, statistical sampling or other similar methods, or any cost-of-living adjustment, as permitted by applicable SEC regulations, in calculating the Pay Ratio.</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VI: RATIFICATION OF SELECTION OF OUR REGISTERED INDEPENDENT PUBLIC ACCOUNTING FIRM</w:t>
      </w:r>
    </w:p>
    <w:p>
      <w:pPr>
        <w:spacing w:after="0" w:line="12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2019.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aggregate fees and expenses billed or expected to be billed by PricewaterhouseCoopers LLP for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5,703,609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4,876,477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Audit-Related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1,127,850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Fees</w:t>
            </w:r>
          </w:p>
        </w:tc>
        <w:tc>
          <w:tcPr>
            <w:tcW w:w="2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6,883,259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5,794,170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0" w:name="page51"/>
    <w:bookmarkEnd w:id="50"/>
    <w:p>
      <w:pPr>
        <w:ind w:right="16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has reviewed and discussed with our management and PricewaterhouseCoopers LLP, our registered independent public accounting firm, the audited financial statements of the Company for 2018; has discussed with PricewaterhouseCoopers LLP matters required to be discussed by Public Company Accounting Oversight Board (PCAOB) standards; has received the written disclosures and the letter from PricewaterhouseCoopers LLP required by the applicable requirements of the PCAOB regarding its communications with the Audit Committee concerning independence; and has discussed with PricewaterhouseCoopers LLP their independence from the Company,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2018, which was filed with the SEC on March 18, 2019.</w:t>
      </w: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L. Pugh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Carey A. Smith</w:t>
      </w:r>
    </w:p>
    <w:p>
      <w:pPr>
        <w:spacing w:after="0" w:line="211" w:lineRule="exact"/>
        <w:rPr>
          <w:sz w:val="20"/>
          <w:szCs w:val="20"/>
          <w:color w:val="auto"/>
        </w:rPr>
      </w:pPr>
    </w:p>
    <w:p>
      <w:pPr>
        <w:ind w:right="700" w:firstLine="444"/>
        <w:spacing w:after="0" w:line="342"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Our Annual Report on Form 10-K for the year ended December 31, 2018 is being mailed together with this Proxy Statement. Exhibits to our Annual Report on Form 10-K may be obtained by contacting our Secretary at 6210 Ardrey Kell Road, Charlotte, North Carolina 28277.</w:t>
      </w:r>
    </w:p>
    <w:p>
      <w:pPr>
        <w:spacing w:after="0" w:line="124"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April</w:t>
        <w:tab/>
        <w:t>, 2019</w:t>
      </w:r>
    </w:p>
    <w:p>
      <w:pPr>
        <w:spacing w:after="0" w:line="328"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STOCKHOLDERS ARE REQUESTED TO MARK, DATE AND SIGN THE ENCLOSED PROXY CARD AND RETURN IT IN THE ENCLOSED ENVELOPE. YOUR PROMPT RESPONSE WILL BE HELPFUL, AND YOUR COOPERATION WILL BE APPRECIATED.</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440" w:top="274" w:right="5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133" w:lineRule="exact"/>
        <w:rPr>
          <w:sz w:val="20"/>
          <w:szCs w:val="20"/>
          <w:color w:val="auto"/>
        </w:rPr>
      </w:pPr>
    </w:p>
    <w:p>
      <w:pPr>
        <w:ind w:left="800" w:hanging="356"/>
        <w:spacing w:after="0"/>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Section 3 of Article V of the Restated Certificate of Incorporation of the Corporation is hereby amended in its entirety to read as follows:</w:t>
      </w:r>
    </w:p>
    <w:p>
      <w:pPr>
        <w:spacing w:after="0" w:line="142" w:lineRule="exact"/>
        <w:rPr>
          <w:sz w:val="20"/>
          <w:szCs w:val="20"/>
          <w:color w:val="auto"/>
        </w:rPr>
      </w:pPr>
    </w:p>
    <w:p>
      <w:pPr>
        <w:ind w:left="440" w:right="140"/>
        <w:spacing w:after="0" w:line="288" w:lineRule="auto"/>
        <w:rPr>
          <w:sz w:val="20"/>
          <w:szCs w:val="20"/>
          <w:color w:val="auto"/>
        </w:rPr>
      </w:pPr>
      <w:r>
        <w:rPr>
          <w:rFonts w:ascii="Arial" w:cs="Arial" w:eastAsia="Arial" w:hAnsi="Arial"/>
          <w:sz w:val="16"/>
          <w:szCs w:val="16"/>
          <w:color w:val="auto"/>
        </w:rPr>
        <w:t>“Until the election of directors at the 2021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of stockholders shall be elected for a term expiring on the date of the third annual meeting of stockholders following the annual meeting of stockholders at which the director was elected. Each director elected at the 2019 annual meeting of stockholders shall be elected for a one-year term expiring at the 2020 annual meeting of stockholders. Each director elected at the 2020 annual meeting of stockholders shall be elected for a one-year term expiring at the 2021 annual meeting of stockholders. At the 2021 annual meeting of stockholders and each annual meeting of stockholders thereafter, all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spacing w:after="0" w:line="169" w:lineRule="exact"/>
        <w:rPr>
          <w:sz w:val="20"/>
          <w:szCs w:val="20"/>
          <w:color w:val="auto"/>
        </w:rPr>
      </w:pPr>
    </w:p>
    <w:p>
      <w:pPr>
        <w:ind w:right="480" w:firstLine="444"/>
        <w:spacing w:after="0" w:line="277" w:lineRule="auto"/>
        <w:tabs>
          <w:tab w:leader="none" w:pos="7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second paragraph of Section 5 of Article V of the Restated Certificate of Incorporation of the Corporation is hereby amended in its entirety to read as follows.</w:t>
      </w:r>
    </w:p>
    <w:p>
      <w:pPr>
        <w:spacing w:after="0" w:line="76" w:lineRule="exact"/>
        <w:rPr>
          <w:sz w:val="20"/>
          <w:szCs w:val="20"/>
          <w:color w:val="auto"/>
        </w:rPr>
      </w:pPr>
    </w:p>
    <w:p>
      <w:pPr>
        <w:ind w:left="440" w:right="260"/>
        <w:spacing w:after="0" w:line="257" w:lineRule="auto"/>
        <w:rPr>
          <w:sz w:val="20"/>
          <w:szCs w:val="20"/>
          <w:color w:val="auto"/>
        </w:rPr>
      </w:pPr>
      <w:r>
        <w:rPr>
          <w:rFonts w:ascii="Arial" w:cs="Arial" w:eastAsia="Arial" w:hAnsi="Arial"/>
          <w:sz w:val="18"/>
          <w:szCs w:val="18"/>
          <w:color w:val="auto"/>
        </w:rPr>
        <w:t>“Directors so chosen shall hold office for a term expiring at the annual meeting of stockholders at which the term of office to which they have been elected expires pursuant to Section 3 of this Article V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spacing w:after="0" w:line="188" w:lineRule="exact"/>
        <w:rPr>
          <w:sz w:val="20"/>
          <w:szCs w:val="20"/>
          <w:color w:val="auto"/>
        </w:rPr>
      </w:pPr>
    </w:p>
    <w:p>
      <w:pPr>
        <w:ind w:right="460" w:firstLine="444"/>
        <w:spacing w:after="0" w:line="277" w:lineRule="auto"/>
        <w:tabs>
          <w:tab w:leader="none" w:pos="7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to be signed by its duly authorized officer this</w:t>
      </w: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Arial" w:cs="Arial" w:eastAsia="Arial" w:hAnsi="Arial"/>
                <w:sz w:val="18"/>
                <w:szCs w:val="18"/>
                <w:color w:val="auto"/>
                <w:w w:val="89"/>
              </w:rPr>
              <w:t>day of</w:t>
            </w:r>
          </w:p>
        </w:tc>
        <w:tc>
          <w:tcPr>
            <w:tcW w:w="44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20"/>
        </w:trPr>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corporation organized and existing under the laws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as follows:</w:t>
      </w:r>
    </w:p>
    <w:p>
      <w:pPr>
        <w:spacing w:after="0" w:line="241" w:lineRule="exact"/>
        <w:rPr>
          <w:sz w:val="20"/>
          <w:szCs w:val="20"/>
          <w:color w:val="auto"/>
        </w:rPr>
      </w:pPr>
    </w:p>
    <w:p>
      <w:pPr>
        <w:ind w:firstLine="444"/>
        <w:spacing w:after="0" w:line="277"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first sentence of Section 1 of Article IV of the Restated Certificate of Incorporation of the Corporation is hereby amended in its entirety to read as follows:</w:t>
      </w:r>
    </w:p>
    <w:p>
      <w:pPr>
        <w:spacing w:after="0" w:line="62" w:lineRule="exact"/>
        <w:rPr>
          <w:sz w:val="20"/>
          <w:szCs w:val="20"/>
          <w:color w:val="auto"/>
        </w:rPr>
      </w:pPr>
    </w:p>
    <w:p>
      <w:pPr>
        <w:ind w:left="880" w:right="220"/>
        <w:spacing w:after="0" w:line="264" w:lineRule="auto"/>
        <w:rPr>
          <w:sz w:val="20"/>
          <w:szCs w:val="20"/>
          <w:color w:val="auto"/>
        </w:rPr>
      </w:pPr>
      <w:r>
        <w:rPr>
          <w:rFonts w:ascii="Arial" w:cs="Arial" w:eastAsia="Arial" w:hAnsi="Arial"/>
          <w:sz w:val="18"/>
          <w:szCs w:val="18"/>
          <w:color w:val="auto"/>
        </w:rPr>
        <w:t>“The total number of shares of capital stock that the Corporation shall have the authority to issue is 95,000,000 shares, consisting of 90,000,000 shares of common stock, par value $.01 per share (“Common Stock”), and 5,000,000 shares of preferred stock, par value $.01 per share (“Preferred Stock”).”</w:t>
      </w:r>
    </w:p>
    <w:p>
      <w:pPr>
        <w:spacing w:after="0" w:line="181" w:lineRule="exact"/>
        <w:rPr>
          <w:sz w:val="20"/>
          <w:szCs w:val="20"/>
          <w:color w:val="auto"/>
        </w:rPr>
      </w:pPr>
    </w:p>
    <w:p>
      <w:pPr>
        <w:ind w:right="500" w:firstLine="444"/>
        <w:spacing w:after="0" w:line="277" w:lineRule="auto"/>
        <w:tabs>
          <w:tab w:leader="none" w:pos="7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amendment to the Restated Certificate of Incorporation effected hereby has been duly adopted in accordance with the provisions of Section 242 of the General Corporation Law of the State of Delaware.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Certificate of Amendment will become effective when filed with the Secretary of State of the State of Delaware.</w:t>
      </w:r>
    </w:p>
    <w:p>
      <w:pPr>
        <w:spacing w:after="0" w:line="221" w:lineRule="exact"/>
        <w:rPr>
          <w:sz w:val="20"/>
          <w:szCs w:val="20"/>
          <w:color w:val="auto"/>
        </w:rPr>
      </w:pPr>
    </w:p>
    <w:p>
      <w:pPr>
        <w:ind w:left="440"/>
        <w:spacing w:after="0"/>
        <w:tabs>
          <w:tab w:leader="none" w:pos="934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to be signed by its duly authorized officer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-7620</wp:posOffset>
            </wp:positionV>
            <wp:extent cx="2286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6235065</wp:posOffset>
            </wp:positionH>
            <wp:positionV relativeFrom="paragraph">
              <wp:posOffset>-7620</wp:posOffset>
            </wp:positionV>
            <wp:extent cx="571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17" w:lineRule="exact"/>
        <w:rPr>
          <w:sz w:val="20"/>
          <w:szCs w:val="20"/>
          <w:color w:val="auto"/>
        </w:rPr>
      </w:pPr>
    </w:p>
    <w:p>
      <w:pPr>
        <w:jc w:val="both"/>
        <w:ind w:right="40" w:firstLine="441"/>
        <w:spacing w:after="0" w:line="289" w:lineRule="auto"/>
        <w:rPr>
          <w:sz w:val="20"/>
          <w:szCs w:val="20"/>
          <w:color w:val="auto"/>
        </w:rPr>
      </w:pPr>
      <w:r>
        <w:rPr>
          <w:rFonts w:ascii="Arial" w:cs="Arial" w:eastAsia="Arial" w:hAnsi="Arial"/>
          <w:sz w:val="16"/>
          <w:szCs w:val="16"/>
          <w:color w:val="auto"/>
        </w:rPr>
        <w:t>This plan shall be known as the “NN, Inc. 2019 Omnibus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The purpose of the Plan is to promote the interests of NN, Inc. (the “</w:t>
      </w:r>
      <w:r>
        <w:rPr>
          <w:rFonts w:ascii="Arial" w:cs="Arial" w:eastAsia="Arial" w:hAnsi="Arial"/>
          <w:sz w:val="16"/>
          <w:szCs w:val="16"/>
          <w:b w:val="1"/>
          <w:bCs w:val="1"/>
          <w:color w:val="auto"/>
        </w:rPr>
        <w:t>Company</w:t>
      </w:r>
      <w:r>
        <w:rPr>
          <w:rFonts w:ascii="Arial" w:cs="Arial" w:eastAsia="Arial" w:hAnsi="Arial"/>
          <w:sz w:val="16"/>
          <w:szCs w:val="16"/>
          <w:color w:val="auto"/>
        </w:rPr>
        <w:t>”) and its stockholders by: (i) attracting and retaining key officers, employees and directors of, and consultants to, the Company and its Subsidiaries and Affiliates; (ii) motivating such individuals by means of performance-related incentives to achieve long-range performance goals;</w:t>
      </w:r>
    </w:p>
    <w:p>
      <w:pPr>
        <w:spacing w:after="0" w:line="2" w:lineRule="exact"/>
        <w:rPr>
          <w:sz w:val="20"/>
          <w:szCs w:val="20"/>
          <w:color w:val="auto"/>
        </w:rPr>
      </w:pPr>
    </w:p>
    <w:p>
      <w:pPr>
        <w:ind w:right="180" w:firstLine="4"/>
        <w:spacing w:after="0" w:line="290"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3"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72"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“Appreciation Award”</w:t>
      </w:r>
      <w:r>
        <w:rPr>
          <w:rFonts w:ascii="Arial" w:cs="Arial" w:eastAsia="Arial" w:hAnsi="Arial"/>
          <w:sz w:val="18"/>
          <w:szCs w:val="18"/>
          <w:color w:val="auto"/>
        </w:rPr>
        <w:t xml:space="preserve">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68"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6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means any written agreement, contract or other instrument or document evidencing any Award, which may, but need not, be executed or acknowledged by a Participant.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“Cause”</w:t>
      </w:r>
      <w:r>
        <w:rPr>
          <w:rFonts w:ascii="Arial" w:cs="Arial" w:eastAsia="Arial" w:hAnsi="Arial"/>
          <w:sz w:val="16"/>
          <w:szCs w:val="16"/>
          <w:color w:val="auto"/>
        </w:rPr>
        <w:t xml:space="preserve">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unauthorized acts intended to result in the Participant’s personal enrichment at the material expense of the Company or a Subsidiary or Affiliate; (iii) any willful breach of any written policy of the Company or a Subsidiary or Affiliate; or (iv) any violation of the Participant’s duties or responsibilities to the Company or a Subsidiary or Affiliate which constitutes willful misconduct or dereliction of duty.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means, unless otherwise provided in the applicable Award Agreement, the happening of one of the following:</w:t>
      </w:r>
    </w:p>
    <w:p>
      <w:pPr>
        <w:spacing w:after="0" w:line="133" w:lineRule="exact"/>
        <w:rPr>
          <w:sz w:val="20"/>
          <w:szCs w:val="20"/>
          <w:color w:val="auto"/>
        </w:rPr>
      </w:pPr>
    </w:p>
    <w:p>
      <w:pPr>
        <w:ind w:left="440" w:right="300" w:firstLine="428"/>
        <w:spacing w:after="0" w:line="264" w:lineRule="auto"/>
        <w:tabs>
          <w:tab w:leader="none" w:pos="11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trustee or other fiduciary holding securities of the Company under an employee benefit plan maintained by the Company or any corporation owned, directly or indirectly, by the Company’s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54" w:name="page55"/>
    <w:bookmarkEnd w:id="54"/>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in substantially the same proportions as their ownership of the Company’s stock, becomes the “beneficial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pacing w:after="0" w:line="79" w:lineRule="exact"/>
        <w:rPr>
          <w:sz w:val="20"/>
          <w:szCs w:val="20"/>
          <w:color w:val="auto"/>
        </w:rPr>
      </w:pPr>
    </w:p>
    <w:p>
      <w:pPr>
        <w:ind w:left="440" w:right="120" w:firstLine="428"/>
        <w:spacing w:after="0" w:line="277" w:lineRule="auto"/>
        <w:tabs>
          <w:tab w:leader="none" w:pos="11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consummation of:</w:t>
      </w:r>
    </w:p>
    <w:p>
      <w:pPr>
        <w:spacing w:after="0" w:line="117" w:lineRule="exact"/>
        <w:rPr>
          <w:rFonts w:ascii="Arial" w:cs="Arial" w:eastAsia="Arial" w:hAnsi="Arial"/>
          <w:sz w:val="18"/>
          <w:szCs w:val="18"/>
          <w:color w:val="auto"/>
        </w:rPr>
      </w:pPr>
    </w:p>
    <w:p>
      <w:pPr>
        <w:ind w:left="880" w:right="140" w:firstLine="411"/>
        <w:spacing w:after="0" w:line="277" w:lineRule="auto"/>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cash tender or exchange offer, reorganization, merger or other business combination or contested election, or any combination of the foregoing involving the Company, unless:</w:t>
      </w:r>
    </w:p>
    <w:p>
      <w:pPr>
        <w:spacing w:after="0" w:line="62" w:lineRule="exact"/>
        <w:rPr>
          <w:rFonts w:ascii="Arial" w:cs="Arial" w:eastAsia="Arial" w:hAnsi="Arial"/>
          <w:sz w:val="18"/>
          <w:szCs w:val="18"/>
          <w:color w:val="auto"/>
        </w:rPr>
      </w:pPr>
    </w:p>
    <w:p>
      <w:pPr>
        <w:ind w:left="1440" w:right="120" w:firstLine="380"/>
        <w:spacing w:after="0" w:line="259" w:lineRule="auto"/>
        <w:tabs>
          <w:tab w:leader="none" w:pos="2118"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78" w:lineRule="exact"/>
        <w:rPr>
          <w:rFonts w:ascii="Arial" w:cs="Arial" w:eastAsia="Arial" w:hAnsi="Arial"/>
          <w:sz w:val="18"/>
          <w:szCs w:val="18"/>
          <w:color w:val="auto"/>
        </w:rPr>
      </w:pPr>
    </w:p>
    <w:p>
      <w:pPr>
        <w:ind w:left="1440" w:right="120" w:firstLine="380"/>
        <w:spacing w:after="0" w:line="264" w:lineRule="auto"/>
        <w:tabs>
          <w:tab w:leader="none" w:pos="2108"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73" w:lineRule="exact"/>
        <w:rPr>
          <w:rFonts w:ascii="Arial" w:cs="Arial" w:eastAsia="Arial" w:hAnsi="Arial"/>
          <w:sz w:val="18"/>
          <w:szCs w:val="18"/>
          <w:color w:val="auto"/>
        </w:rPr>
      </w:pPr>
    </w:p>
    <w:p>
      <w:pPr>
        <w:ind w:left="1440" w:firstLine="380"/>
        <w:spacing w:after="0" w:line="255" w:lineRule="auto"/>
        <w:tabs>
          <w:tab w:leader="none" w:pos="2108" w:val="left"/>
        </w:tabs>
        <w:numPr>
          <w:ilvl w:val="2"/>
          <w:numId w:val="58"/>
        </w:numPr>
        <w:rPr>
          <w:rFonts w:ascii="Arial" w:cs="Arial" w:eastAsia="Arial" w:hAnsi="Arial"/>
          <w:sz w:val="18"/>
          <w:szCs w:val="18"/>
          <w:color w:val="auto"/>
        </w:rPr>
      </w:pPr>
      <w:r>
        <w:rPr>
          <w:rFonts w:ascii="Arial" w:cs="Arial" w:eastAsia="Arial" w:hAnsi="Arial"/>
          <w:sz w:val="18"/>
          <w:szCs w:val="18"/>
          <w:color w:val="auto"/>
        </w:rPr>
        <w:t>no person (other than (I) the Company or any Subsidiary thereof, (II) any employee benefit plan (or any trust forming a part 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85" w:lineRule="exact"/>
        <w:rPr>
          <w:rFonts w:ascii="Arial" w:cs="Arial" w:eastAsia="Arial" w:hAnsi="Arial"/>
          <w:sz w:val="18"/>
          <w:szCs w:val="18"/>
          <w:color w:val="auto"/>
        </w:rPr>
      </w:pPr>
    </w:p>
    <w:p>
      <w:pPr>
        <w:ind w:left="1560" w:hanging="269"/>
        <w:spacing w:after="0"/>
        <w:tabs>
          <w:tab w:leader="none" w:pos="15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 or</w:t>
      </w:r>
    </w:p>
    <w:p>
      <w:pPr>
        <w:spacing w:after="0" w:line="117" w:lineRule="exact"/>
        <w:rPr>
          <w:rFonts w:ascii="Arial" w:cs="Arial" w:eastAsia="Arial" w:hAnsi="Arial"/>
          <w:sz w:val="18"/>
          <w:szCs w:val="18"/>
          <w:color w:val="auto"/>
        </w:rPr>
      </w:pPr>
    </w:p>
    <w:p>
      <w:pPr>
        <w:ind w:left="880" w:right="620" w:firstLine="411"/>
        <w:spacing w:after="0" w:line="277" w:lineRule="auto"/>
        <w:tabs>
          <w:tab w:leader="none" w:pos="16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to any person (other than a transfer to a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definition, “</w:t>
      </w:r>
      <w:r>
        <w:rPr>
          <w:rFonts w:ascii="Arial" w:cs="Arial" w:eastAsia="Arial" w:hAnsi="Arial"/>
          <w:sz w:val="16"/>
          <w:szCs w:val="16"/>
          <w:b w:val="1"/>
          <w:bCs w:val="1"/>
          <w:color w:val="auto"/>
        </w:rPr>
        <w:t>Incumbent Board</w:t>
      </w:r>
      <w:r>
        <w:rPr>
          <w:rFonts w:ascii="Arial" w:cs="Arial" w:eastAsia="Arial" w:hAnsi="Arial"/>
          <w:sz w:val="16"/>
          <w:szCs w:val="16"/>
          <w:color w:val="auto"/>
        </w:rPr>
        <w:t>” means those persons who either (A) have been members of the Board since the Effective Date or</w:t>
      </w:r>
    </w:p>
    <w:p>
      <w:pPr>
        <w:spacing w:after="0" w:line="50" w:lineRule="exact"/>
        <w:rPr>
          <w:sz w:val="20"/>
          <w:szCs w:val="20"/>
          <w:color w:val="auto"/>
        </w:rPr>
      </w:pPr>
    </w:p>
    <w:p>
      <w:pPr>
        <w:ind w:right="100" w:firstLine="4"/>
        <w:spacing w:after="0" w:line="271" w:lineRule="auto"/>
        <w:tabs>
          <w:tab w:leader="none" w:pos="2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20"/>
          </w:cols>
          <w:pgMar w:left="440" w:top="274" w:right="439" w:bottom="1440" w:gutter="0" w:footer="0" w:header="0"/>
        </w:sectPr>
      </w:pPr>
    </w:p>
    <w:bookmarkStart w:id="55" w:name="page56"/>
    <w:bookmarkEnd w:id="55"/>
    <w:p>
      <w:pPr>
        <w:jc w:val="both"/>
        <w:ind w:right="8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amended from time to time.</w:t>
      </w:r>
    </w:p>
    <w:p>
      <w:pPr>
        <w:spacing w:after="0" w:line="117"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a committee of the Board composed of not less than two Non-Employee Directors, each of whom shall be (i) a “non-employee director” for purposes of Exchange Act Section 16 and Rule 16b-3 thereunder, and (ii) “independent” within the meaning of the listing standards of the Nasdaq Stock Market (or such other such market or exchange as is the principal trading market for the Shares) and the rules and regulations of the SEC.</w:t>
      </w:r>
    </w:p>
    <w:p>
      <w:pPr>
        <w:spacing w:after="0" w:line="72"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means a member of the Board.</w:t>
      </w:r>
    </w:p>
    <w:p>
      <w:pPr>
        <w:spacing w:after="0" w:line="117"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means, unless otherwise defined in the applicable Award Agreement, a disability that would qualify as a total and permanent disability under the Company’s then current long-term disability plan; </w:t>
      </w:r>
      <w:r>
        <w:rPr>
          <w:rFonts w:ascii="Arial" w:cs="Arial" w:eastAsia="Arial" w:hAnsi="Arial"/>
          <w:sz w:val="18"/>
          <w:szCs w:val="18"/>
          <w:i w:val="1"/>
          <w:iCs w:val="1"/>
          <w:color w:val="auto"/>
        </w:rPr>
        <w:t>provided</w:t>
      </w:r>
      <w:r>
        <w:rPr>
          <w:rFonts w:ascii="Arial" w:cs="Arial" w:eastAsia="Arial" w:hAnsi="Arial"/>
          <w:sz w:val="18"/>
          <w:szCs w:val="18"/>
          <w:color w:val="auto"/>
        </w:rPr>
        <w:t>,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7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Early Retirement</w:t>
      </w:r>
      <w:r>
        <w:rPr>
          <w:rFonts w:ascii="Arial" w:cs="Arial" w:eastAsia="Arial" w:hAnsi="Arial"/>
          <w:sz w:val="18"/>
          <w:szCs w:val="18"/>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55 and/or without ten years of continuous service, in accordance with any applicable retirement policy of the Company then in effect (or in effect at the time of a previous Change in Control) or as may be approved by the Committee.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current or prospective officer or employee of the Company or of any Subsidiary or Affiliate.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amended from time to time.</w:t>
      </w:r>
    </w:p>
    <w:p>
      <w:pPr>
        <w:spacing w:after="0" w:line="11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4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80"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means the price established at the time of grant of an SAR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used to determine whether there is any payment due upon exercise of the SAR.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20"/>
          </w:cols>
          <w:pgMar w:left="440" w:top="274" w:right="439" w:bottom="1440" w:gutter="0" w:footer="0" w:header="0"/>
        </w:sectPr>
      </w:pPr>
    </w:p>
    <w:bookmarkStart w:id="56" w:name="page57"/>
    <w:bookmarkEnd w:id="56"/>
    <w:p>
      <w:pPr>
        <w:ind w:right="2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2.20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and that is intended to meet the requirements of Section 422 of the Code or any successor provision thereto.</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“Non-Employee Director”</w:t>
      </w:r>
      <w:r>
        <w:rPr>
          <w:rFonts w:ascii="Arial" w:cs="Arial" w:eastAsia="Arial" w:hAnsi="Arial"/>
          <w:sz w:val="16"/>
          <w:szCs w:val="16"/>
          <w:color w:val="auto"/>
        </w:rPr>
        <w:t xml:space="preserve"> means a member of the Board who is not an officer or employee of the Company or any Subsidiary or Affiliate.</w:t>
      </w:r>
    </w:p>
    <w:p>
      <w:pPr>
        <w:spacing w:after="0" w:line="140"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means an option to purchase Shares from the Company that is granted under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and is not intended to be an Incentive Stock Option.</w:t>
      </w:r>
    </w:p>
    <w:p>
      <w:pPr>
        <w:spacing w:after="0" w:line="54"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“Normal Retirement”</w:t>
      </w:r>
      <w:r>
        <w:rPr>
          <w:rFonts w:ascii="Arial" w:cs="Arial" w:eastAsia="Arial" w:hAnsi="Arial"/>
          <w:sz w:val="18"/>
          <w:szCs w:val="18"/>
          <w:color w:val="auto"/>
        </w:rPr>
        <w:t xml:space="preserve"> means, unless otherwise defined in the applicable Award Agreement, retirement of a Participant from active employment with the Company or any of its Subsidiaries or Affiliates on or after such Participant’s 55th birthday and with ten years of continuous service, in accordance with any applicable retirement policy of the Company then in effect (or in effect at the time of a previous Change in Control) or as may be approved by the Committee.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Incentive Stock Option or a Non-Qualified Stock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means the purchase price payable to purchase one Share upon the exercise of an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“Outside Director”</w:t>
      </w:r>
      <w:r>
        <w:rPr>
          <w:rFonts w:ascii="Arial" w:cs="Arial" w:eastAsia="Arial" w:hAnsi="Arial"/>
          <w:sz w:val="18"/>
          <w:szCs w:val="18"/>
          <w:color w:val="auto"/>
        </w:rPr>
        <w:t xml:space="preserve"> means, with respect to the grant of an Award, a member of the Board then serving on the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b w:val="1"/>
          <w:bCs w:val="1"/>
          <w:color w:val="auto"/>
        </w:rPr>
        <w:t>“Prior Plan”</w:t>
      </w:r>
      <w:r>
        <w:rPr>
          <w:rFonts w:ascii="Arial" w:cs="Arial" w:eastAsia="Arial" w:hAnsi="Arial"/>
          <w:sz w:val="16"/>
          <w:szCs w:val="16"/>
          <w:color w:val="auto"/>
        </w:rPr>
        <w:t xml:space="preserve"> means the NN, Inc. Amended and Restated 2011 Stock Incentive Plan and/or the NN, Inc. 2016 Omnibus Incentive Plan.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any Employee, Director or Consultant who receives an Award under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any Award granted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w:t>
      </w:r>
    </w:p>
    <w:p>
      <w:pPr>
        <w:spacing w:after="0" w:line="117"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any individual, corporation, partnership, limited liability company, association, joint-stock company, trust, unincorporated organization, government or political subdivision thereof or other entity.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means any Share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means any unit granted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means Normal or Early Retirement.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“SEC”</w:t>
      </w:r>
      <w:r>
        <w:rPr>
          <w:rFonts w:ascii="Arial" w:cs="Arial" w:eastAsia="Arial" w:hAnsi="Arial"/>
          <w:sz w:val="18"/>
          <w:szCs w:val="18"/>
          <w:color w:val="auto"/>
        </w:rPr>
        <w:t xml:space="preserve"> means the Securities and Exchange Commission or any successor thereto.</w:t>
      </w:r>
    </w:p>
    <w:p>
      <w:pPr>
        <w:spacing w:after="0" w:line="117"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means Section 16 of the Exchange Act and the rules promulgated thereunder and any successor provision thereto as in effect from time to time.</w:t>
      </w:r>
    </w:p>
    <w:p>
      <w:pPr>
        <w:spacing w:after="0" w:line="54"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or </w:t>
      </w:r>
      <w:r>
        <w:rPr>
          <w:rFonts w:ascii="Arial" w:cs="Arial" w:eastAsia="Arial" w:hAnsi="Arial"/>
          <w:sz w:val="18"/>
          <w:szCs w:val="18"/>
          <w:b w:val="1"/>
          <w:bCs w:val="1"/>
          <w:color w:val="auto"/>
        </w:rPr>
        <w:t>“Separates from Service”</w:t>
      </w:r>
      <w:r>
        <w:rPr>
          <w:rFonts w:ascii="Arial" w:cs="Arial" w:eastAsia="Arial" w:hAnsi="Arial"/>
          <w:sz w:val="18"/>
          <w:szCs w:val="18"/>
          <w:color w:val="auto"/>
        </w:rPr>
        <w:t xml:space="preserve"> shall have the meaning ascribed to such term pursuant to Section 409A of the Code and the regulations promulgated thereunder.</w:t>
      </w:r>
    </w:p>
    <w:p>
      <w:pPr>
        <w:spacing w:after="0" w:line="54"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shares of the common stock, par value $0.01 per share, of the Company, or any security into which such shares may be converted by reason of any event of the type referred to in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14.3</w:t>
      </w:r>
      <w:r>
        <w:rPr>
          <w:rFonts w:ascii="Arial" w:cs="Arial" w:eastAsia="Arial" w:hAnsi="Arial"/>
          <w:sz w:val="18"/>
          <w:szCs w:val="18"/>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00"/>
          </w:cols>
          <w:pgMar w:left="440" w:top="270" w:right="559" w:bottom="1440" w:gutter="0" w:footer="0" w:header="0"/>
        </w:sectPr>
      </w:pPr>
    </w:p>
    <w:bookmarkStart w:id="57" w:name="page58"/>
    <w:bookmarkEnd w:id="57"/>
    <w:p>
      <w:pPr>
        <w:ind w:right="6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2.39 </w:t>
      </w:r>
      <w:r>
        <w:rPr>
          <w:rFonts w:ascii="Arial" w:cs="Arial" w:eastAsia="Arial" w:hAnsi="Arial"/>
          <w:sz w:val="18"/>
          <w:szCs w:val="18"/>
          <w:b w:val="1"/>
          <w:bCs w:val="1"/>
          <w:color w:val="auto"/>
        </w:rPr>
        <w:t>“Specified Employee”</w:t>
      </w:r>
      <w:r>
        <w:rPr>
          <w:rFonts w:ascii="Arial" w:cs="Arial" w:eastAsia="Arial" w:hAnsi="Arial"/>
          <w:sz w:val="18"/>
          <w:szCs w:val="18"/>
          <w:color w:val="auto"/>
        </w:rPr>
        <w:t xml:space="preserve"> has the meaning ascribed to such term pursuant to Section 409A of the Code and the regulations promulgated thereunder.</w:t>
      </w:r>
    </w:p>
    <w:p>
      <w:pPr>
        <w:spacing w:after="0" w:line="54" w:lineRule="exact"/>
        <w:rPr>
          <w:sz w:val="20"/>
          <w:szCs w:val="20"/>
          <w:color w:val="auto"/>
        </w:rPr>
      </w:pPr>
    </w:p>
    <w:p>
      <w:pPr>
        <w:jc w:val="both"/>
        <w:ind w:right="100" w:firstLine="441"/>
        <w:spacing w:after="0" w:line="266"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b w:val="1"/>
          <w:bCs w:val="1"/>
          <w:color w:val="auto"/>
        </w:rPr>
        <w:t>“SAR”</w:t>
      </w:r>
      <w:r>
        <w:rPr>
          <w:rFonts w:ascii="Arial" w:cs="Arial" w:eastAsia="Arial" w:hAnsi="Arial"/>
          <w:sz w:val="18"/>
          <w:szCs w:val="18"/>
          <w:color w:val="auto"/>
        </w:rPr>
        <w:t xml:space="preserve"> means a stock appreciation right granted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that entitles the holder to receive, with respect to each Share encompassed by the exercise of such SAR, an amount equal to the excess of the Fair Market Value of such Share on the date of exercise over the Grant Price.</w:t>
      </w:r>
    </w:p>
    <w:p>
      <w:pPr>
        <w:spacing w:after="0" w:line="68"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Person (other than the Company) of which 50% or more of its voting power, its equity securities or equity interest is owned directly or indirectly by the Company.</w:t>
      </w:r>
    </w:p>
    <w:p>
      <w:pPr>
        <w:spacing w:after="0" w:line="54"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means Awards granted solely in assumption of, or in substitution for, outstanding awards previously granted by a company acquired by the Company or with which the Company combines.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Authority of Committee.</w:t>
      </w:r>
      <w:r>
        <w:rPr>
          <w:rFonts w:ascii="Arial" w:cs="Arial" w:eastAsia="Arial" w:hAnsi="Arial"/>
          <w:sz w:val="16"/>
          <w:szCs w:val="16"/>
          <w:color w:val="auto"/>
        </w:rPr>
        <w:t xml:space="preserve">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6" w:lineRule="exact"/>
        <w:rPr>
          <w:sz w:val="20"/>
          <w:szCs w:val="20"/>
          <w:color w:val="auto"/>
        </w:rPr>
      </w:pPr>
    </w:p>
    <w:p>
      <w:pPr>
        <w:ind w:right="60" w:firstLine="4"/>
        <w:spacing w:after="0" w:line="285" w:lineRule="auto"/>
        <w:tabs>
          <w:tab w:leader="none" w:pos="4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 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 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hereunder to amend or terminate the Plan.</w:t>
      </w:r>
    </w:p>
    <w:p>
      <w:pPr>
        <w:spacing w:after="0" w:line="276"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Discretion Binding.</w:t>
      </w:r>
      <w:r>
        <w:rPr>
          <w:rFonts w:ascii="Arial" w:cs="Arial" w:eastAsia="Arial" w:hAnsi="Arial"/>
          <w:sz w:val="18"/>
          <w:szCs w:val="18"/>
          <w:color w:val="auto"/>
        </w:rPr>
        <w:t xml:space="preserv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20"/>
          </w:cols>
          <w:pgMar w:left="440" w:top="270" w:right="439" w:bottom="1440" w:gutter="0" w:footer="0" w:header="0"/>
        </w:sectPr>
      </w:pPr>
    </w:p>
    <w:bookmarkStart w:id="58" w:name="page59"/>
    <w:bookmarkEnd w:id="5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70"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w:t>
      </w:r>
      <w:r>
        <w:rPr>
          <w:rFonts w:ascii="Arial" w:cs="Arial" w:eastAsia="Arial" w:hAnsi="Arial"/>
          <w:sz w:val="16"/>
          <w:szCs w:val="16"/>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16.</w:t>
      </w:r>
    </w:p>
    <w:p>
      <w:pPr>
        <w:spacing w:after="0" w:line="46"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 Liability.</w:t>
      </w:r>
      <w:r>
        <w:rPr>
          <w:rFonts w:ascii="Arial" w:cs="Arial" w:eastAsia="Arial" w:hAnsi="Arial"/>
          <w:sz w:val="18"/>
          <w:szCs w:val="18"/>
          <w:color w:val="auto"/>
        </w:rPr>
        <w:t xml:space="preserve"> No member of the Board or Committee shall be liable for any action taken or determination made in good faith with respect to the Plan or any Award granted hereunder.</w:t>
      </w:r>
    </w:p>
    <w:p>
      <w:pPr>
        <w:spacing w:after="0" w:line="62"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Minimum Vesting Period</w:t>
      </w:r>
      <w:r>
        <w:rPr>
          <w:rFonts w:ascii="Arial" w:cs="Arial" w:eastAsia="Arial" w:hAnsi="Arial"/>
          <w:sz w:val="17"/>
          <w:szCs w:val="17"/>
          <w:color w:val="auto"/>
        </w:rPr>
        <w:t xml:space="preserve">. Except for Substitute Awards, no portion of any Option or SAR Award shall have a vesting period of less than 12 months from the Grant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up to five percent (5%) of the number of Shares authorized for grant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may be subject to Options or SARs that do not meet the minimum vesting requirement set forth in the previous clause.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1120" w:hanging="252"/>
        <w:spacing w:after="0"/>
        <w:tabs>
          <w:tab w:leader="none" w:pos="11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Subject to adjustment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a total of 2,900,000 Shares shall be authorized for grant under the Plan, less one</w:t>
      </w:r>
    </w:p>
    <w:p>
      <w:pPr>
        <w:spacing w:after="0" w:line="34" w:lineRule="exact"/>
        <w:rPr>
          <w:rFonts w:ascii="Arial" w:cs="Arial" w:eastAsia="Arial" w:hAnsi="Arial"/>
          <w:sz w:val="17"/>
          <w:szCs w:val="17"/>
          <w:color w:val="auto"/>
        </w:rPr>
      </w:pPr>
    </w:p>
    <w:p>
      <w:pPr>
        <w:ind w:left="440" w:right="100" w:firstLine="4"/>
        <w:spacing w:after="0" w:line="253"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 for every Share that was subject to an option or stock appreciation right granted after March 15, 2019 under a Prior Plan and one and one-half (1.5) Shares for every Share that was subject to an award other than an option or stock appreciation right granted after March 15, 2019 under a Prior Plan, all of which Shares may be used for the granting of ISOs. Any Shares that are subject to Awards other than Options or Stock Appreciation Rights shall be counted against this limit by one and one-half (1.5) Shares for every one (1) Share granted. After the Effective Date, no awards may be granted under any Prior Plan.</w:t>
      </w:r>
    </w:p>
    <w:p>
      <w:pPr>
        <w:spacing w:after="0" w:line="83" w:lineRule="exact"/>
        <w:rPr>
          <w:rFonts w:ascii="Arial" w:cs="Arial" w:eastAsia="Arial" w:hAnsi="Arial"/>
          <w:sz w:val="18"/>
          <w:szCs w:val="18"/>
          <w:color w:val="auto"/>
        </w:rPr>
      </w:pPr>
    </w:p>
    <w:p>
      <w:pPr>
        <w:ind w:left="440" w:right="40" w:firstLine="428"/>
        <w:spacing w:after="0" w:line="270" w:lineRule="auto"/>
        <w:tabs>
          <w:tab w:leader="none" w:pos="1118"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If (i) any Shares subject to an Award are forfeited, an Award expires or an Award is settled for cash (in whole or in part), or (ii) after March 15, 2019, any Shares subject to an award under the Prior Plan are forfeited, an Award expires or an award under the Prior Plan is settled for cash (in whole or in part), the Shares subject to such Award or award under the Prior Plan shall, to the extent of such forfeiture, expiration or cash settlement, again be available for Awards under the Plan, in accordance with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an option under a Prior Plan, or to satisfy any tax withholding obligation with respect to an Award or an award under a Prior Plan, and (II) Shares subject to a Stock Appreciation Right that are not issued in connection with the stock settlement of the Stock Appreciation Right on exercise thereof, or a stock appreciation right under a Prior Plan and (III) Shares reacquired by the Company on the open market or otherwise using cash proceeds from the exercise of Options or options granted under a Prior Plan.</w:t>
      </w:r>
    </w:p>
    <w:p>
      <w:pPr>
        <w:spacing w:after="0" w:line="69" w:lineRule="exact"/>
        <w:rPr>
          <w:rFonts w:ascii="Arial" w:cs="Arial" w:eastAsia="Arial" w:hAnsi="Arial"/>
          <w:sz w:val="17"/>
          <w:szCs w:val="17"/>
          <w:color w:val="auto"/>
        </w:rPr>
      </w:pPr>
    </w:p>
    <w:p>
      <w:pPr>
        <w:jc w:val="both"/>
        <w:ind w:left="440" w:right="20" w:firstLine="428"/>
        <w:spacing w:after="0" w:line="264" w:lineRule="auto"/>
        <w:tabs>
          <w:tab w:leader="none" w:pos="11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nor shall Shares subject to a Substitute Award again be available for Awards under the Plan to the extent of any forfeiture, expiration or cash settlement as provided in paragraph (b) above. Additionally, in the event that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020"/>
          </w:cols>
          <w:pgMar w:left="440" w:top="274" w:right="439" w:bottom="1440" w:gutter="0" w:footer="0" w:header="0"/>
        </w:sectPr>
      </w:pPr>
    </w:p>
    <w:bookmarkStart w:id="59" w:name="page60"/>
    <w:bookmarkEnd w:id="59"/>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74" w:lineRule="exact"/>
        <w:rPr>
          <w:sz w:val="20"/>
          <w:szCs w:val="20"/>
          <w:color w:val="auto"/>
        </w:rPr>
      </w:pPr>
    </w:p>
    <w:p>
      <w:pPr>
        <w:jc w:val="both"/>
        <w:ind w:left="440" w:right="280" w:firstLine="428"/>
        <w:spacing w:after="0" w:line="291" w:lineRule="auto"/>
        <w:tabs>
          <w:tab w:leader="none" w:pos="1118"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Any Shares that again become available for grant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added back as (i) one (1) Share for every Share subject to Options or Stock Appreciation Right granted under the Plan or options or stock appreciation rights granted under the Prior Plan, and</w:t>
      </w:r>
    </w:p>
    <w:p>
      <w:pPr>
        <w:ind w:left="440" w:right="100" w:firstLine="4"/>
        <w:spacing w:after="0" w:line="261"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one and one-half (1.5) Shares for every Share subject to Awards other than Options or Stock Appreciation Rights granted under the Plan or awards other than options or stock appreciation rights granted under the Prior Plan.</w:t>
      </w:r>
    </w:p>
    <w:p>
      <w:pPr>
        <w:spacing w:after="0" w:line="76"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Adjustments.</w:t>
      </w:r>
      <w:r>
        <w:rPr>
          <w:rFonts w:ascii="Arial" w:cs="Arial" w:eastAsia="Arial" w:hAnsi="Arial"/>
          <w:sz w:val="16"/>
          <w:szCs w:val="16"/>
          <w:color w:val="auto"/>
        </w:rPr>
        <w:t xml:space="preserve"> Without limiting the Committee’s discretion as provided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w:t>
      </w:r>
    </w:p>
    <w:p>
      <w:pPr>
        <w:spacing w:after="0" w:line="6" w:lineRule="exact"/>
        <w:rPr>
          <w:sz w:val="20"/>
          <w:szCs w:val="20"/>
          <w:color w:val="auto"/>
        </w:rPr>
      </w:pPr>
    </w:p>
    <w:p>
      <w:pPr>
        <w:ind w:right="200" w:firstLine="4"/>
        <w:spacing w:after="0" w:line="277" w:lineRule="auto"/>
        <w:tabs>
          <w:tab w:leader="none" w:pos="2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Arial" w:cs="Arial" w:eastAsia="Arial" w:hAnsi="Arial"/>
          <w:sz w:val="17"/>
          <w:szCs w:val="17"/>
          <w:u w:val="single" w:color="auto"/>
          <w:color w:val="auto"/>
        </w:rPr>
        <w:t>Section 10</w:t>
      </w:r>
      <w:r>
        <w:rPr>
          <w:rFonts w:ascii="Arial" w:cs="Arial" w:eastAsia="Arial" w:hAnsi="Arial"/>
          <w:sz w:val="17"/>
          <w:szCs w:val="17"/>
          <w:color w:val="auto"/>
        </w:rPr>
        <w:t>; provided further, that the vesting and exercise of an Award to a prospective Employee, Director or Consultant are conditioned upon such individual attaining such status.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 and Stock Appreciation Rights.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Grant.</w:t>
      </w:r>
      <w:r>
        <w:rPr>
          <w:rFonts w:ascii="Arial" w:cs="Arial" w:eastAsia="Arial" w:hAnsi="Arial"/>
          <w:sz w:val="16"/>
          <w:szCs w:val="16"/>
          <w:color w:val="auto"/>
        </w:rPr>
        <w:t xml:space="preserve">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00"/>
          </w:cols>
          <w:pgMar w:left="440" w:top="274" w:right="459" w:bottom="1440" w:gutter="0" w:footer="0" w:header="0"/>
        </w:sectPr>
      </w:pPr>
    </w:p>
    <w:bookmarkStart w:id="60" w:name="page61"/>
    <w:bookmarkEnd w:id="60"/>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regulations implementing such statute. An Employee who has been granted an Option under the Plan may be granted additional Options under the Plan if the Committee shall so determine;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Options intended to qualify as Incentive Stock Options fail to so qualify for any reason, such Options shall constitute Non-Qualified Stock Options.</w:t>
      </w:r>
    </w:p>
    <w:p>
      <w:pPr>
        <w:spacing w:after="0" w:line="73"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Price.</w:t>
      </w:r>
      <w:r>
        <w:rPr>
          <w:rFonts w:ascii="Arial" w:cs="Arial" w:eastAsia="Arial" w:hAnsi="Arial"/>
          <w:sz w:val="16"/>
          <w:szCs w:val="16"/>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a Share on the date such Option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the Grant Price of an SAR may not be less than the Fair Market Value of a Share on the date such SAR is granted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In the case of Substitute Awards or Awards granted in connection with an adjustment provided for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the Committee shall not have the power to (i) lower the Option Price of an Option after it is granted, (ii) lower the Grant Price of an SAR after it is granted, (iii) 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6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Term.</w:t>
      </w:r>
      <w:r>
        <w:rPr>
          <w:rFonts w:ascii="Arial" w:cs="Arial" w:eastAsia="Arial" w:hAnsi="Arial"/>
          <w:sz w:val="17"/>
          <w:szCs w:val="17"/>
          <w:color w:val="auto"/>
        </w:rPr>
        <w:t xml:space="preserve"> Subject to the Committee’s authority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each Option and SAR and all rights and obligations thereunder shall expire on the date determined by the Committee and specified in the Award Agreement. The Committee shall be under no duty to provide terms of like duration for Options or SARs granted under the Plan. Notwithstanding the foregoing, but subject to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hereof, no Option or SAR shall be exercisable after the expiration of ten years from the date such Option or SAR was granted.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Exercise.</w:t>
      </w:r>
    </w:p>
    <w:p>
      <w:pPr>
        <w:spacing w:after="0" w:line="117" w:lineRule="exact"/>
        <w:rPr>
          <w:sz w:val="20"/>
          <w:szCs w:val="20"/>
          <w:color w:val="auto"/>
        </w:rPr>
      </w:pPr>
    </w:p>
    <w:p>
      <w:pPr>
        <w:ind w:left="440" w:right="120" w:firstLine="428"/>
        <w:spacing w:after="0" w:line="25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 the exercise thereof in such installments, upon the occurrence of such events and at such times during the term of the Option or SAR as the Committee may determine.</w:t>
      </w:r>
    </w:p>
    <w:p>
      <w:pPr>
        <w:spacing w:after="0" w:line="80"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62" w:lineRule="exact"/>
        <w:rPr>
          <w:rFonts w:ascii="Arial" w:cs="Arial" w:eastAsia="Arial" w:hAnsi="Arial"/>
          <w:sz w:val="18"/>
          <w:szCs w:val="18"/>
          <w:color w:val="auto"/>
        </w:rPr>
      </w:pPr>
    </w:p>
    <w:p>
      <w:pPr>
        <w:ind w:left="440" w:firstLine="428"/>
        <w:spacing w:after="0" w:line="271" w:lineRule="auto"/>
        <w:tabs>
          <w:tab w:leader="none" w:pos="11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 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70" w:lineRule="exact"/>
        <w:rPr>
          <w:rFonts w:ascii="Arial" w:cs="Arial" w:eastAsia="Arial" w:hAnsi="Arial"/>
          <w:sz w:val="17"/>
          <w:szCs w:val="17"/>
          <w:color w:val="auto"/>
        </w:rPr>
      </w:pPr>
    </w:p>
    <w:p>
      <w:pPr>
        <w:ind w:left="440" w:right="20" w:firstLine="428"/>
        <w:spacing w:after="0" w:line="264"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the Option Price shall be made in (i) cash or cash equivalents, (ii) at the discretion of the Committee, by transfer, either actually or by attestation, to the Company of unencumbered Shares previously acquired by the Participant, valued at the Fair Market Value of such Shares on the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020"/>
          </w:cols>
          <w:pgMar w:left="440" w:top="274" w:right="439" w:bottom="1440" w:gutter="0" w:footer="0" w:header="0"/>
        </w:sectPr>
      </w:pPr>
    </w:p>
    <w:bookmarkStart w:id="61" w:name="page62"/>
    <w:bookmarkEnd w:id="61"/>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exercise (or next succeeding trading date, if the date of exercise is not a trading date), together with any applicable withholding taxes (which taxes may be satisfied in accordance with </w:t>
      </w:r>
      <w:r>
        <w:rPr>
          <w:rFonts w:ascii="Arial" w:cs="Arial" w:eastAsia="Arial" w:hAnsi="Arial"/>
          <w:sz w:val="16"/>
          <w:szCs w:val="16"/>
          <w:u w:val="single" w:color="auto"/>
          <w:color w:val="auto"/>
        </w:rPr>
        <w:t>Section 15.6</w:t>
      </w:r>
      <w:r>
        <w:rPr>
          <w:rFonts w:ascii="Arial" w:cs="Arial" w:eastAsia="Arial" w:hAnsi="Arial"/>
          <w:sz w:val="16"/>
          <w:szCs w:val="16"/>
          <w:color w:val="auto"/>
        </w:rPr>
        <w:t xml:space="preserve"> of the Plan),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 time of exercise equal to the total Option Price together with any applicable withholding taxes (which taxes may be satisfied in accordance with </w:t>
      </w:r>
      <w:r>
        <w:rPr>
          <w:rFonts w:ascii="Arial" w:cs="Arial" w:eastAsia="Arial" w:hAnsi="Arial"/>
          <w:sz w:val="16"/>
          <w:szCs w:val="16"/>
          <w:u w:val="single" w:color="auto"/>
          <w:color w:val="auto"/>
        </w:rPr>
        <w:t>Section 15.6</w:t>
      </w:r>
      <w:r>
        <w:rPr>
          <w:rFonts w:ascii="Arial" w:cs="Arial" w:eastAsia="Arial" w:hAnsi="Arial"/>
          <w:sz w:val="16"/>
          <w:szCs w:val="16"/>
          <w:color w:val="auto"/>
        </w:rPr>
        <w:t>).</w:t>
      </w:r>
    </w:p>
    <w:p>
      <w:pPr>
        <w:spacing w:after="0" w:line="57" w:lineRule="exact"/>
        <w:rPr>
          <w:sz w:val="20"/>
          <w:szCs w:val="20"/>
          <w:color w:val="auto"/>
        </w:rPr>
      </w:pPr>
    </w:p>
    <w:p>
      <w:pPr>
        <w:ind w:left="440" w:firstLine="428"/>
        <w:spacing w:after="0" w:line="257" w:lineRule="auto"/>
        <w:tabs>
          <w:tab w:leader="none" w:pos="11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 (d) above, including with respect to one or more Participants specified by the Company notwithstanding that such program or procedures may be available to other Participants.</w:t>
      </w:r>
    </w:p>
    <w:p>
      <w:pPr>
        <w:spacing w:after="0" w:line="80" w:lineRule="exact"/>
        <w:rPr>
          <w:rFonts w:ascii="Arial" w:cs="Arial" w:eastAsia="Arial" w:hAnsi="Arial"/>
          <w:sz w:val="18"/>
          <w:szCs w:val="18"/>
          <w:color w:val="auto"/>
        </w:rPr>
      </w:pPr>
    </w:p>
    <w:p>
      <w:pPr>
        <w:ind w:left="440" w:right="120" w:firstLine="428"/>
        <w:spacing w:after="0" w:line="342" w:lineRule="auto"/>
        <w:tabs>
          <w:tab w:leader="none" w:pos="10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1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Separation from Service.</w:t>
      </w:r>
      <w:r>
        <w:rPr>
          <w:rFonts w:ascii="Arial" w:cs="Arial" w:eastAsia="Arial" w:hAnsi="Arial"/>
          <w:sz w:val="17"/>
          <w:szCs w:val="17"/>
          <w:color w:val="auto"/>
        </w:rPr>
        <w:t xml:space="preserve"> Except as otherwise provided in the applicable Award Agreement, an Option or SAR may be exercised only to the extent that it is then exercisable, and if at all times during the period beginning with the date of granting such Award (or if later, the date on which the Participant first became an Employee, Director or Consultant) and ending on the date of exercise of such Award the Participant is an Employee, Director or Consultant, and shall terminate immediately upon a Separation from Service by the Participant. Notwithstanding the foregoing provisions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to the contrary, the Committee may determine in its discretion that an Option or SAR may be exercised following any such Separation from Service, whether or not exercisable at the time of such separation; provided, however, that subject to </w:t>
      </w:r>
      <w:r>
        <w:rPr>
          <w:rFonts w:ascii="Arial" w:cs="Arial" w:eastAsia="Arial" w:hAnsi="Arial"/>
          <w:sz w:val="17"/>
          <w:szCs w:val="17"/>
          <w:u w:val="single" w:color="auto"/>
          <w:color w:val="auto"/>
        </w:rPr>
        <w:t>Section 6.4(a)</w:t>
      </w:r>
      <w:r>
        <w:rPr>
          <w:rFonts w:ascii="Arial" w:cs="Arial" w:eastAsia="Arial" w:hAnsi="Arial"/>
          <w:sz w:val="17"/>
          <w:szCs w:val="17"/>
          <w:color w:val="auto"/>
        </w:rPr>
        <w:t>, in no event may an Option or SAR be exercised after the expiration date of such Award specified in the applicable Award Agreement.</w:t>
      </w:r>
    </w:p>
    <w:p>
      <w:pPr>
        <w:spacing w:after="0" w:line="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Ten Percent Stock Rule.</w:t>
      </w:r>
      <w:r>
        <w:rPr>
          <w:rFonts w:ascii="Arial" w:cs="Arial" w:eastAsia="Arial" w:hAnsi="Arial"/>
          <w:sz w:val="16"/>
          <w:szCs w:val="16"/>
          <w:color w:val="auto"/>
        </w:rPr>
        <w:t xml:space="preserve">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Shares and Restricted Share Units.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p>
    <w:p>
      <w:pPr>
        <w:spacing w:after="0" w:line="117" w:lineRule="exact"/>
        <w:rPr>
          <w:sz w:val="20"/>
          <w:szCs w:val="20"/>
          <w:color w:val="auto"/>
        </w:rPr>
      </w:pPr>
    </w:p>
    <w:p>
      <w:pPr>
        <w:ind w:left="440" w:right="40" w:firstLine="428"/>
        <w:spacing w:after="0" w:line="272" w:lineRule="auto"/>
        <w:tabs>
          <w:tab w:leader="none" w:pos="1108"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 be granted to each Participant, the duration of the period during which, and the conditions under which, the Restricted Shares and Restricted Share Units may be forfeited to the Company, and the other terms and conditions of such Awards. The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69" w:lineRule="exact"/>
        <w:rPr>
          <w:rFonts w:ascii="Arial" w:cs="Arial" w:eastAsia="Arial" w:hAnsi="Arial"/>
          <w:sz w:val="17"/>
          <w:szCs w:val="17"/>
          <w:color w:val="auto"/>
        </w:rPr>
      </w:pPr>
    </w:p>
    <w:p>
      <w:pPr>
        <w:ind w:left="440" w:right="160" w:firstLine="428"/>
        <w:spacing w:after="0" w:line="264" w:lineRule="auto"/>
        <w:tabs>
          <w:tab w:leader="none" w:pos="11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000"/>
          </w:cols>
          <w:pgMar w:left="440" w:top="274" w:right="459" w:bottom="1440" w:gutter="0" w:footer="0" w:header="0"/>
        </w:sectPr>
      </w:pPr>
    </w:p>
    <w:bookmarkStart w:id="62" w:name="page63"/>
    <w:bookmarkEnd w:id="62"/>
    <w:p>
      <w:pPr>
        <w:ind w:left="44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period of time which shall be not less than one year for Participants other than Non-Employee Directors during which the Participant receiving such Award must remain in the continuous employment (or other service-providing capacity) of the Company in order for the forfeiture and transfer restrictions to lapse.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Plan) that will subject the Shares to forfeiture and transfer restrictions. The Committee may, at its discretion, waive all or any part of the restrictions applicable to any or all outstanding Restricted Share and Restricted Share Unit Awards.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Delivery of Shares and Transfer Restrictions.</w:t>
      </w:r>
    </w:p>
    <w:p>
      <w:pPr>
        <w:spacing w:after="0" w:line="117" w:lineRule="exact"/>
        <w:rPr>
          <w:sz w:val="20"/>
          <w:szCs w:val="20"/>
          <w:color w:val="auto"/>
        </w:rPr>
      </w:pPr>
    </w:p>
    <w:p>
      <w:pPr>
        <w:ind w:left="440" w:firstLine="428"/>
        <w:spacing w:after="0" w:line="287" w:lineRule="auto"/>
        <w:tabs>
          <w:tab w:leader="none" w:pos="11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the time a Restricted Share Award is granted, a certificate representing the number of Shares awarded thereunder shall be registered in the name of the Participant receiving such Award. Such certificate shall be held by the Company or any custodian appointed by 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cs="Arial" w:eastAsia="Arial" w:hAnsi="Arial"/>
          <w:sz w:val="16"/>
          <w:szCs w:val="16"/>
          <w:i w:val="1"/>
          <w:iCs w:val="1"/>
          <w:color w:val="auto"/>
        </w:rPr>
        <w:t>i.e</w:t>
      </w:r>
      <w:r>
        <w:rPr>
          <w:rFonts w:ascii="Arial" w:cs="Arial" w:eastAsia="Arial" w:hAnsi="Arial"/>
          <w:sz w:val="16"/>
          <w:szCs w:val="16"/>
          <w:color w:val="auto"/>
        </w:rPr>
        <w:t xml:space="preserv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w:t>
      </w:r>
      <w:r>
        <w:rPr>
          <w:rFonts w:ascii="Arial" w:cs="Arial" w:eastAsia="Arial" w:hAnsi="Arial"/>
          <w:sz w:val="16"/>
          <w:szCs w:val="16"/>
          <w:u w:val="single" w:color="auto"/>
          <w:color w:val="auto"/>
        </w:rPr>
        <w:t>Section 7.2(a)</w:t>
      </w:r>
      <w:r>
        <w:rPr>
          <w:rFonts w:ascii="Arial" w:cs="Arial" w:eastAsia="Arial" w:hAnsi="Arial"/>
          <w:sz w:val="16"/>
          <w:szCs w:val="16"/>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60" w:lineRule="exact"/>
        <w:rPr>
          <w:rFonts w:ascii="Arial" w:cs="Arial" w:eastAsia="Arial" w:hAnsi="Arial"/>
          <w:sz w:val="16"/>
          <w:szCs w:val="16"/>
          <w:color w:val="auto"/>
        </w:rPr>
      </w:pPr>
    </w:p>
    <w:p>
      <w:pPr>
        <w:ind w:left="440" w:right="20" w:firstLine="428"/>
        <w:spacing w:after="0" w:line="268" w:lineRule="auto"/>
        <w:tabs>
          <w:tab w:leader="none" w:pos="11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80"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Termination of Restrictions.</w:t>
      </w:r>
      <w:r>
        <w:rPr>
          <w:rFonts w:ascii="Arial" w:cs="Arial" w:eastAsia="Arial" w:hAnsi="Arial"/>
          <w:sz w:val="16"/>
          <w:szCs w:val="16"/>
          <w:color w:val="auto"/>
        </w:rPr>
        <w:t xml:space="preserve">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000"/>
          </w:cols>
          <w:pgMar w:left="440" w:top="274" w:right="459" w:bottom="1440" w:gutter="0" w:footer="0" w:header="0"/>
        </w:sectPr>
      </w:pPr>
    </w:p>
    <w:bookmarkStart w:id="63" w:name="page64"/>
    <w:bookmarkEnd w:id="63"/>
    <w:p>
      <w:pPr>
        <w:ind w:right="8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6"/>
          <w:szCs w:val="16"/>
          <w:i w:val="1"/>
          <w:iCs w:val="1"/>
          <w:color w:val="auto"/>
        </w:rPr>
        <w:t>Payment of Restricted Share Units.</w:t>
      </w:r>
      <w:r>
        <w:rPr>
          <w:rFonts w:ascii="Arial" w:cs="Arial" w:eastAsia="Arial" w:hAnsi="Arial"/>
          <w:sz w:val="16"/>
          <w:szCs w:val="16"/>
          <w:color w:val="auto"/>
        </w:rPr>
        <w:t xml:space="preserve">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w:t>
      </w:r>
      <w:r>
        <w:rPr>
          <w:rFonts w:ascii="Arial" w:cs="Arial" w:eastAsia="Arial" w:hAnsi="Arial"/>
          <w:sz w:val="16"/>
          <w:szCs w:val="16"/>
          <w:i w:val="1"/>
          <w:iCs w:val="1"/>
          <w:color w:val="auto"/>
        </w:rPr>
        <w:t>provided</w:t>
      </w:r>
      <w:r>
        <w:rPr>
          <w:rFonts w:ascii="Arial" w:cs="Arial" w:eastAsia="Arial" w:hAnsi="Arial"/>
          <w:sz w:val="16"/>
          <w:szCs w:val="16"/>
          <w:color w:val="auto"/>
        </w:rPr>
        <w:t>, that no dividend equivalents shall be currently paid on Restricted Share Units that are not yet vested; provided further, that such dividend equivalents may be accumulated and paid when and only if the underlying Restricted Share Units vest. Except as otherwise determined by the Committee at or after grant, Restricted Share Units may not be sold, assigned, transferred, pledged, hypothecated or otherwise encumbered or disposed of, and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Performance Awards.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7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Terms and Conditions.</w:t>
      </w:r>
      <w:r>
        <w:rPr>
          <w:rFonts w:ascii="Arial" w:cs="Arial" w:eastAsia="Arial" w:hAnsi="Arial"/>
          <w:sz w:val="18"/>
          <w:szCs w:val="18"/>
          <w:color w:val="auto"/>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w:t>
      </w:r>
      <w:r>
        <w:rPr>
          <w:rFonts w:ascii="Arial" w:cs="Arial" w:eastAsia="Arial" w:hAnsi="Arial"/>
          <w:sz w:val="18"/>
          <w:szCs w:val="18"/>
          <w:i w:val="1"/>
          <w:iCs w:val="1"/>
          <w:color w:val="auto"/>
        </w:rPr>
        <w:t>provided</w:t>
      </w:r>
      <w:r>
        <w:rPr>
          <w:rFonts w:ascii="Arial" w:cs="Arial" w:eastAsia="Arial" w:hAnsi="Arial"/>
          <w:sz w:val="18"/>
          <w:szCs w:val="18"/>
          <w:color w:val="auto"/>
        </w:rPr>
        <w:t>, that such amendment may not adversely affect existing Performance Awards made within a performance period commencing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of the amendment.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shall apply to any Performance Awards that are Appreciation Awards.</w:t>
      </w:r>
    </w:p>
    <w:p>
      <w:pPr>
        <w:spacing w:after="0" w:line="8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Payment of Performance Awards.</w:t>
      </w:r>
      <w:r>
        <w:rPr>
          <w:rFonts w:ascii="Arial" w:cs="Arial" w:eastAsia="Arial" w:hAnsi="Arial"/>
          <w:sz w:val="17"/>
          <w:szCs w:val="17"/>
          <w:color w:val="auto"/>
        </w:rPr>
        <w:t xml:space="preserve">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 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The Committee shall have the authority to determine the Participants who shall receive an Other Stock-Based Award, which shall consist of any right that is (i) not an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020"/>
          </w:cols>
          <w:pgMar w:left="440" w:top="274" w:right="439" w:bottom="1440" w:gutter="0" w:footer="0" w:header="0"/>
        </w:sectPr>
      </w:pPr>
    </w:p>
    <w:bookmarkStart w:id="64" w:name="page65"/>
    <w:bookmarkEnd w:id="6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consistent with the purposes of the Plan. Subject to the terms of the Plan and any applicable Award Agreement, the Committee shall determine the terms and conditions of any such Other Stock-Based Award. The minimum vesting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shall apply to any Performance Awards that are Appreciation Awards.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Non-Employee Director and Outside Director Awards.</w:t>
      </w:r>
    </w:p>
    <w:p>
      <w:pPr>
        <w:spacing w:after="0" w:line="121" w:lineRule="exact"/>
        <w:rPr>
          <w:sz w:val="20"/>
          <w:szCs w:val="20"/>
          <w:color w:val="auto"/>
        </w:rPr>
      </w:pPr>
    </w:p>
    <w:p>
      <w:pPr>
        <w:ind w:right="260" w:firstLine="441"/>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Non-Employee Director Awards</w:t>
      </w:r>
      <w:r>
        <w:rPr>
          <w:rFonts w:ascii="Arial" w:cs="Arial" w:eastAsia="Arial" w:hAnsi="Arial"/>
          <w:sz w:val="17"/>
          <w:szCs w:val="17"/>
          <w:color w:val="auto"/>
        </w:rPr>
        <w:t xml:space="preserve">.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Appreciation Awards to a Director pursuant to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be subject to the minimum vesting provisions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hereof.</w:t>
      </w:r>
    </w:p>
    <w:p>
      <w:pPr>
        <w:spacing w:after="0" w:line="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Outside Director Awards</w:t>
      </w:r>
      <w:r>
        <w:rPr>
          <w:rFonts w:ascii="Arial" w:cs="Arial" w:eastAsia="Arial" w:hAnsi="Arial"/>
          <w:sz w:val="18"/>
          <w:szCs w:val="18"/>
          <w:color w:val="auto"/>
        </w:rPr>
        <w:t xml:space="preserve">. The Board may also grant Awards to Outside Directors pursuant to the terms of the Plan, including any Award described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above. With respect to such Awards, all references in the Plan to the Committee shall be deemed to be references to the Board.</w:t>
      </w:r>
    </w:p>
    <w:p>
      <w:pPr>
        <w:spacing w:after="0" w:line="73"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Director Limits</w:t>
      </w:r>
      <w:r>
        <w:rPr>
          <w:rFonts w:ascii="Arial" w:cs="Arial" w:eastAsia="Arial" w:hAnsi="Arial"/>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in value, calculating the value of any equity Awards granted during such calendar year based on the grant date fair value of such Awards for financial reporting purposes. The Board may make exceptions to the applicable limit in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Provisions Applicable to Performance Awards.</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11.1 The Committee may grant Performance Awards based upon the attainment of performance targets related to one or more performance goals selected by the Committee from among the goals specified below. For the purposes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performance goals shall be limited to one or more of the following Company, Subsidiary, operating unit, business segment or division financial performance measures:</w:t>
      </w:r>
    </w:p>
    <w:p>
      <w:pPr>
        <w:spacing w:after="0" w:line="71" w:lineRule="exact"/>
        <w:rPr>
          <w:sz w:val="20"/>
          <w:szCs w:val="20"/>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interest, taxes, depreciation, amortization and/or stock compensation;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(or gross) income or profit;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pretax income before allocation of corporate overhead and/or bonus;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productivity or operating efficiencies;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income as a percentage of 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capital, capital employed or investment, equity, or assets (including economic value created);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tax operating income;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980"/>
          </w:cols>
          <w:pgMar w:left="440" w:top="274" w:right="479" w:bottom="1440" w:gutter="0" w:footer="0" w:header="0"/>
        </w:sectPr>
      </w:pPr>
    </w:p>
    <w:bookmarkStart w:id="65" w:name="page66"/>
    <w:bookmarkEnd w:id="65"/>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or book value per Share;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ratios;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cash flow(s);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sales or revenues or sales or revenues per employee;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 expenditures as a percentage of net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operating expenses, or some component or combination of components of total operating expenses, as a percentage of net sales;</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stock price or total stockholder return, including any comparisons with stock market indices;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appreciation in or maintenance of the price of the common stock or any publicly-traded securities of the Company;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dividends;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debt or cost reduction;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comparisons with performance metrics of peer companies;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comparisons of Company stock price performance to the stock price performance of peer companies;</w:t>
      </w:r>
    </w:p>
    <w:p>
      <w:pPr>
        <w:spacing w:after="0" w:line="130" w:lineRule="exact"/>
        <w:rPr>
          <w:rFonts w:ascii="Arial" w:cs="Arial" w:eastAsia="Arial" w:hAnsi="Arial"/>
          <w:sz w:val="18"/>
          <w:szCs w:val="18"/>
          <w:color w:val="auto"/>
        </w:rPr>
      </w:pPr>
    </w:p>
    <w:p>
      <w:pPr>
        <w:ind w:left="860" w:right="280" w:hanging="424"/>
        <w:spacing w:after="0" w:line="257"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w:t>
      </w:r>
    </w:p>
    <w:p>
      <w:pPr>
        <w:spacing w:after="0" w:line="93"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quality or customer satisfaction;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comparable site sales;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economic value-added models;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combination thereof.</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Committee may define such performance goals with reference to (i)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where applicable, or</w:t>
      </w:r>
    </w:p>
    <w:p>
      <w:pPr>
        <w:spacing w:after="0" w:line="39" w:lineRule="exact"/>
        <w:rPr>
          <w:sz w:val="20"/>
          <w:szCs w:val="20"/>
          <w:color w:val="auto"/>
        </w:rPr>
      </w:pPr>
    </w:p>
    <w:p>
      <w:pPr>
        <w:ind w:firstLine="4"/>
        <w:spacing w:after="0" w:line="267" w:lineRule="auto"/>
        <w:tabs>
          <w:tab w:leader="none" w:pos="2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 (vi) 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000"/>
          </w:cols>
          <w:pgMar w:left="440" w:top="274" w:right="459" w:bottom="1440" w:gutter="0" w:footer="0" w:header="0"/>
        </w:sectPr>
      </w:pPr>
    </w:p>
    <w:bookmarkStart w:id="66" w:name="page67"/>
    <w:bookmarkEnd w:id="66"/>
    <w:p>
      <w:pPr>
        <w:ind w:right="4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 No later than 90 days following the commencement of each performance period (or such other time as the Committee may select while the achievement of such performance goals is uncertain), the Committee shall (1) select the performance goal or goals applicable to the performance period,</w:t>
      </w:r>
    </w:p>
    <w:p>
      <w:pPr>
        <w:ind w:right="20" w:firstLine="4"/>
        <w:spacing w:after="0" w:line="253"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establish the various targets and bonus amounts which may be earned for such performance period, and (3) specify the relationship between performance goals and targets and the amounts to be earned by each Participant for such performance period. Prior to the payment of any compensation based on the achievement of performance goals applicable to Performance Awards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Committee shall determine (which may be set forth in the minutes of the Committee) whether the applicable performance targets have been achieved and the amounts, if any, payable to Participants for such performance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Separation from Service.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pacing w:after="0" w:line="79"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121" w:lineRule="exact"/>
        <w:rPr>
          <w:sz w:val="20"/>
          <w:szCs w:val="20"/>
          <w:color w:val="auto"/>
        </w:rPr>
      </w:pPr>
    </w:p>
    <w:p>
      <w:pPr>
        <w:ind w:right="100" w:firstLine="441"/>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Assumption, Continuation or Substitution.</w:t>
      </w:r>
      <w:r>
        <w:rPr>
          <w:rFonts w:ascii="Arial" w:cs="Arial" w:eastAsia="Arial" w:hAnsi="Arial"/>
          <w:sz w:val="17"/>
          <w:szCs w:val="17"/>
          <w:color w:val="auto"/>
        </w:rPr>
        <w:t xml:space="preserve">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Arial" w:cs="Arial" w:eastAsia="Arial" w:hAnsi="Arial"/>
          <w:sz w:val="17"/>
          <w:szCs w:val="17"/>
          <w:b w:val="1"/>
          <w:bCs w:val="1"/>
          <w:color w:val="auto"/>
        </w:rPr>
        <w:t>Acquiror</w:t>
      </w:r>
      <w:r>
        <w:rPr>
          <w:rFonts w:ascii="Arial" w:cs="Arial" w:eastAsia="Arial" w:hAnsi="Arial"/>
          <w:sz w:val="17"/>
          <w:szCs w:val="17"/>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provided, that in the event of such an assumption, the Acquiror must grant the rights set forth in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to the Participant in respect of such assumed Awards. For purposes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if so determined by the Committee, in its discretion, an Award denominated in Shares shall be deemed assumed if, following the Change in Control, the Award (as adjusted, if applicable,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7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Accelerated Vesting</w:t>
      </w:r>
      <w:r>
        <w:rPr>
          <w:rFonts w:ascii="Arial" w:cs="Arial" w:eastAsia="Arial" w:hAnsi="Arial"/>
          <w:sz w:val="16"/>
          <w:szCs w:val="16"/>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of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020"/>
          </w:cols>
          <w:pgMar w:left="440" w:top="274" w:right="439" w:bottom="1440" w:gutter="0" w:footer="0" w:header="0"/>
        </w:sectPr>
      </w:pPr>
    </w:p>
    <w:bookmarkStart w:id="67" w:name="page68"/>
    <w:bookmarkEnd w:id="67"/>
    <w:p>
      <w:pPr>
        <w:ind w:right="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6"/>
          <w:szCs w:val="16"/>
          <w:i w:val="1"/>
          <w:iCs w:val="1"/>
          <w:color w:val="auto"/>
        </w:rPr>
        <w:t>Certain Terminations</w:t>
      </w:r>
      <w:r>
        <w:rPr>
          <w:rFonts w:ascii="Arial" w:cs="Arial" w:eastAsia="Arial" w:hAnsi="Arial"/>
          <w:sz w:val="16"/>
          <w:szCs w:val="16"/>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5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i w:val="1"/>
          <w:iCs w:val="1"/>
          <w:color w:val="auto"/>
        </w:rPr>
        <w:t>Cash Settlement of Awards</w:t>
      </w:r>
      <w:r>
        <w:rPr>
          <w:rFonts w:ascii="Arial" w:cs="Arial" w:eastAsia="Arial" w:hAnsi="Arial"/>
          <w:sz w:val="17"/>
          <w:szCs w:val="17"/>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7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i w:val="1"/>
          <w:iCs w:val="1"/>
          <w:color w:val="auto"/>
        </w:rPr>
        <w:t>Performance Awards.</w:t>
      </w:r>
      <w:r>
        <w:rPr>
          <w:rFonts w:ascii="Arial" w:cs="Arial" w:eastAsia="Arial" w:hAnsi="Arial"/>
          <w:sz w:val="17"/>
          <w:szCs w:val="17"/>
          <w:color w:val="auto"/>
        </w:rPr>
        <w:t xml:space="preserve">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 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Amendments to the Plan.</w:t>
      </w:r>
      <w:r>
        <w:rPr>
          <w:rFonts w:ascii="Arial" w:cs="Arial" w:eastAsia="Arial" w:hAnsi="Arial"/>
          <w:sz w:val="18"/>
          <w:szCs w:val="18"/>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shall be made without stockholder approval if such approval is necessary to comply with any tax or regulatory requirement for which or with which the Board deems it necessary or desirable to comply.</w:t>
      </w:r>
    </w:p>
    <w:p>
      <w:pPr>
        <w:spacing w:after="0" w:line="8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Amendments to Awards.</w:t>
      </w:r>
      <w:r>
        <w:rPr>
          <w:rFonts w:ascii="Arial" w:cs="Arial" w:eastAsia="Arial" w:hAnsi="Arial"/>
          <w:sz w:val="18"/>
          <w:szCs w:val="18"/>
          <w:color w:val="auto"/>
        </w:rPr>
        <w:t xml:space="preserve"> Subject to the restrictions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the Committee may waive any conditions or rights under, amend any terms of or alter, suspend, discontinue, cancel or terminate, any Award theretofore granted, prospectively or retroactively in time (and in accordance with Section 409A of the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0980"/>
          </w:cols>
          <w:pgMar w:left="440" w:top="274" w:right="479" w:bottom="1440" w:gutter="0" w:footer="0" w:header="0"/>
        </w:sectPr>
      </w:pPr>
    </w:p>
    <w:bookmarkStart w:id="68" w:name="page69"/>
    <w:bookmarkEnd w:id="68"/>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73" w:lineRule="exact"/>
        <w:rPr>
          <w:sz w:val="20"/>
          <w:szCs w:val="20"/>
          <w:color w:val="auto"/>
        </w:rPr>
      </w:pPr>
    </w:p>
    <w:p>
      <w:pPr>
        <w:ind w:right="280" w:firstLine="441"/>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Adjustments of Awards upon the Occurrence of Certain Unusual or Nonrecurring Events.</w:t>
      </w:r>
      <w:r>
        <w:rPr>
          <w:rFonts w:ascii="Arial" w:cs="Arial" w:eastAsia="Arial" w:hAnsi="Arial"/>
          <w:sz w:val="16"/>
          <w:szCs w:val="16"/>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4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Foreign Employees.</w:t>
      </w:r>
      <w:r>
        <w:rPr>
          <w:rFonts w:ascii="Arial" w:cs="Arial" w:eastAsia="Arial" w:hAnsi="Arial"/>
          <w:sz w:val="16"/>
          <w:szCs w:val="16"/>
          <w:color w:val="auto"/>
        </w:rPr>
        <w:t xml:space="preserve">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General Provisions.</w:t>
      </w:r>
    </w:p>
    <w:p>
      <w:pPr>
        <w:spacing w:after="0" w:line="12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Limited Transferability of Awards.</w:t>
      </w:r>
      <w:r>
        <w:rPr>
          <w:rFonts w:ascii="Arial" w:cs="Arial" w:eastAsia="Arial" w:hAnsi="Arial"/>
          <w:sz w:val="17"/>
          <w:szCs w:val="17"/>
          <w:color w:val="auto"/>
        </w:rPr>
        <w:t xml:space="preserve"> Except as otherwise provided in the Plan, an Award Agreement or by the Committee at or after grant, no Award shall be assigned, alienated, pledged, attached, sold or otherwise transferred or 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64"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Dividend Equivalents.</w:t>
      </w:r>
      <w:r>
        <w:rPr>
          <w:rFonts w:ascii="Arial" w:cs="Arial" w:eastAsia="Arial" w:hAnsi="Arial"/>
          <w:sz w:val="17"/>
          <w:szCs w:val="17"/>
          <w:color w:val="auto"/>
        </w:rPr>
        <w:t xml:space="preserve"> No dividend equivalent rights shall be granted with respect to Appreciation Awards. In the sole and complete discretion of the Committee, however, any other Award may provide the Participant with dividends or dividend equivalents, payable in cash, Shares, other securities or other property on a current or deferred basis. All dividend or dividend equivalents which are not paid currently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74"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xml:space="preserve">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020"/>
          </w:cols>
          <w:pgMar w:left="440" w:top="274" w:right="439" w:bottom="1440" w:gutter="0" w:footer="0" w:header="0"/>
        </w:sectPr>
      </w:pPr>
    </w:p>
    <w:bookmarkStart w:id="69" w:name="page70"/>
    <w:bookmarkEnd w:id="69"/>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 period” as defined therein.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75"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color w:val="auto"/>
        </w:rPr>
        <w:t>No Rights to Awards.</w:t>
      </w:r>
      <w:r>
        <w:rPr>
          <w:rFonts w:ascii="Arial" w:cs="Arial" w:eastAsia="Arial" w:hAnsi="Arial"/>
          <w:sz w:val="16"/>
          <w:szCs w:val="16"/>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6"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color w:val="auto"/>
        </w:rPr>
        <w:t>Share Certificates.</w:t>
      </w:r>
      <w:r>
        <w:rPr>
          <w:rFonts w:ascii="Arial" w:cs="Arial" w:eastAsia="Arial" w:hAnsi="Arial"/>
          <w:sz w:val="17"/>
          <w:szCs w:val="17"/>
          <w:color w:val="auto"/>
        </w:rPr>
        <w:t xml:space="preserve">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64"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i w:val="1"/>
          <w:iCs w:val="1"/>
          <w:color w:val="auto"/>
        </w:rPr>
        <w:t>Tax Withholding.</w:t>
      </w:r>
      <w:r>
        <w:rPr>
          <w:rFonts w:ascii="Arial" w:cs="Arial" w:eastAsia="Arial" w:hAnsi="Arial"/>
          <w:sz w:val="16"/>
          <w:szCs w:val="16"/>
          <w:color w:val="auto"/>
        </w:rPr>
        <w:t xml:space="preserve"> A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maximum statutory withholding rates for federal, state, local and/or foreign tax purposes, including payroll taxes, that are applicable to the Participant); and/or (b) 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6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color w:val="auto"/>
        </w:rPr>
        <w:t>Award Agreements.</w:t>
      </w:r>
      <w:r>
        <w:rPr>
          <w:rFonts w:ascii="Arial" w:cs="Arial" w:eastAsia="Arial" w:hAnsi="Arial"/>
          <w:sz w:val="17"/>
          <w:szCs w:val="17"/>
          <w:color w:val="auto"/>
        </w:rPr>
        <w:t xml:space="preserve">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020"/>
          </w:cols>
          <w:pgMar w:left="440" w:top="274" w:right="439" w:bottom="1440" w:gutter="0" w:footer="0" w:header="0"/>
        </w:sectPr>
      </w:pPr>
    </w:p>
    <w:bookmarkStart w:id="70" w:name="page71"/>
    <w:bookmarkEnd w:id="70"/>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15.8 </w:t>
      </w:r>
      <w:r>
        <w:rPr>
          <w:rFonts w:ascii="Arial" w:cs="Arial" w:eastAsia="Arial" w:hAnsi="Arial"/>
          <w:sz w:val="18"/>
          <w:szCs w:val="18"/>
          <w:i w:val="1"/>
          <w:iCs w:val="1"/>
          <w:color w:val="auto"/>
        </w:rPr>
        <w:t>Other Compensation Arrangements.</w:t>
      </w:r>
      <w:r>
        <w:rPr>
          <w:rFonts w:ascii="Arial" w:cs="Arial" w:eastAsia="Arial" w:hAnsi="Arial"/>
          <w:sz w:val="18"/>
          <w:szCs w:val="18"/>
          <w:color w:val="auto"/>
        </w:rPr>
        <w:t xml:space="preserve">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8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color w:val="auto"/>
        </w:rPr>
        <w:t>No Right to Employment.</w:t>
      </w:r>
      <w:r>
        <w:rPr>
          <w:rFonts w:ascii="Arial" w:cs="Arial" w:eastAsia="Arial" w:hAnsi="Arial"/>
          <w:sz w:val="17"/>
          <w:szCs w:val="17"/>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5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i w:val="1"/>
          <w:iCs w:val="1"/>
          <w:color w:val="auto"/>
        </w:rPr>
        <w:t>No Rights as Stockholder.</w:t>
      </w:r>
      <w:r>
        <w:rPr>
          <w:rFonts w:ascii="Arial" w:cs="Arial" w:eastAsia="Arial" w:hAnsi="Arial"/>
          <w:sz w:val="16"/>
          <w:szCs w:val="16"/>
          <w:color w:val="auto"/>
        </w:rPr>
        <w:t xml:space="preserve">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46" w:lineRule="exact"/>
        <w:rPr>
          <w:sz w:val="20"/>
          <w:szCs w:val="20"/>
          <w:color w:val="auto"/>
        </w:rPr>
      </w:pPr>
    </w:p>
    <w:p>
      <w:pPr>
        <w:ind w:right="820" w:firstLine="441"/>
        <w:spacing w:after="0" w:line="342"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6"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64"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Other Laws.</w:t>
      </w:r>
      <w:r>
        <w:rPr>
          <w:rFonts w:ascii="Arial" w:cs="Arial" w:eastAsia="Arial" w:hAnsi="Arial"/>
          <w:sz w:val="17"/>
          <w:szCs w:val="17"/>
          <w:color w:val="auto"/>
        </w:rPr>
        <w:t xml:space="preserve">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 hereunder, shall relieve the Company of any liability in respect of the failure to issue the Shares as to which such requisite authority shall not have been obtained.</w:t>
      </w:r>
    </w:p>
    <w:p>
      <w:pPr>
        <w:spacing w:after="0" w:line="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No Trust or Fund Created.</w:t>
      </w:r>
      <w:r>
        <w:rPr>
          <w:rFonts w:ascii="Arial" w:cs="Arial" w:eastAsia="Arial" w:hAnsi="Arial"/>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7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73"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Clawback</w:t>
      </w:r>
      <w:r>
        <w:rPr>
          <w:rFonts w:ascii="Arial" w:cs="Arial" w:eastAsia="Arial" w:hAnsi="Arial"/>
          <w:sz w:val="18"/>
          <w:szCs w:val="18"/>
          <w:color w:val="auto"/>
        </w:rPr>
        <w:t>. Any Award granted pursuant to this Plan shall be subject to mandatory repayment by the Participant to the Company (i) to the extent set forth in any Award Agreement, (ii) to the extent that such Participant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020"/>
          </w:cols>
          <w:pgMar w:left="440" w:top="274" w:right="439" w:bottom="1440" w:gutter="0" w:footer="0" w:header="0"/>
        </w:sectPr>
      </w:pPr>
    </w:p>
    <w:bookmarkStart w:id="71" w:name="page72"/>
    <w:bookmarkEnd w:id="7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79"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117"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May 16, 2019 (the “</w:t>
      </w:r>
      <w:r>
        <w:rPr>
          <w:rFonts w:ascii="Arial" w:cs="Arial" w:eastAsia="Arial" w:hAnsi="Arial"/>
          <w:sz w:val="18"/>
          <w:szCs w:val="18"/>
          <w:b w:val="1"/>
          <w:bCs w:val="1"/>
          <w:color w:val="auto"/>
        </w:rPr>
        <w:t>Effective Date</w:t>
      </w:r>
      <w:r>
        <w:rPr>
          <w:rFonts w:ascii="Arial" w:cs="Arial" w:eastAsia="Arial" w:hAnsi="Arial"/>
          <w:sz w:val="18"/>
          <w:szCs w:val="18"/>
          <w:color w:val="auto"/>
        </w:rPr>
        <w:t>”) provided it has been approved by the Company’s stockholders.</w:t>
      </w:r>
    </w:p>
    <w:p>
      <w:pPr>
        <w:spacing w:after="0" w:line="5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Effective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000"/>
          </w:cols>
          <w:pgMar w:left="440" w:top="274" w:right="4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414655</wp:posOffset>
            </wp:positionV>
            <wp:extent cx="840740" cy="814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8407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1"/>
          <w:szCs w:val="11"/>
          <w:b w:val="1"/>
          <w:bCs w:val="1"/>
          <w:i w:val="1"/>
          <w:iCs w:val="1"/>
          <w:color w:val="auto"/>
        </w:rPr>
        <w:t>NN, INC.</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1"/>
          <w:szCs w:val="11"/>
          <w:b w:val="1"/>
          <w:bCs w:val="1"/>
          <w:i w:val="1"/>
          <w:iCs w:val="1"/>
          <w:color w:val="auto"/>
        </w:rPr>
        <w:t>6210 Ardrey Kell Road</w:t>
      </w:r>
    </w:p>
    <w:p>
      <w:pPr>
        <w:ind w:left="540"/>
        <w:spacing w:after="0"/>
        <w:rPr>
          <w:sz w:val="20"/>
          <w:szCs w:val="20"/>
          <w:color w:val="auto"/>
        </w:rPr>
      </w:pPr>
      <w:r>
        <w:rPr>
          <w:rFonts w:ascii="Arial" w:cs="Arial" w:eastAsia="Arial" w:hAnsi="Arial"/>
          <w:sz w:val="11"/>
          <w:szCs w:val="11"/>
          <w:b w:val="1"/>
          <w:bCs w:val="1"/>
          <w:i w:val="1"/>
          <w:iCs w:val="1"/>
          <w:color w:val="auto"/>
        </w:rPr>
        <w:t>Charlotte, NC 28277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-173990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ET on 05/15/2019 for shares held directly and by 11:59 P.M. ET on 05/15/2019 for shares held in a Plan. Have your proxy card in hand when you access the web site and follow the instructions to obtain your records and to create an electronic voting instruction form.</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6" w:lineRule="exact"/>
        <w:rPr>
          <w:sz w:val="20"/>
          <w:szCs w:val="20"/>
          <w:color w:val="auto"/>
        </w:rPr>
      </w:pPr>
    </w:p>
    <w:p>
      <w:pPr>
        <w:ind w:right="120"/>
        <w:spacing w:after="0" w:line="263" w:lineRule="auto"/>
        <w:rPr>
          <w:sz w:val="20"/>
          <w:szCs w:val="20"/>
          <w:color w:val="auto"/>
        </w:rPr>
      </w:pPr>
      <w:r>
        <w:rPr>
          <w:rFonts w:ascii="Arial" w:cs="Arial" w:eastAsia="Arial" w:hAnsi="Arial"/>
          <w:sz w:val="10"/>
          <w:szCs w:val="10"/>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jc w:val="both"/>
        <w:ind w:right="16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ET on 05/15/2019 for shares held directly and by 11:59 P.M. ET on 05/15/2019 for shares held in a Plan. Have your proxy card in hand when you call and then follow the instructions.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KEEP THIS PORTION FOR YOUR RECORDS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sectPr>
          <w:pgSz w:w="11900" w:h="16838" w:orient="portrait"/>
          <w:cols w:equalWidth="0" w:num="2">
            <w:col w:w="4800" w:space="720"/>
            <w:col w:w="5280"/>
          </w:cols>
          <w:pgMar w:left="660" w:top="276" w:right="439" w:bottom="1440" w:gutter="0" w:footer="0" w:header="0"/>
        </w:sectPr>
      </w:pPr>
    </w:p>
    <w:p>
      <w:pPr>
        <w:jc w:val="center"/>
        <w:ind w:right="2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74930</wp:posOffset>
            </wp:positionV>
            <wp:extent cx="6860540" cy="4485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60540" cy="4485005"/>
                    </a:xfrm>
                    <a:prstGeom prst="rect">
                      <a:avLst/>
                    </a:prstGeom>
                    <a:noFill/>
                  </pic:spPr>
                </pic:pic>
              </a:graphicData>
            </a:graphic>
          </wp:anchor>
        </w:drawing>
      </w:r>
    </w:p>
    <w:p>
      <w:pPr>
        <w:sectPr>
          <w:pgSz w:w="11900" w:h="16838" w:orient="portrait"/>
          <w:cols w:equalWidth="0" w:num="1">
            <w:col w:w="10800"/>
          </w:cols>
          <w:pgMar w:left="660" w:top="276" w:right="439" w:bottom="1440" w:gutter="0" w:footer="0" w:header="0"/>
          <w:type w:val="continuous"/>
        </w:sectPr>
      </w:pP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tcPr>
          <w:p>
            <w:pPr>
              <w:jc w:val="center"/>
              <w:ind w:left="2037"/>
              <w:spacing w:after="0"/>
              <w:rPr>
                <w:sz w:val="20"/>
                <w:szCs w:val="20"/>
                <w:color w:val="auto"/>
              </w:rPr>
            </w:pPr>
            <w:r>
              <w:rPr>
                <w:rFonts w:ascii="Arial" w:cs="Arial" w:eastAsia="Arial" w:hAnsi="Arial"/>
                <w:sz w:val="13"/>
                <w:szCs w:val="13"/>
                <w:b w:val="1"/>
                <w:bCs w:val="1"/>
                <w:color w:val="auto"/>
                <w:w w:val="95"/>
              </w:rPr>
              <w:t>For</w:t>
            </w: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Withhold</w:t>
            </w:r>
          </w:p>
        </w:tc>
        <w:tc>
          <w:tcPr>
            <w:tcW w:w="520" w:type="dxa"/>
            <w:vAlign w:val="bottom"/>
          </w:tcPr>
          <w:p>
            <w:pPr>
              <w:ind w:left="120"/>
              <w:spacing w:after="0"/>
              <w:rPr>
                <w:sz w:val="20"/>
                <w:szCs w:val="20"/>
                <w:color w:val="auto"/>
              </w:rPr>
            </w:pPr>
            <w:r>
              <w:rPr>
                <w:rFonts w:ascii="Arial" w:cs="Arial" w:eastAsia="Arial" w:hAnsi="Arial"/>
                <w:sz w:val="13"/>
                <w:szCs w:val="13"/>
                <w:b w:val="1"/>
                <w:bCs w:val="1"/>
                <w:color w:val="auto"/>
                <w:w w:val="92"/>
              </w:rPr>
              <w:t>For All</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80" w:type="dxa"/>
            <w:vAlign w:val="bottom"/>
          </w:tcPr>
          <w:p>
            <w:pPr>
              <w:jc w:val="center"/>
              <w:ind w:left="2037"/>
              <w:spacing w:after="0"/>
              <w:rPr>
                <w:sz w:val="20"/>
                <w:szCs w:val="20"/>
                <w:color w:val="auto"/>
              </w:rPr>
            </w:pPr>
            <w:r>
              <w:rPr>
                <w:rFonts w:ascii="Arial" w:cs="Arial" w:eastAsia="Arial" w:hAnsi="Arial"/>
                <w:sz w:val="13"/>
                <w:szCs w:val="13"/>
                <w:b w:val="1"/>
                <w:bCs w:val="1"/>
                <w:color w:val="auto"/>
                <w:w w:val="96"/>
              </w:rPr>
              <w:t>All</w:t>
            </w:r>
          </w:p>
        </w:tc>
        <w:tc>
          <w:tcPr>
            <w:tcW w:w="780" w:type="dxa"/>
            <w:vAlign w:val="bottom"/>
          </w:tcPr>
          <w:p>
            <w:pPr>
              <w:ind w:left="320"/>
              <w:spacing w:after="0"/>
              <w:rPr>
                <w:sz w:val="20"/>
                <w:szCs w:val="20"/>
                <w:color w:val="auto"/>
              </w:rPr>
            </w:pPr>
            <w:r>
              <w:rPr>
                <w:rFonts w:ascii="Arial" w:cs="Arial" w:eastAsia="Arial" w:hAnsi="Arial"/>
                <w:sz w:val="13"/>
                <w:szCs w:val="13"/>
                <w:b w:val="1"/>
                <w:bCs w:val="1"/>
                <w:color w:val="auto"/>
              </w:rPr>
              <w:t>All</w:t>
            </w: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w w:val="93"/>
              </w:rPr>
              <w:t>Except</w:t>
            </w:r>
          </w:p>
        </w:tc>
        <w:tc>
          <w:tcPr>
            <w:tcW w:w="0" w:type="dxa"/>
            <w:vAlign w:val="bottom"/>
          </w:tcPr>
          <w:p>
            <w:pPr>
              <w:spacing w:after="0"/>
              <w:rPr>
                <w:sz w:val="1"/>
                <w:szCs w:val="1"/>
                <w:color w:val="auto"/>
              </w:rPr>
            </w:pPr>
          </w:p>
        </w:tc>
      </w:tr>
      <w:tr>
        <w:trPr>
          <w:trHeight w:val="135"/>
        </w:trPr>
        <w:tc>
          <w:tcPr>
            <w:tcW w:w="40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The Board of Directors recommends you vote</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FOR</w:t>
            </w:r>
          </w:p>
        </w:tc>
        <w:tc>
          <w:tcPr>
            <w:tcW w:w="2580" w:type="dxa"/>
            <w:vAlign w:val="bottom"/>
            <w:vMerge w:val="restart"/>
          </w:tcPr>
          <w:p>
            <w:pPr>
              <w:jc w:val="center"/>
              <w:ind w:left="203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the following:</w:t>
            </w:r>
          </w:p>
        </w:tc>
        <w:tc>
          <w:tcPr>
            <w:tcW w:w="25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3"/>
                <w:szCs w:val="13"/>
                <w:b w:val="1"/>
                <w:bCs w:val="1"/>
                <w:color w:val="auto"/>
              </w:rPr>
              <w:t>1.</w:t>
            </w:r>
          </w:p>
        </w:tc>
        <w:tc>
          <w:tcPr>
            <w:tcW w:w="124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2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Arial" w:cs="Arial" w:eastAsia="Arial" w:hAnsi="Arial"/>
                <w:sz w:val="13"/>
                <w:szCs w:val="13"/>
                <w:b w:val="1"/>
                <w:bCs w:val="1"/>
                <w:color w:val="auto"/>
              </w:rPr>
              <w:t>Nominees</w:t>
            </w:r>
          </w:p>
        </w:tc>
        <w:tc>
          <w:tcPr>
            <w:tcW w:w="2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3"/>
                <w:szCs w:val="13"/>
                <w:color w:val="auto"/>
              </w:rPr>
              <w:t>01.</w:t>
            </w:r>
          </w:p>
        </w:tc>
        <w:tc>
          <w:tcPr>
            <w:tcW w:w="1240" w:type="dxa"/>
            <w:vAlign w:val="bottom"/>
          </w:tcPr>
          <w:p>
            <w:pPr>
              <w:ind w:left="60"/>
              <w:spacing w:after="0"/>
              <w:rPr>
                <w:sz w:val="20"/>
                <w:szCs w:val="20"/>
                <w:color w:val="auto"/>
              </w:rPr>
            </w:pPr>
            <w:r>
              <w:rPr>
                <w:rFonts w:ascii="Arial" w:cs="Arial" w:eastAsia="Arial" w:hAnsi="Arial"/>
                <w:sz w:val="13"/>
                <w:szCs w:val="13"/>
                <w:color w:val="auto"/>
              </w:rPr>
              <w:t>David K. Floyd</w:t>
            </w:r>
          </w:p>
        </w:tc>
        <w:tc>
          <w:tcPr>
            <w:tcW w:w="2580" w:type="dxa"/>
            <w:vAlign w:val="bottom"/>
          </w:tcPr>
          <w:p>
            <w:pPr>
              <w:ind w:left="80"/>
              <w:spacing w:after="0"/>
              <w:rPr>
                <w:sz w:val="20"/>
                <w:szCs w:val="20"/>
                <w:color w:val="auto"/>
              </w:rPr>
            </w:pPr>
            <w:r>
              <w:rPr>
                <w:rFonts w:ascii="Arial" w:cs="Arial" w:eastAsia="Arial" w:hAnsi="Arial"/>
                <w:sz w:val="13"/>
                <w:szCs w:val="13"/>
                <w:color w:val="auto"/>
              </w:rPr>
              <w:t>02. Janice E. Stipp</w:t>
            </w: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0"/>
          <w:szCs w:val="10"/>
          <w:color w:val="auto"/>
        </w:rPr>
        <w:t>To withhold authority to vote for any individual</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nominee(s), mark “For All Except” and write</w:t>
      </w:r>
    </w:p>
    <w:p>
      <w:pPr>
        <w:spacing w:after="0" w:line="230" w:lineRule="auto"/>
        <w:rPr>
          <w:sz w:val="20"/>
          <w:szCs w:val="20"/>
          <w:color w:val="auto"/>
        </w:rPr>
      </w:pPr>
      <w:r>
        <w:rPr>
          <w:rFonts w:ascii="Arial" w:cs="Arial" w:eastAsia="Arial" w:hAnsi="Arial"/>
          <w:sz w:val="11"/>
          <w:szCs w:val="11"/>
          <w:color w:val="auto"/>
        </w:rPr>
        <w:t>the number(s) of the nominee(s) on the line</w:t>
      </w:r>
    </w:p>
    <w:p>
      <w:pPr>
        <w:spacing w:after="0"/>
        <w:rPr>
          <w:sz w:val="20"/>
          <w:szCs w:val="20"/>
          <w:color w:val="auto"/>
        </w:rPr>
      </w:pPr>
      <w:r>
        <w:rPr>
          <w:rFonts w:ascii="Arial" w:cs="Arial" w:eastAsia="Arial" w:hAnsi="Arial"/>
          <w:sz w:val="11"/>
          <w:szCs w:val="11"/>
          <w:color w:val="auto"/>
        </w:rPr>
        <w:t>below.</w:t>
      </w:r>
    </w:p>
    <w:p>
      <w:pPr>
        <w:spacing w:after="0" w:line="1219" w:lineRule="exact"/>
        <w:rPr>
          <w:sz w:val="20"/>
          <w:szCs w:val="20"/>
          <w:color w:val="auto"/>
        </w:rPr>
      </w:pPr>
    </w:p>
    <w:p>
      <w:pPr>
        <w:sectPr>
          <w:pgSz w:w="11900" w:h="16838" w:orient="portrait"/>
          <w:cols w:equalWidth="0" w:num="2">
            <w:col w:w="5620" w:space="340"/>
            <w:col w:w="4840"/>
          </w:cols>
          <w:pgMar w:left="660" w:top="276" w:right="439" w:bottom="1440" w:gutter="0" w:footer="0" w:header="0"/>
          <w:type w:val="continuous"/>
        </w:sectPr>
      </w:pPr>
    </w:p>
    <w:p>
      <w:pPr>
        <w:ind w:left="280"/>
        <w:spacing w:after="0"/>
        <w:rPr>
          <w:sz w:val="20"/>
          <w:szCs w:val="20"/>
          <w:color w:val="auto"/>
        </w:rPr>
      </w:pPr>
      <w:r>
        <w:rPr>
          <w:rFonts w:ascii="Arial" w:cs="Arial" w:eastAsia="Arial" w:hAnsi="Arial"/>
          <w:sz w:val="13"/>
          <w:szCs w:val="13"/>
          <w:b w:val="1"/>
          <w:bCs w:val="1"/>
          <w:color w:val="auto"/>
        </w:rPr>
        <w:t>The Board of Directors recommends you vote FOR proposals 2, 3, 4, 5 and 6.</w:t>
      </w:r>
    </w:p>
    <w:p>
      <w:pPr>
        <w:spacing w:after="0" w:line="110" w:lineRule="exact"/>
        <w:rPr>
          <w:sz w:val="20"/>
          <w:szCs w:val="20"/>
          <w:color w:val="auto"/>
        </w:rPr>
      </w:pPr>
    </w:p>
    <w:p>
      <w:pPr>
        <w:ind w:left="480" w:hanging="196"/>
        <w:spacing w:after="0"/>
        <w:tabs>
          <w:tab w:leader="none" w:pos="480"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declassify the Board of Directors.</w:t>
      </w:r>
    </w:p>
    <w:p>
      <w:pPr>
        <w:spacing w:after="0" w:line="107" w:lineRule="exact"/>
        <w:rPr>
          <w:rFonts w:ascii="Arial" w:cs="Arial" w:eastAsia="Arial" w:hAnsi="Arial"/>
          <w:sz w:val="13"/>
          <w:szCs w:val="13"/>
          <w:b w:val="1"/>
          <w:bCs w:val="1"/>
          <w:color w:val="auto"/>
        </w:rPr>
      </w:pPr>
    </w:p>
    <w:p>
      <w:pPr>
        <w:ind w:left="500" w:right="1820" w:hanging="216"/>
        <w:spacing w:after="0" w:line="230" w:lineRule="auto"/>
        <w:tabs>
          <w:tab w:leader="none" w:pos="493"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increase the number of authorized shares of common stock, $.01 par value per share, from 45,000,000 to 90,000,000.</w:t>
      </w:r>
    </w:p>
    <w:p>
      <w:pPr>
        <w:spacing w:after="0" w:line="105" w:lineRule="exact"/>
        <w:rPr>
          <w:rFonts w:ascii="Arial" w:cs="Arial" w:eastAsia="Arial" w:hAnsi="Arial"/>
          <w:sz w:val="13"/>
          <w:szCs w:val="13"/>
          <w:b w:val="1"/>
          <w:bCs w:val="1"/>
          <w:color w:val="auto"/>
        </w:rPr>
      </w:pPr>
    </w:p>
    <w:p>
      <w:pPr>
        <w:ind w:left="480" w:hanging="196"/>
        <w:spacing w:after="0"/>
        <w:tabs>
          <w:tab w:leader="none" w:pos="480"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Approval of the 2019 Omnibus Incentive Plan.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5</w:t>
      </w:r>
      <w:r>
        <w:rPr>
          <w:rFonts w:ascii="Arial" w:cs="Arial" w:eastAsia="Arial" w:hAnsi="Arial"/>
          <w:sz w:val="13"/>
          <w:szCs w:val="13"/>
          <w:color w:val="auto"/>
        </w:rPr>
        <w:t>.  Advisory (non-binding) vote to approve the compensation of the named executive officers of NN, Inc.</w:t>
      </w:r>
    </w:p>
    <w:p>
      <w:pPr>
        <w:spacing w:after="0" w:line="161" w:lineRule="exact"/>
        <w:rPr>
          <w:sz w:val="20"/>
          <w:szCs w:val="20"/>
          <w:color w:val="auto"/>
        </w:rPr>
      </w:pPr>
    </w:p>
    <w:p>
      <w:pPr>
        <w:ind w:left="500" w:right="1760" w:hanging="209"/>
        <w:spacing w:after="0" w:line="246" w:lineRule="auto"/>
        <w:rPr>
          <w:sz w:val="20"/>
          <w:szCs w:val="20"/>
          <w:color w:val="auto"/>
        </w:rPr>
      </w:pPr>
      <w:r>
        <w:rPr>
          <w:rFonts w:ascii="Arial" w:cs="Arial" w:eastAsia="Arial" w:hAnsi="Arial"/>
          <w:sz w:val="13"/>
          <w:szCs w:val="13"/>
          <w:b w:val="1"/>
          <w:bCs w:val="1"/>
          <w:color w:val="auto"/>
        </w:rPr>
        <w:t>6</w:t>
      </w:r>
      <w:r>
        <w:rPr>
          <w:rFonts w:ascii="Arial" w:cs="Arial" w:eastAsia="Arial" w:hAnsi="Arial"/>
          <w:sz w:val="13"/>
          <w:szCs w:val="13"/>
          <w:color w:val="auto"/>
        </w:rPr>
        <w:t>. Advisory vote to ratify the selection of PRICEWATERHOUSECOOPERS LLP as registered independent public</w:t>
      </w:r>
      <w:r>
        <w:rPr>
          <w:rFonts w:ascii="Arial" w:cs="Arial" w:eastAsia="Arial" w:hAnsi="Arial"/>
          <w:sz w:val="13"/>
          <w:szCs w:val="13"/>
          <w:b w:val="1"/>
          <w:bCs w:val="1"/>
          <w:color w:val="auto"/>
        </w:rPr>
        <w:t xml:space="preserve"> </w:t>
      </w:r>
      <w:r>
        <w:rPr>
          <w:rFonts w:ascii="Arial" w:cs="Arial" w:eastAsia="Arial" w:hAnsi="Arial"/>
          <w:sz w:val="13"/>
          <w:szCs w:val="13"/>
          <w:color w:val="auto"/>
        </w:rPr>
        <w:t>accounting firm.</w:t>
      </w:r>
    </w:p>
    <w:p>
      <w:pPr>
        <w:spacing w:after="0" w:line="166" w:lineRule="exact"/>
        <w:rPr>
          <w:sz w:val="20"/>
          <w:szCs w:val="20"/>
          <w:color w:val="auto"/>
        </w:rPr>
      </w:pPr>
    </w:p>
    <w:p>
      <w:pPr>
        <w:ind w:left="280" w:right="178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on such other business as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
        <w:spacing w:after="0" w:line="225" w:lineRule="auto"/>
        <w:rPr>
          <w:sz w:val="20"/>
          <w:szCs w:val="20"/>
          <w:color w:val="auto"/>
        </w:rPr>
      </w:pPr>
      <w:r>
        <w:rPr>
          <w:rFonts w:ascii="Arial" w:cs="Arial" w:eastAsia="Arial" w:hAnsi="Arial"/>
          <w:sz w:val="13"/>
          <w:szCs w:val="13"/>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 w:lineRule="exact"/>
        <w:rPr>
          <w:sz w:val="20"/>
          <w:szCs w:val="20"/>
          <w:color w:val="auto"/>
        </w:rPr>
      </w:pPr>
      <w:r>
        <w:rPr>
          <w:sz w:val="20"/>
          <w:szCs w:val="20"/>
          <w:color w:val="auto"/>
        </w:rPr>
        <w:br w:type="column"/>
      </w:r>
    </w:p>
    <w:p>
      <w:pPr>
        <w:spacing w:after="0"/>
        <w:tabs>
          <w:tab w:leader="none" w:pos="460" w:val="left"/>
          <w:tab w:leader="none" w:pos="11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90"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8"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81"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67"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81" w:lineRule="exact"/>
        <w:rPr>
          <w:sz w:val="20"/>
          <w:szCs w:val="20"/>
          <w:color w:val="auto"/>
        </w:rPr>
      </w:pPr>
    </w:p>
    <w:p>
      <w:pPr>
        <w:ind w:left="40"/>
        <w:spacing w:after="0" w:line="131" w:lineRule="exact"/>
        <w:tabs>
          <w:tab w:leader="none" w:pos="640" w:val="left"/>
          <w:tab w:leader="none" w:pos="12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1927" w:lineRule="exact"/>
        <w:rPr>
          <w:sz w:val="20"/>
          <w:szCs w:val="20"/>
          <w:color w:val="auto"/>
        </w:rPr>
      </w:pPr>
    </w:p>
    <w:p>
      <w:pPr>
        <w:sectPr>
          <w:pgSz w:w="11900" w:h="16838" w:orient="portrait"/>
          <w:cols w:equalWidth="0" w:num="2">
            <w:col w:w="8380" w:space="560"/>
            <w:col w:w="1860"/>
          </w:cols>
          <w:pgMar w:left="660" w:top="27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80" w:type="dxa"/>
        <w:tblCellMar>
          <w:top w:w="0" w:type="dxa"/>
          <w:left w:w="0" w:type="dxa"/>
          <w:bottom w:w="0" w:type="dxa"/>
          <w:right w:w="0" w:type="dxa"/>
        </w:tblCellMar>
      </w:tblPr>
      <w:tr>
        <w:trPr>
          <w:trHeight w:val="166"/>
        </w:trPr>
        <w:tc>
          <w:tcPr>
            <w:tcW w:w="260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1640" w:type="dxa"/>
            <w:vAlign w:val="bottom"/>
          </w:tcPr>
          <w:p>
            <w:pPr>
              <w:ind w:left="340"/>
              <w:spacing w:after="0"/>
              <w:rPr>
                <w:sz w:val="20"/>
                <w:szCs w:val="20"/>
                <w:color w:val="auto"/>
              </w:rPr>
            </w:pPr>
            <w:r>
              <w:rPr>
                <w:rFonts w:ascii="Arial" w:cs="Arial" w:eastAsia="Arial" w:hAnsi="Arial"/>
                <w:sz w:val="13"/>
                <w:szCs w:val="13"/>
                <w:color w:val="auto"/>
              </w:rPr>
              <w:t>Date</w:t>
            </w:r>
          </w:p>
        </w:tc>
        <w:tc>
          <w:tcPr>
            <w:tcW w:w="2980" w:type="dxa"/>
            <w:vAlign w:val="bottom"/>
          </w:tcPr>
          <w:p>
            <w:pPr>
              <w:ind w:left="1020"/>
              <w:spacing w:after="0"/>
              <w:rPr>
                <w:sz w:val="20"/>
                <w:szCs w:val="20"/>
                <w:color w:val="auto"/>
              </w:rPr>
            </w:pPr>
            <w:r>
              <w:rPr>
                <w:rFonts w:ascii="Arial" w:cs="Arial" w:eastAsia="Arial" w:hAnsi="Arial"/>
                <w:sz w:val="13"/>
                <w:szCs w:val="13"/>
                <w:color w:val="auto"/>
              </w:rPr>
              <w:t>Signature (Joint Owners)</w:t>
            </w:r>
          </w:p>
        </w:tc>
        <w:tc>
          <w:tcPr>
            <w:tcW w:w="860" w:type="dxa"/>
            <w:vAlign w:val="bottom"/>
          </w:tcPr>
          <w:p>
            <w:pPr>
              <w:ind w:left="580"/>
              <w:spacing w:after="0"/>
              <w:rPr>
                <w:sz w:val="20"/>
                <w:szCs w:val="20"/>
                <w:color w:val="auto"/>
              </w:rPr>
            </w:pPr>
            <w:r>
              <w:rPr>
                <w:rFonts w:ascii="Arial" w:cs="Arial" w:eastAsia="Arial" w:hAnsi="Arial"/>
                <w:sz w:val="13"/>
                <w:szCs w:val="13"/>
                <w:color w:val="auto"/>
                <w:w w:val="94"/>
              </w:rPr>
              <w:t>Date</w:t>
            </w:r>
          </w:p>
        </w:tc>
      </w:tr>
    </w:tbl>
    <w:p>
      <w:pPr>
        <w:sectPr>
          <w:pgSz w:w="11900" w:h="16838" w:orient="portrait"/>
          <w:cols w:equalWidth="0" w:num="1">
            <w:col w:w="10800"/>
          </w:cols>
          <w:pgMar w:left="660" w:top="276" w:right="439" w:bottom="144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The Notice &amp; Proxy Statement and Form 10-K are available at </w:t>
      </w:r>
      <w:r>
        <w:rPr>
          <w:rFonts w:ascii="Arial" w:cs="Arial" w:eastAsia="Arial" w:hAnsi="Arial"/>
          <w:sz w:val="16"/>
          <w:szCs w:val="16"/>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276225</wp:posOffset>
            </wp:positionV>
            <wp:extent cx="6869430" cy="2744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69430" cy="27444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6210 Ardrey Kell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Charlotte, NC 28277</w:t>
      </w:r>
    </w:p>
    <w:p>
      <w:pPr>
        <w:spacing w:after="0" w:line="23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b w:val="1"/>
          <w:bCs w:val="1"/>
          <w:color w:val="auto"/>
        </w:rPr>
        <w:t>SOLICITED BY THE BOARD OF DIRECTORS FOR THE ANNUAL MEETING OF STOCKHOLDERS TO BE HELD AT 10:00 AM EDT ON MAY 16, 2019, AT HILTON GARDEN INN CHARLOTTE WAVERLY, 7415 WAVERLY WALK AVENUE, CHARLOTTE, NORTH CAROLINA 28227.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91440</wp:posOffset>
            </wp:positionV>
            <wp:extent cx="137160" cy="1457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457960"/>
                    </a:xfrm>
                    <a:prstGeom prst="rect">
                      <a:avLst/>
                    </a:prstGeom>
                    <a:noFill/>
                  </pic:spPr>
                </pic:pic>
              </a:graphicData>
            </a:graphic>
          </wp:anchor>
        </w:drawing>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undersigned stockholder hereby appoints Richard D. Holder and Matthew S. Heiter,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MADE, THIS PROXY WILL BE VOTED “FOR” ALL NOMINEES IN ITEM 1, “FOR” IN ITEMS 2, 3, 4, 5, AND 6 AND “FOR” WITH RESPECT TO ANY OTHER BUSINESS AS MAY PROPERLY BE BROUGHT BEFORE THE ANNUAL MEETING AND ANY ADJOURNMENT THEREOF, IN ACCORDANCE WITH THE JUDGMENT OF THE PERSON OR PERSONS VOTING ON SUCH MATTER OR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9600"/>
      </w:cols>
      <w:pgMar w:left="1220" w:top="1440"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2)"/>
      <w:numFmt w:val="decimal"/>
      <w:start w:val="1"/>
    </w:lvl>
  </w:abstractNum>
  <w:abstractNum w:abstractNumId="4">
    <w:nsid w:val="51EAD36B"/>
    <w:multiLevelType w:val="hybridMultilevel"/>
    <w:lvl w:ilvl="0">
      <w:lvlJc w:val="left"/>
      <w:lvlText w:val="(%1)"/>
      <w:numFmt w:val="decimal"/>
      <w:start w:val="4"/>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upperLetter"/>
      <w:start w:val="35"/>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lvl w:ilvl="1">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lowerRoman"/>
      <w:start w:val="1"/>
    </w:lvl>
  </w:abstractNum>
  <w:abstractNum w:abstractNumId="28">
    <w:nsid w:val="79A1DEAA"/>
    <w:multiLevelType w:val="hybridMultilevel"/>
    <w:lvl w:ilvl="0">
      <w:lvlJc w:val="left"/>
      <w:lvlText w:val="(%1)"/>
      <w:numFmt w:val="lowerRoman"/>
      <w:start w:val="3"/>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upperLetter"/>
      <w:start w:val="35"/>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3"/>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1."/>
      <w:numFmt w:val="decimal"/>
      <w:start w:val="3"/>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2"/>
    </w:lvl>
  </w:abstractNum>
  <w:abstractNum w:abstractNumId="55">
    <w:nsid w:val="2F305DEF"/>
    <w:multiLevelType w:val="hybridMultilevel"/>
    <w:lvl w:ilvl="0">
      <w:lvlJc w:val="left"/>
      <w:lvlText w:val="(%1)"/>
      <w:numFmt w:val="lowerRoman"/>
      <w:start w:val="3"/>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8">
    <w:nsid w:val="4AD084E9"/>
    <w:multiLevelType w:val="hybridMultilevel"/>
    <w:lvl w:ilvl="0">
      <w:lvlJc w:val="left"/>
      <w:lvlText w:val="(%1)"/>
      <w:numFmt w:val="upperLetter"/>
      <w:start w:val="2"/>
    </w:lvl>
  </w:abstractNum>
  <w:abstractNum w:abstractNumId="59">
    <w:nsid w:val="1F48EAA1"/>
    <w:multiLevelType w:val="hybridMultilevel"/>
    <w:lvl w:ilvl="0">
      <w:lvlJc w:val="left"/>
      <w:lvlText w:val="(%1)"/>
      <w:numFmt w:val="lowerRoman"/>
      <w:start w:val="8"/>
    </w:lvl>
  </w:abstractNum>
  <w:abstractNum w:abstractNumId="60">
    <w:nsid w:val="1381823A"/>
    <w:multiLevelType w:val="hybridMultilevel"/>
    <w:lvl w:ilvl="0">
      <w:lvlJc w:val="left"/>
      <w:lvlText w:val="%1"/>
      <w:numFmt w:val="decimal"/>
      <w:start w:val="1"/>
    </w:lvl>
    <w:lvl w:ilvl="1">
      <w:lvlJc w:val="left"/>
      <w:lvlText w:val="(%2)"/>
      <w:numFmt w:val="lowerLetter"/>
      <w:start w:val="1"/>
    </w:lvl>
  </w:abstractNum>
  <w:abstractNum w:abstractNumId="61">
    <w:nsid w:val="5DB70AE5"/>
    <w:multiLevelType w:val="hybridMultilevel"/>
    <w:lvl w:ilvl="0">
      <w:lvlJc w:val="left"/>
      <w:lvlText w:val="(%1)"/>
      <w:numFmt w:val="decimal"/>
      <w:start w:val="1"/>
    </w:lvl>
    <w:lvl w:ilvl="1">
      <w:lvlJc w:val="left"/>
      <w:lvlText w:val="(%2)"/>
      <w:numFmt w:val="lowerLetter"/>
      <w:start w:val="2"/>
    </w:lvl>
  </w:abstractNum>
  <w:abstractNum w:abstractNumId="62">
    <w:nsid w:val="100F8FCA"/>
    <w:multiLevelType w:val="hybridMultilevel"/>
    <w:lvl w:ilvl="0">
      <w:lvlJc w:val="left"/>
      <w:lvlText w:val="%1"/>
      <w:numFmt w:val="lowerLetter"/>
      <w:start w:val="1"/>
    </w:lvl>
    <w:lvl w:ilvl="1">
      <w:lvlJc w:val="left"/>
      <w:lvlText w:val="(%2)"/>
      <w:numFmt w:val="lowerLetter"/>
      <w:start w:val="4"/>
    </w:lvl>
  </w:abstractNum>
  <w:abstractNum w:abstractNumId="63">
    <w:nsid w:val="6590700B"/>
    <w:multiLevelType w:val="hybridMultilevel"/>
    <w:lvl w:ilvl="0">
      <w:lvlJc w:val="left"/>
      <w:lvlText w:val="(%1)"/>
      <w:numFmt w:val="lowerLetter"/>
      <w:start w:val="35"/>
    </w:lvl>
    <w:lvl w:ilvl="1">
      <w:lvlJc w:val="left"/>
      <w:lvlText w:val="%2"/>
      <w:numFmt w:val="lowerLetter"/>
      <w:start w:val="1"/>
    </w:lvl>
  </w:abstractNum>
  <w:abstractNum w:abstractNumId="64">
    <w:nsid w:val="15014ACB"/>
    <w:multiLevelType w:val="hybridMultilevel"/>
    <w:lvl w:ilvl="0">
      <w:lvlJc w:val="left"/>
      <w:lvlText w:val="(%1)"/>
      <w:numFmt w:val="lowerRoman"/>
      <w:start w:val="2"/>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10"/>
    </w:lvl>
  </w:abstractNum>
  <w:abstractNum w:abstractNumId="71">
    <w:nsid w:val="1EBA5D23"/>
    <w:multiLevelType w:val="hybridMultilevel"/>
    <w:lvl w:ilvl="0">
      <w:lvlJc w:val="left"/>
      <w:lvlText w:val="(%1)"/>
      <w:numFmt w:val="lowerRoman"/>
      <w:start w:val="2"/>
    </w:lvl>
  </w:abstractNum>
  <w:abstractNum w:abstractNumId="72">
    <w:nsid w:val="661E3F1E"/>
    <w:multiLevelType w:val="hybridMultilevel"/>
    <w:lvl w:ilvl="0">
      <w:lvlJc w:val="left"/>
      <w:lvlText w:val="(%1)"/>
      <w:numFmt w:val="decimal"/>
      <w:start w:val="2"/>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2019-12-03T18:59:46Z</dcterms:created>
  <dcterms:modified xsi:type="dcterms:W3CDTF">2019-12-03T18:59:46Z</dcterms:modified>
</cp:coreProperties>
</file>