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2220"/>
        <w:spacing w:after="0"/>
        <w:rPr>
          <w:sz w:val="20"/>
          <w:szCs w:val="20"/>
          <w:color w:val="auto"/>
        </w:rPr>
      </w:pPr>
      <w:r>
        <w:rPr>
          <w:rFonts w:ascii="Courier New" w:cs="Courier New" w:eastAsia="Courier New" w:hAnsi="Courier New"/>
          <w:sz w:val="16"/>
          <w:szCs w:val="16"/>
          <w:color w:val="auto"/>
        </w:rPr>
        <w:t>Pursuant to Section 13 or 15(d) of the</w:t>
      </w:r>
    </w:p>
    <w:p>
      <w:pPr>
        <w:spacing w:after="0" w:line="16"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Securities Exchange Act of 1934</w:t>
      </w:r>
    </w:p>
    <w:p>
      <w:pPr>
        <w:sectPr>
          <w:pgSz w:w="11900" w:h="16838"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 of Report (Date of earliest event reported)</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May 16, 2003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060" w:space="100"/>
            <w:col w:w="5059"/>
          </w:cols>
          <w:pgMar w:left="240" w:top="447" w:right="1440" w:bottom="0" w:gutter="0" w:footer="0" w:header="0"/>
          <w:type w:val="continuous"/>
        </w:sectPr>
      </w:pPr>
    </w:p>
    <w:p>
      <w:pPr>
        <w:spacing w:after="0" w:line="18"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NN,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1160" w:type="dxa"/>
        <w:tblCellMar>
          <w:top w:w="0" w:type="dxa"/>
          <w:left w:w="0" w:type="dxa"/>
          <w:bottom w:w="0" w:type="dxa"/>
          <w:right w:w="0" w:type="dxa"/>
        </w:tblCellMar>
      </w:tblPr>
      <w:tr>
        <w:trPr>
          <w:trHeight w:val="204"/>
        </w:trPr>
        <w:tc>
          <w:tcPr>
            <w:tcW w:w="1740" w:type="dxa"/>
            <w:vAlign w:val="bottom"/>
          </w:tcPr>
          <w:p>
            <w:pPr>
              <w:spacing w:after="0"/>
              <w:rPr>
                <w:sz w:val="20"/>
                <w:szCs w:val="20"/>
                <w:color w:val="auto"/>
              </w:rPr>
            </w:pPr>
            <w:r>
              <w:rPr>
                <w:rFonts w:ascii="Courier New" w:cs="Courier New" w:eastAsia="Courier New" w:hAnsi="Courier New"/>
                <w:sz w:val="18"/>
                <w:szCs w:val="18"/>
                <w:color w:val="auto"/>
              </w:rPr>
              <w:t>DELAWARE</w:t>
            </w:r>
          </w:p>
        </w:tc>
        <w:tc>
          <w:tcPr>
            <w:tcW w:w="258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0-23486</w:t>
            </w:r>
          </w:p>
        </w:tc>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rPr>
              <w:t>62-1096725</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4" w:lineRule="exact"/>
        <w:rPr>
          <w:sz w:val="24"/>
          <w:szCs w:val="24"/>
          <w:color w:val="auto"/>
        </w:rPr>
      </w:pPr>
    </w:p>
    <w:p>
      <w:pPr>
        <w:ind w:left="740" w:right="2319" w:hanging="631"/>
        <w:spacing w:after="0" w:line="235" w:lineRule="auto"/>
        <w:rPr>
          <w:sz w:val="20"/>
          <w:szCs w:val="20"/>
          <w:color w:val="auto"/>
        </w:rPr>
      </w:pPr>
      <w:r>
        <w:rPr>
          <w:rFonts w:ascii="Courier New" w:cs="Courier New" w:eastAsia="Courier New" w:hAnsi="Courier New"/>
          <w:sz w:val="18"/>
          <w:szCs w:val="18"/>
          <w:color w:val="auto"/>
        </w:rPr>
        <w:t>(State or other jurisdiction</w:t>
      </w:r>
      <w:r>
        <w:rPr>
          <w:sz w:val="20"/>
          <w:szCs w:val="20"/>
          <w:color w:val="auto"/>
        </w:rPr>
        <w:t xml:space="preserve"> </w:t>
      </w:r>
      <w:r>
        <w:rPr>
          <w:rFonts w:ascii="Courier New" w:cs="Courier New" w:eastAsia="Courier New" w:hAnsi="Courier New"/>
          <w:sz w:val="18"/>
          <w:szCs w:val="18"/>
          <w:color w:val="auto"/>
        </w:rPr>
        <w:t>(Commission (IRS Employer of incorporation) File Number) Identification No.)</w:t>
      </w:r>
    </w:p>
    <w:p>
      <w:pPr>
        <w:spacing w:after="0" w:line="203"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2000 Waters Edge Drive, Johnson City, Tennessee</w:t>
      </w:r>
      <w:r>
        <w:rPr>
          <w:sz w:val="20"/>
          <w:szCs w:val="20"/>
          <w:color w:val="auto"/>
        </w:rPr>
        <w:tab/>
      </w:r>
      <w:r>
        <w:rPr>
          <w:rFonts w:ascii="Courier New" w:cs="Courier New" w:eastAsia="Courier New" w:hAnsi="Courier New"/>
          <w:sz w:val="18"/>
          <w:szCs w:val="18"/>
          <w:color w:val="auto"/>
        </w:rPr>
        <w:t>37604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4"/>
          <w:szCs w:val="24"/>
          <w:color w:val="auto"/>
        </w:rPr>
      </w:pPr>
    </w:p>
    <w:p>
      <w:pPr>
        <w:spacing w:after="0"/>
        <w:tabs>
          <w:tab w:leader="none" w:pos="652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ectPr>
          <w:pgSz w:w="11900" w:h="16838" w:orient="portrait"/>
          <w:cols w:equalWidth="0" w:num="1">
            <w:col w:w="10219"/>
          </w:cols>
          <w:pgMar w:left="240" w:top="447"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(423) 743-9151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280" w:space="200"/>
            <w:col w:w="4739"/>
          </w:cols>
          <w:pgMar w:left="240" w:top="447" w:right="1440" w:bottom="0"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229235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right="2199" w:firstLine="948"/>
        <w:spacing w:after="0" w:line="237" w:lineRule="auto"/>
        <w:rPr>
          <w:sz w:val="20"/>
          <w:szCs w:val="20"/>
          <w:color w:val="auto"/>
        </w:rPr>
      </w:pPr>
      <w:r>
        <w:rPr>
          <w:rFonts w:ascii="Courier New" w:cs="Courier New" w:eastAsia="Courier New" w:hAnsi="Courier New"/>
          <w:sz w:val="18"/>
          <w:szCs w:val="18"/>
          <w:color w:val="auto"/>
        </w:rPr>
        <w:t>On May 16, 2003, the Company issued a press release announcing the completion of a public offering of the Company's common stock. A copy of the press release is attached as Exhibit 99.1 hereto and incorporated herein by reference</w:t>
      </w:r>
    </w:p>
    <w:p>
      <w:pPr>
        <w:spacing w:after="0" w:line="202"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ind w:left="1380" w:hanging="424"/>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 The following exhibits are filed herewith:</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99.1</w:t>
      </w:r>
      <w:r>
        <w:rPr>
          <w:rFonts w:ascii="Courier New" w:cs="Courier New" w:eastAsia="Courier New" w:hAnsi="Courier New"/>
          <w:sz w:val="16"/>
          <w:szCs w:val="16"/>
          <w:color w:val="auto"/>
        </w:rPr>
        <w:t>Press release issued May 16, 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742950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4"/>
          <w:szCs w:val="24"/>
          <w:color w:val="auto"/>
        </w:rPr>
      </w:pPr>
    </w:p>
    <w:p>
      <w:pPr>
        <w:spacing w:after="0" w:line="209" w:lineRule="exact"/>
        <w:rPr>
          <w:sz w:val="24"/>
          <w:szCs w:val="24"/>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4"/>
          <w:szCs w:val="24"/>
          <w:color w:val="auto"/>
        </w:rPr>
      </w:pPr>
    </w:p>
    <w:p>
      <w:pPr>
        <w:ind w:left="960"/>
        <w:spacing w:after="0"/>
        <w:tabs>
          <w:tab w:leader="none" w:pos="168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16, 2003</w:t>
      </w:r>
    </w:p>
    <w:p>
      <w:pPr>
        <w:sectPr>
          <w:pgSz w:w="11900" w:h="16838" w:orient="portrait"/>
          <w:cols w:equalWidth="0" w:num="1">
            <w:col w:w="10219"/>
          </w:cols>
          <w:pgMar w:left="240" w:top="447" w:right="1440" w:bottom="0" w:gutter="0" w:footer="0" w:header="0"/>
          <w:type w:val="continuous"/>
        </w:sectPr>
      </w:pPr>
    </w:p>
    <w:bookmarkStart w:id="1" w:name="page2"/>
    <w:bookmarkEnd w:id="1"/>
    <w:p>
      <w:pPr>
        <w:ind w:left="2600"/>
        <w:spacing w:after="0"/>
        <w:rPr>
          <w:sz w:val="20"/>
          <w:szCs w:val="20"/>
          <w:color w:val="auto"/>
        </w:rPr>
      </w:pPr>
      <w:r>
        <w:rPr>
          <w:rFonts w:ascii="Courier New" w:cs="Courier New" w:eastAsia="Courier New" w:hAnsi="Courier New"/>
          <w:sz w:val="18"/>
          <w:szCs w:val="18"/>
          <w:color w:val="auto"/>
        </w:rPr>
        <w:t>NN, INC.</w:t>
      </w:r>
    </w:p>
    <w:p>
      <w:pPr>
        <w:spacing w:after="0" w:line="200" w:lineRule="exact"/>
        <w:rPr>
          <w:sz w:val="20"/>
          <w:szCs w:val="20"/>
          <w:color w:val="auto"/>
        </w:rPr>
      </w:pPr>
    </w:p>
    <w:p>
      <w:pPr>
        <w:spacing w:after="0" w:line="204" w:lineRule="exact"/>
        <w:rPr>
          <w:sz w:val="20"/>
          <w:szCs w:val="20"/>
          <w:color w:val="auto"/>
        </w:rPr>
      </w:pPr>
    </w:p>
    <w:p>
      <w:pPr>
        <w:ind w:left="2600"/>
        <w:spacing w:after="0"/>
        <w:tabs>
          <w:tab w:leader="none" w:pos="32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Willam C. Kelly, Jr.</w:t>
      </w:r>
    </w:p>
    <w:p>
      <w:pPr>
        <w:spacing w:after="0" w:line="4"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40"/>
        <w:spacing w:after="0"/>
        <w:rPr>
          <w:sz w:val="20"/>
          <w:szCs w:val="20"/>
          <w:color w:val="auto"/>
        </w:rPr>
      </w:pPr>
      <w:r>
        <w:rPr>
          <w:rFonts w:ascii="Courier New" w:cs="Courier New" w:eastAsia="Courier New" w:hAnsi="Courier New"/>
          <w:sz w:val="18"/>
          <w:szCs w:val="18"/>
          <w:color w:val="auto"/>
        </w:rPr>
        <w:t>William C. Kelly, Jr.,</w:t>
      </w:r>
    </w:p>
    <w:p>
      <w:pPr>
        <w:ind w:left="3240"/>
        <w:spacing w:after="0" w:line="238" w:lineRule="auto"/>
        <w:rPr>
          <w:sz w:val="20"/>
          <w:szCs w:val="20"/>
          <w:color w:val="auto"/>
        </w:rPr>
      </w:pPr>
      <w:r>
        <w:rPr>
          <w:rFonts w:ascii="Courier New" w:cs="Courier New" w:eastAsia="Courier New" w:hAnsi="Courier New"/>
          <w:sz w:val="18"/>
          <w:szCs w:val="18"/>
          <w:color w:val="auto"/>
        </w:rPr>
        <w:t>Treasurer, Secretary and Chief</w:t>
      </w:r>
    </w:p>
    <w:p>
      <w:pPr>
        <w:ind w:left="3240"/>
        <w:spacing w:after="0"/>
        <w:rPr>
          <w:sz w:val="20"/>
          <w:szCs w:val="20"/>
          <w:color w:val="auto"/>
        </w:rPr>
      </w:pPr>
      <w:r>
        <w:rPr>
          <w:rFonts w:ascii="Courier New" w:cs="Courier New" w:eastAsia="Courier New" w:hAnsi="Courier New"/>
          <w:sz w:val="18"/>
          <w:szCs w:val="18"/>
          <w:color w:val="auto"/>
        </w:rPr>
        <w:t>Administrative Officer</w:t>
      </w:r>
    </w:p>
    <w:p>
      <w:pPr>
        <w:sectPr>
          <w:pgSz w:w="11900" w:h="16838" w:orient="portrait"/>
          <w:cols w:equalWidth="0" w:num="1">
            <w:col w:w="9019"/>
          </w:cols>
          <w:pgMar w:left="1440" w:top="541"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4874260</wp:posOffset>
            </wp:positionH>
            <wp:positionV relativeFrom="page">
              <wp:posOffset>457835</wp:posOffset>
            </wp:positionV>
            <wp:extent cx="2529840" cy="771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529840" cy="77152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1715135" cy="42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71513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60" w:type="dxa"/>
            <w:vAlign w:val="bottom"/>
          </w:tcPr>
          <w:p>
            <w:pPr>
              <w:spacing w:after="0"/>
              <w:rPr>
                <w:sz w:val="17"/>
                <w:szCs w:val="17"/>
                <w:color w:val="auto"/>
              </w:rPr>
            </w:pPr>
          </w:p>
        </w:tc>
        <w:tc>
          <w:tcPr>
            <w:tcW w:w="2260" w:type="dxa"/>
            <w:vAlign w:val="bottom"/>
          </w:tcPr>
          <w:p>
            <w:pPr>
              <w:ind w:left="520"/>
              <w:spacing w:after="0"/>
              <w:rPr>
                <w:sz w:val="20"/>
                <w:szCs w:val="20"/>
                <w:color w:val="auto"/>
              </w:rPr>
            </w:pPr>
            <w:r>
              <w:rPr>
                <w:rFonts w:ascii="Courier New" w:cs="Courier New" w:eastAsia="Courier New" w:hAnsi="Courier New"/>
                <w:sz w:val="18"/>
                <w:szCs w:val="18"/>
                <w:color w:val="auto"/>
              </w:rPr>
              <w:t>RE: NN, Inc.</w:t>
            </w:r>
          </w:p>
        </w:tc>
        <w:tc>
          <w:tcPr>
            <w:tcW w:w="1520" w:type="dxa"/>
            <w:vAlign w:val="bottom"/>
          </w:tcPr>
          <w:p>
            <w:pPr>
              <w:spacing w:after="0"/>
              <w:rPr>
                <w:sz w:val="17"/>
                <w:szCs w:val="17"/>
                <w:color w:val="auto"/>
              </w:rPr>
            </w:pPr>
          </w:p>
        </w:tc>
      </w:tr>
      <w:tr>
        <w:trPr>
          <w:trHeight w:val="203"/>
        </w:trPr>
        <w:tc>
          <w:tcPr>
            <w:tcW w:w="4860" w:type="dxa"/>
            <w:vAlign w:val="bottom"/>
          </w:tcPr>
          <w:p>
            <w:pPr>
              <w:spacing w:after="0"/>
              <w:rPr>
                <w:sz w:val="17"/>
                <w:szCs w:val="17"/>
                <w:color w:val="auto"/>
              </w:rPr>
            </w:pPr>
          </w:p>
        </w:tc>
        <w:tc>
          <w:tcPr>
            <w:tcW w:w="22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9"/>
              </w:rPr>
              <w:t>2000 Waters Edge</w:t>
            </w:r>
          </w:p>
        </w:tc>
        <w:tc>
          <w:tcPr>
            <w:tcW w:w="1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Drive</w:t>
            </w:r>
          </w:p>
        </w:tc>
      </w:tr>
      <w:tr>
        <w:trPr>
          <w:trHeight w:val="203"/>
        </w:trPr>
        <w:tc>
          <w:tcPr>
            <w:tcW w:w="4860" w:type="dxa"/>
            <w:vAlign w:val="bottom"/>
          </w:tcPr>
          <w:p>
            <w:pPr>
              <w:spacing w:after="0"/>
              <w:rPr>
                <w:sz w:val="17"/>
                <w:szCs w:val="17"/>
                <w:color w:val="auto"/>
              </w:rPr>
            </w:pPr>
          </w:p>
        </w:tc>
        <w:tc>
          <w:tcPr>
            <w:tcW w:w="22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9"/>
              </w:rPr>
              <w:t>Johnson City, TN</w:t>
            </w:r>
          </w:p>
        </w:tc>
        <w:tc>
          <w:tcPr>
            <w:tcW w:w="1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37604</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FOR FURTHER INFORMATION:</w:t>
            </w:r>
          </w:p>
        </w:tc>
        <w:tc>
          <w:tcPr>
            <w:tcW w:w="22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b w:val="1"/>
                <w:bCs w:val="1"/>
                <w:color w:val="auto"/>
              </w:rPr>
              <w:t>AT THE COMPANY</w:t>
            </w:r>
          </w:p>
        </w:tc>
        <w:tc>
          <w:tcPr>
            <w:tcW w:w="3780" w:type="dxa"/>
            <w:vAlign w:val="bottom"/>
            <w:gridSpan w:val="2"/>
          </w:tcPr>
          <w:p>
            <w:pPr>
              <w:ind w:left="520"/>
              <w:spacing w:after="0"/>
              <w:rPr>
                <w:sz w:val="20"/>
                <w:szCs w:val="20"/>
                <w:color w:val="auto"/>
              </w:rPr>
            </w:pPr>
            <w:r>
              <w:rPr>
                <w:rFonts w:ascii="Courier New" w:cs="Courier New" w:eastAsia="Courier New" w:hAnsi="Courier New"/>
                <w:sz w:val="18"/>
                <w:szCs w:val="18"/>
                <w:b w:val="1"/>
                <w:bCs w:val="1"/>
                <w:color w:val="auto"/>
              </w:rPr>
              <w:t>AT FRB|WEBER SHANDWICK</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b w:val="1"/>
                <w:bCs w:val="1"/>
                <w:color w:val="auto"/>
              </w:rPr>
              <w:t>- --------------</w:t>
            </w:r>
          </w:p>
        </w:tc>
        <w:tc>
          <w:tcPr>
            <w:tcW w:w="37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b w:val="1"/>
                <w:bCs w:val="1"/>
                <w:color w:val="auto"/>
              </w:rPr>
              <w:t>----------------------</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Will Kelly</w:t>
            </w:r>
          </w:p>
        </w:tc>
        <w:tc>
          <w:tcPr>
            <w:tcW w:w="22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Kerry Thalheim</w:t>
            </w:r>
          </w:p>
        </w:tc>
        <w:tc>
          <w:tcPr>
            <w:tcW w:w="1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Susan Garland</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Treasurer &amp; Manager of Investor Relations</w:t>
            </w:r>
          </w:p>
        </w:tc>
        <w:tc>
          <w:tcPr>
            <w:tcW w:w="22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(General info)</w:t>
            </w:r>
          </w:p>
        </w:tc>
        <w:tc>
          <w:tcPr>
            <w:tcW w:w="1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(Analyst info)</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(423) 743-9151</w:t>
            </w:r>
          </w:p>
        </w:tc>
        <w:tc>
          <w:tcPr>
            <w:tcW w:w="22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212-445-8437</w:t>
            </w:r>
          </w:p>
        </w:tc>
        <w:tc>
          <w:tcPr>
            <w:tcW w:w="1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212-445-8458</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FOR IMMEDIATE RELEASE</w:t>
      </w:r>
    </w:p>
    <w:p>
      <w:pPr>
        <w:spacing w:after="0" w:line="238" w:lineRule="auto"/>
        <w:rPr>
          <w:sz w:val="20"/>
          <w:szCs w:val="20"/>
          <w:color w:val="auto"/>
        </w:rPr>
      </w:pPr>
      <w:r>
        <w:rPr>
          <w:rFonts w:ascii="Courier New" w:cs="Courier New" w:eastAsia="Courier New" w:hAnsi="Courier New"/>
          <w:sz w:val="18"/>
          <w:szCs w:val="18"/>
          <w:color w:val="auto"/>
        </w:rPr>
        <w:t>MAY 16, 2003</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b w:val="1"/>
          <w:bCs w:val="1"/>
          <w:color w:val="auto"/>
        </w:rPr>
        <w:t>NN, INC. ANNOUNCES COMPLETION OF COMMON STOCK OFFERING</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b w:val="1"/>
          <w:bCs w:val="1"/>
          <w:color w:val="auto"/>
        </w:rPr>
        <w:t xml:space="preserve">Johnson City, Tenn. - May 16, 2003 </w:t>
      </w:r>
      <w:r>
        <w:rPr>
          <w:rFonts w:ascii="Courier New" w:cs="Courier New" w:eastAsia="Courier New" w:hAnsi="Courier New"/>
          <w:sz w:val="18"/>
          <w:szCs w:val="18"/>
          <w:color w:val="auto"/>
        </w:rPr>
        <w:t>- NN, Inc. (Nasdaq: NNBR) today announced the</w:t>
      </w:r>
      <w:r>
        <w:rPr>
          <w:rFonts w:ascii="Courier New" w:cs="Courier New" w:eastAsia="Courier New" w:hAnsi="Courier New"/>
          <w:sz w:val="18"/>
          <w:szCs w:val="18"/>
          <w:b w:val="1"/>
          <w:bCs w:val="1"/>
          <w:color w:val="auto"/>
        </w:rPr>
        <w:t xml:space="preserve"> </w:t>
      </w:r>
      <w:r>
        <w:rPr>
          <w:rFonts w:ascii="Courier New" w:cs="Courier New" w:eastAsia="Courier New" w:hAnsi="Courier New"/>
          <w:sz w:val="18"/>
          <w:szCs w:val="18"/>
          <w:color w:val="auto"/>
        </w:rPr>
        <w:t>completion of a public offering of 3,556,895 shares of the Company's common stock by a group of selling stockholders at a public offering price of $10.37. The group of selling stockholders consisted of Richard D. Ennen, Michael D. Huff, Janet M. Huff and Deborah E. Bagierek. The Company did not receive any proceeds from the sale of the shares previously held by the group of selling stockholders.</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managing underwriters for the offering were McDonald Investments Inc. and Legg Mason Wood Walker, Incorporated. The underwriters have an option to purchase up to an additional 533,600 shares of the Company's common stock from the Company solely to cover any over-allotments. If the underwriters' over-allotment option is exercised in full, the Company would receive total net proceeds from the offering of approximately $5.1 million.</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press release shall not constitute an offer to sell or the solicitation of an offer to buy, nor shall there be any sale of these securities in any state in which such an offer, solicitation or sale would be unlawful prior to registration or qualification under the securities laws of any such state.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 copy of the prospectus supplement relating to the offering has been filed with the Securities and Exchange Commission. Printed copies of the prospectus supplement and accompanying prospectus relating to the offering may be obtained from McDonald Investments Inc., 800 Superior Avenue, Suite 2100, Cleveland, Ohio 44114.</w:t>
      </w:r>
    </w:p>
    <w:p>
      <w:pPr>
        <w:spacing w:after="0" w:line="209"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NN, Inc. manufactures and supplies high precision bearing components consisting of balls, rollers, seals, and retainers for leading bearing manufacturers on a global basis. In addition, the Company manufactures a variety of other plastic components. NN, Inc. had sales of US $193 million in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341630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With the exception of the historical information contained in the release, the matters described herein contain forward-looking statements that are made pursuant to the safe harbor provisions of the Private Securities Litigation Reform Act of 1995. Forward-looking statements involve a number of risks and uncertainties that may cause actual results to be materially different from such forward-looking statements. Such factors include, among others, general economic conditions and economic conditions in the industrial sector, competitive influences, risks that current customers will commence or increase captive production, risks of capacity underutilization, quality issues, availability of raw materials, currency and other risks associated with international trade, the Company's dependence on certain major customers, and other risk factors and cautionary statements listed from time to time in the Company's periodic reports filed with the Securities and Exchange Commission, including, but not limited to, the Company's Annual Report on 10-K for the fiscal year ended December 31, 2002.</w:t>
      </w:r>
    </w:p>
    <w:sectPr>
      <w:pgSz w:w="11900" w:h="16838" w:orient="portrait"/>
      <w:cols w:equalWidth="0" w:num="1">
        <w:col w:w="10219"/>
      </w:cols>
      <w:pgMar w:left="240" w:top="1440" w:right="1440" w:bottom="55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2019-12-14T03:09:06Z</dcterms:created>
  <dcterms:modified xsi:type="dcterms:W3CDTF">2019-12-14T03:09:06Z</dcterms:modified>
</cp:coreProperties>
</file>