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October 18, 2005</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4"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320" w:right="1779" w:hanging="315"/>
        <w:spacing w:after="0" w:line="235" w:lineRule="auto"/>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(Commission (I.R.S. Employer Incorporation or Organization) File Number) Identification Number)</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2000 Waters Edge Drive, Johnson City, Tennessee 37604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ectPr>
          <w:pgSz w:w="11900" w:h="16838" w:orient="portrait"/>
          <w:cols w:equalWidth="0" w:num="1">
            <w:col w:w="10219"/>
          </w:cols>
          <w:pgMar w:left="240" w:top="244" w:right="1440" w:bottom="254"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420"/>
            <w:col w:w="4419"/>
          </w:cols>
          <w:pgMar w:left="240" w:top="244" w:right="1440" w:bottom="254"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17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 ]</w:t>
        <w:tab/>
        <w:t>Soliciting material pursuant to Rule 14a-12 under the Exchange Act (17 CFR 240.14a-12)</w:t>
      </w:r>
    </w:p>
    <w:p>
      <w:pPr>
        <w:spacing w:after="0" w:line="208" w:lineRule="exact"/>
        <w:rPr>
          <w:sz w:val="24"/>
          <w:szCs w:val="24"/>
          <w:color w:val="auto"/>
        </w:rPr>
      </w:pPr>
    </w:p>
    <w:p>
      <w:pPr>
        <w:ind w:left="540" w:right="17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2.02. Results of Operations and Financial Condition</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Furnished as Exhibit 99.1 is a copy of a Press Release issued by NN, Inc. on October 18, 2005.</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244" w:right="1440" w:bottom="254"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Press Release of NN, Inc. dated October 18, 2005</w:t>
      </w:r>
    </w:p>
    <w:p>
      <w:pPr>
        <w:sectPr>
          <w:pgSz w:w="11900" w:h="16838" w:orient="portrait"/>
          <w:cols w:equalWidth="0" w:num="2">
            <w:col w:w="1580" w:space="320"/>
            <w:col w:w="8319"/>
          </w:cols>
          <w:pgMar w:left="240" w:top="244" w:right="1440" w:bottom="254"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18, 2005</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By:</w:t>
        <w:tab/>
        <w:t>/s/ William C. Kelly, Jr.</w:t>
      </w:r>
    </w:p>
    <w:p>
      <w:pPr>
        <w:spacing w:after="0" w:line="21" w:lineRule="exact"/>
        <w:rPr>
          <w:sz w:val="20"/>
          <w:szCs w:val="20"/>
          <w:color w:val="auto"/>
        </w:rPr>
      </w:pPr>
    </w:p>
    <w:p>
      <w:pPr>
        <w:sectPr>
          <w:pgSz w:w="11900" w:h="16838" w:orient="portrait"/>
          <w:cols w:equalWidth="0" w:num="3">
            <w:col w:w="640" w:space="320"/>
            <w:col w:w="2220" w:space="720"/>
            <w:col w:w="6319"/>
          </w:cols>
          <w:pgMar w:left="240" w:top="919"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William C. Kelly, Jr.</w:t>
      </w:r>
    </w:p>
    <w:p>
      <w:pPr>
        <w:ind w:left="4020"/>
        <w:spacing w:after="0" w:line="238" w:lineRule="auto"/>
        <w:rPr>
          <w:sz w:val="20"/>
          <w:szCs w:val="20"/>
          <w:color w:val="auto"/>
        </w:rPr>
      </w:pPr>
      <w:r>
        <w:rPr>
          <w:rFonts w:ascii="Courier New" w:cs="Courier New" w:eastAsia="Courier New" w:hAnsi="Courier New"/>
          <w:sz w:val="18"/>
          <w:szCs w:val="18"/>
          <w:color w:val="auto"/>
        </w:rPr>
        <w:t>Secretary, Treasurer and</w:t>
      </w:r>
    </w:p>
    <w:p>
      <w:pPr>
        <w:ind w:left="4020"/>
        <w:spacing w:after="0"/>
        <w:rPr>
          <w:sz w:val="20"/>
          <w:szCs w:val="20"/>
          <w:color w:val="auto"/>
        </w:rPr>
      </w:pPr>
      <w:r>
        <w:rPr>
          <w:rFonts w:ascii="Courier New" w:cs="Courier New" w:eastAsia="Courier New" w:hAnsi="Courier New"/>
          <w:sz w:val="18"/>
          <w:szCs w:val="18"/>
          <w:color w:val="auto"/>
        </w:rPr>
        <w:t>Chief Administrative Officer</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NEWS</w:t>
      </w:r>
    </w:p>
    <w:p>
      <w:pPr>
        <w:spacing w:after="0" w:line="238" w:lineRule="auto"/>
        <w:rPr>
          <w:sz w:val="20"/>
          <w:szCs w:val="20"/>
          <w:color w:val="auto"/>
        </w:rPr>
      </w:pPr>
      <w:r>
        <w:rPr>
          <w:rFonts w:ascii="Courier New" w:cs="Courier New" w:eastAsia="Courier New" w:hAnsi="Courier New"/>
          <w:sz w:val="18"/>
          <w:szCs w:val="18"/>
          <w:color w:val="auto"/>
        </w:rPr>
        <w:t>FINANCIAL</w:t>
      </w:r>
    </w:p>
    <w:p>
      <w:pPr>
        <w:spacing w:after="0"/>
        <w:rPr>
          <w:sz w:val="20"/>
          <w:szCs w:val="20"/>
          <w:color w:val="auto"/>
        </w:rPr>
      </w:pPr>
      <w:r>
        <w:rPr>
          <w:rFonts w:ascii="Courier New" w:cs="Courier New" w:eastAsia="Courier New" w:hAnsi="Courier New"/>
          <w:sz w:val="18"/>
          <w:szCs w:val="18"/>
          <w:color w:val="auto"/>
        </w:rPr>
        <w:t>RELATIONS BOARD</w:t>
      </w:r>
    </w:p>
    <w:p>
      <w:pPr>
        <w:spacing w:after="0" w:line="200"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Re: NN, Inc.</w:t>
      </w:r>
    </w:p>
    <w:p>
      <w:pPr>
        <w:ind w:left="602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6020"/>
        <w:spacing w:after="0"/>
        <w:tabs>
          <w:tab w:leader="none" w:pos="7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42"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THE COMPANY: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Chief Administrative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FINANCIAL RELATIONS BOARD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Marilynn Meek</w:t>
      </w:r>
      <w:r>
        <w:rPr>
          <w:sz w:val="20"/>
          <w:szCs w:val="20"/>
          <w:color w:val="auto"/>
        </w:rPr>
        <w:tab/>
      </w:r>
      <w:r>
        <w:rPr>
          <w:rFonts w:ascii="Courier New" w:cs="Courier New" w:eastAsia="Courier New" w:hAnsi="Courier New"/>
          <w:sz w:val="16"/>
          <w:szCs w:val="16"/>
          <w:color w:val="auto"/>
        </w:rPr>
        <w:t>Susan Garland</w:t>
      </w:r>
    </w:p>
    <w:p>
      <w:pPr>
        <w:spacing w:after="0"/>
        <w:tabs>
          <w:tab w:leader="none" w:pos="178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tabs>
          <w:tab w:leader="none" w:pos="1780" w:val="left"/>
        </w:tabs>
        <w:rPr>
          <w:sz w:val="20"/>
          <w:szCs w:val="20"/>
          <w:color w:val="auto"/>
        </w:rPr>
      </w:pPr>
      <w:r>
        <w:rPr>
          <w:rFonts w:ascii="Courier New" w:cs="Courier New" w:eastAsia="Courier New" w:hAnsi="Courier New"/>
          <w:sz w:val="18"/>
          <w:szCs w:val="18"/>
          <w:color w:val="auto"/>
        </w:rPr>
        <w:t>212-827-3773</w:t>
      </w:r>
      <w:r>
        <w:rPr>
          <w:sz w:val="20"/>
          <w:szCs w:val="20"/>
          <w:color w:val="auto"/>
        </w:rPr>
        <w:tab/>
      </w:r>
      <w:r>
        <w:rPr>
          <w:rFonts w:ascii="Courier New" w:cs="Courier New" w:eastAsia="Courier New" w:hAnsi="Courier New"/>
          <w:sz w:val="16"/>
          <w:szCs w:val="16"/>
          <w:color w:val="auto"/>
        </w:rPr>
        <w:t>212-827-3775</w:t>
      </w:r>
    </w:p>
    <w:p>
      <w:pPr>
        <w:spacing w:after="0" w:line="200" w:lineRule="exact"/>
        <w:rPr>
          <w:sz w:val="20"/>
          <w:szCs w:val="20"/>
          <w:color w:val="auto"/>
        </w:rPr>
      </w:pPr>
    </w:p>
    <w:p>
      <w:pPr>
        <w:sectPr>
          <w:pgSz w:w="11900" w:h="16838" w:orient="portrait"/>
          <w:cols w:equalWidth="0" w:num="2">
            <w:col w:w="4640" w:space="520"/>
            <w:col w:w="50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October 18, 2005</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NN, INC.TO REPORT THIRD QUARTER 2005 RESULTS AND HOLD</w:t>
      </w:r>
    </w:p>
    <w:p>
      <w:pPr>
        <w:ind w:left="2320"/>
        <w:spacing w:after="0" w:line="238" w:lineRule="auto"/>
        <w:rPr>
          <w:sz w:val="20"/>
          <w:szCs w:val="20"/>
          <w:color w:val="auto"/>
        </w:rPr>
      </w:pPr>
      <w:r>
        <w:rPr>
          <w:rFonts w:ascii="Courier New" w:cs="Courier New" w:eastAsia="Courier New" w:hAnsi="Courier New"/>
          <w:sz w:val="18"/>
          <w:szCs w:val="18"/>
          <w:color w:val="auto"/>
        </w:rPr>
        <w:t>CONFERENCE CALL ON NOVEMBER 1, 2005</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ADJUSTS 2005 FULL YEAR EPS GUIDANCE</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Johnson City, Tenn., October 18, 2005 - NN, Inc. (NASDAQ: NNBR) today announced that it will release third quarter 2005 financial results for the period ended September 30, 2005 before the opening of the market on November 1, 2005.</w:t>
      </w:r>
    </w:p>
    <w:p>
      <w:pPr>
        <w:spacing w:after="0" w:line="178"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Management will hold a conference call at 11:00 a.m. ET that day to review the Company's results. The call can be accessed via the internet live or as a replay at www.fulldisclosure.com. For those who are unavailable to listen to the live broadcast, a replay will be available shortly after the call for 90 days.</w:t>
      </w:r>
    </w:p>
    <w:p>
      <w:pPr>
        <w:spacing w:after="0" w:line="18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also announced that it is revising its previously announced 2005 full year guidance of $0.90 to $0.94 per diluted share and now expects to report earnings of $0.77 to $0.81 per diluted share for 2005 full year. The reduction of approximately $0.13 per diluted share is attributable to three factors: lower second half sales volume and resulting inefficiencies in Europe ($0.06 per share), currency translation ($0.05 per share), and an adjustment to the U.S. tax provision and the recording of a reserve for Delphi accounts receivable ($0.02 per share).</w:t>
      </w: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As mentioned in the Company's second quarter release, overall global demand remained strong during the first half of 2005. However, demand from certain European customers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has weakened in the second half of the year. Additionally, production delays at the Company's new manufacturing facility in Slovakia have negatively impacted planned sales volumes and resulting profitability. These lower sales volumes have adversely affected capacity utilization rates in Slovakia and also the remaining NN Europe facilities, thus lowering anticipated margins.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Currency translation associated with the U.S. Dollar-Euro exchange rates, which was also mentioned in the second quarter earnings release, is now forecasted to negatively impact sales and net income by approximately $12.0 million and $0.05 per diluted share, respectively for the 2005 full year.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Finally, two additional factors have contributed to the revised guidance, but to a lesser degree. On Saturday, October 8, 2005, Delphi Corporation filed for Chapter 11 bankruptcy protection. Due to this filing, the Company has reserved certain amounts of its accounts receivable balance with Delphi. The recording of this reserve resulted in a charge to after-tax earnings of approximately $0.01 per diluted share. The Company believes that Delphi post-bankruptcy is an acceptable credit risk and plans to continue normal shipments of its product to them. Secondly, the Company recorded a charge in the third quarter of approximately $0.01 per diluted share related to an adjustment of its corporate tax rate.</w:t>
      </w:r>
    </w:p>
    <w:p>
      <w:pPr>
        <w:spacing w:after="0" w:line="215"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$304 million in 2004.</w:t>
      </w:r>
    </w:p>
    <w:p>
      <w:pPr>
        <w:spacing w:after="0" w:line="182"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Except for specific historical information, many of the matters discussed in this press release may express or imply projections of revenues or expenditures, statements of plans and objectives or future operations or statements of future</w:t>
      </w:r>
    </w:p>
    <w:p>
      <w:pPr>
        <w:sectPr>
          <w:pgSz w:w="11900" w:h="16838" w:orient="portrait"/>
          <w:cols w:equalWidth="0" w:num="1">
            <w:col w:w="10219"/>
          </w:cols>
          <w:pgMar w:left="240" w:top="142" w:right="1440" w:bottom="0" w:gutter="0" w:footer="0" w:header="0"/>
          <w:type w:val="continuous"/>
        </w:sectPr>
      </w:pPr>
    </w:p>
    <w:bookmarkStart w:id="3" w:name="page4"/>
    <w:bookmarkEnd w:id="3"/>
    <w:p>
      <w:pPr>
        <w:jc w:val="both"/>
        <w:ind w:right="1779"/>
        <w:spacing w:after="0" w:line="269" w:lineRule="auto"/>
        <w:rPr>
          <w:sz w:val="20"/>
          <w:szCs w:val="20"/>
          <w:color w:val="auto"/>
        </w:rPr>
      </w:pPr>
      <w:r>
        <w:rPr>
          <w:rFonts w:ascii="Courier New" w:cs="Courier New" w:eastAsia="Courier New" w:hAnsi="Courier New"/>
          <w:sz w:val="16"/>
          <w:szCs w:val="16"/>
          <w:color w:val="auto"/>
        </w:rPr>
        <w:t>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2019-12-11T23:31:10Z</dcterms:created>
  <dcterms:modified xsi:type="dcterms:W3CDTF">2019-12-11T23:31:10Z</dcterms:modified>
</cp:coreProperties>
</file>