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39"/>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jc w:val="center"/>
        <w:ind w:right="38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3839"/>
        <w:spacing w:after="0"/>
        <w:rPr>
          <w:sz w:val="20"/>
          <w:szCs w:val="20"/>
          <w:color w:val="auto"/>
        </w:rPr>
      </w:pPr>
      <w:r>
        <w:rPr>
          <w:rFonts w:ascii="Courier New" w:cs="Courier New" w:eastAsia="Courier New" w:hAnsi="Courier New"/>
          <w:sz w:val="16"/>
          <w:szCs w:val="16"/>
          <w:color w:val="auto"/>
        </w:rPr>
        <w:t>WASHINGTON, D.C. 20549</w:t>
      </w:r>
    </w:p>
    <w:p>
      <w:pPr>
        <w:spacing w:after="0" w:line="373" w:lineRule="exact"/>
        <w:rPr>
          <w:sz w:val="24"/>
          <w:szCs w:val="24"/>
          <w:color w:val="auto"/>
        </w:rPr>
      </w:pPr>
    </w:p>
    <w:p>
      <w:pPr>
        <w:ind w:left="3461"/>
        <w:spacing w:after="0"/>
        <w:rPr>
          <w:sz w:val="20"/>
          <w:szCs w:val="20"/>
          <w:color w:val="auto"/>
        </w:rPr>
      </w:pPr>
      <w:r>
        <w:rPr>
          <w:rFonts w:ascii="Courier New" w:cs="Courier New" w:eastAsia="Courier New" w:hAnsi="Courier New"/>
          <w:sz w:val="16"/>
          <w:szCs w:val="16"/>
          <w:color w:val="auto"/>
        </w:rPr>
        <w:t>FORM 8-K</w:t>
      </w:r>
    </w:p>
    <w:p>
      <w:pPr>
        <w:spacing w:after="0" w:line="373" w:lineRule="exact"/>
        <w:rPr>
          <w:sz w:val="24"/>
          <w:szCs w:val="24"/>
          <w:color w:val="auto"/>
        </w:rPr>
      </w:pPr>
    </w:p>
    <w:p>
      <w:pPr>
        <w:ind w:left="3161"/>
        <w:spacing w:after="0"/>
        <w:rPr>
          <w:sz w:val="20"/>
          <w:szCs w:val="20"/>
          <w:color w:val="auto"/>
        </w:rPr>
      </w:pPr>
      <w:r>
        <w:rPr>
          <w:rFonts w:ascii="Courier New" w:cs="Courier New" w:eastAsia="Courier New" w:hAnsi="Courier New"/>
          <w:sz w:val="16"/>
          <w:szCs w:val="16"/>
          <w:color w:val="auto"/>
        </w:rPr>
        <w:t>CURRENT REPORT</w:t>
      </w:r>
    </w:p>
    <w:p>
      <w:pPr>
        <w:spacing w:after="0" w:line="375" w:lineRule="exact"/>
        <w:rPr>
          <w:sz w:val="24"/>
          <w:szCs w:val="24"/>
          <w:color w:val="auto"/>
        </w:rPr>
      </w:pPr>
    </w:p>
    <w:p>
      <w:pPr>
        <w:ind w:left="2021"/>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13" w:lineRule="exact"/>
        <w:rPr>
          <w:sz w:val="24"/>
          <w:szCs w:val="24"/>
          <w:color w:val="auto"/>
        </w:rPr>
      </w:pPr>
    </w:p>
    <w:p>
      <w:pPr>
        <w:ind w:left="2401"/>
        <w:spacing w:after="0"/>
        <w:rPr>
          <w:sz w:val="20"/>
          <w:szCs w:val="20"/>
          <w:color w:val="auto"/>
        </w:rPr>
      </w:pPr>
      <w:r>
        <w:rPr>
          <w:rFonts w:ascii="Courier New" w:cs="Courier New" w:eastAsia="Courier New" w:hAnsi="Courier New"/>
          <w:sz w:val="16"/>
          <w:szCs w:val="16"/>
          <w:color w:val="auto"/>
        </w:rPr>
        <w:t>Securities Exchange Act of 1934</w:t>
      </w:r>
    </w:p>
    <w:p>
      <w:pPr>
        <w:sectPr>
          <w:pgSz w:w="11900" w:h="16838" w:orient="portrait"/>
          <w:cols w:equalWidth="0" w:num="1">
            <w:col w:w="11521"/>
          </w:cols>
          <w:pgMar w:left="239" w:top="238" w:right="139" w:bottom="937" w:gutter="0" w:footer="0" w:header="0"/>
        </w:sectPr>
      </w:pPr>
    </w:p>
    <w:p>
      <w:pPr>
        <w:spacing w:after="0" w:line="373"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jc w:val="center"/>
        <w:ind w:right="380"/>
        <w:spacing w:after="0"/>
        <w:rPr>
          <w:sz w:val="20"/>
          <w:szCs w:val="20"/>
          <w:color w:val="auto"/>
        </w:rPr>
      </w:pPr>
      <w:r>
        <w:rPr>
          <w:rFonts w:ascii="Courier New" w:cs="Courier New" w:eastAsia="Courier New" w:hAnsi="Courier New"/>
          <w:sz w:val="16"/>
          <w:szCs w:val="16"/>
          <w:color w:val="auto"/>
        </w:rPr>
        <w:t>November 14, 2001</w:t>
      </w:r>
    </w:p>
    <w:p>
      <w:pPr>
        <w:spacing w:after="0" w:line="4" w:lineRule="exact"/>
        <w:rPr>
          <w:sz w:val="24"/>
          <w:szCs w:val="24"/>
          <w:color w:val="auto"/>
        </w:rPr>
      </w:pPr>
    </w:p>
    <w:p>
      <w:pPr>
        <w:jc w:val="center"/>
        <w:ind w:right="1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sectPr>
          <w:pgSz w:w="11900" w:h="16838" w:orient="portrait"/>
          <w:cols w:equalWidth="0" w:num="2">
            <w:col w:w="5141" w:space="720"/>
            <w:col w:w="5660"/>
          </w:cols>
          <w:pgMar w:left="239" w:top="238" w:right="139" w:bottom="937" w:gutter="0" w:footer="0" w:header="0"/>
          <w:type w:val="continuous"/>
        </w:sectPr>
      </w:pPr>
    </w:p>
    <w:p>
      <w:pPr>
        <w:jc w:val="center"/>
        <w:ind w:right="379"/>
        <w:spacing w:after="0"/>
        <w:rPr>
          <w:sz w:val="20"/>
          <w:szCs w:val="20"/>
          <w:color w:val="auto"/>
        </w:rPr>
      </w:pPr>
      <w:r>
        <w:rPr>
          <w:rFonts w:ascii="Courier New" w:cs="Courier New" w:eastAsia="Courier New" w:hAnsi="Courier New"/>
          <w:sz w:val="16"/>
          <w:szCs w:val="16"/>
          <w:color w:val="auto"/>
        </w:rPr>
        <w:t>NN, INC.</w:t>
      </w:r>
    </w:p>
    <w:p>
      <w:pPr>
        <w:spacing w:after="0" w:line="5"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298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(Exact name of registrant as specified in its charter)</w:t>
      </w:r>
    </w:p>
    <w:p>
      <w:pPr>
        <w:spacing w:after="0" w:line="373" w:lineRule="exact"/>
        <w:rPr>
          <w:sz w:val="24"/>
          <w:szCs w:val="24"/>
          <w:color w:val="auto"/>
        </w:rPr>
      </w:pPr>
    </w:p>
    <w:tbl>
      <w:tblPr>
        <w:tblLayout w:type="fixed"/>
        <w:tblInd w:w="1921" w:type="dxa"/>
        <w:tblCellMar>
          <w:top w:w="0" w:type="dxa"/>
          <w:left w:w="0" w:type="dxa"/>
          <w:bottom w:w="0" w:type="dxa"/>
          <w:right w:w="0" w:type="dxa"/>
        </w:tblCellMar>
      </w:tblPr>
      <w:tr>
        <w:trPr>
          <w:trHeight w:val="181"/>
        </w:trPr>
        <w:tc>
          <w:tcPr>
            <w:tcW w:w="236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3460" w:type="dxa"/>
            <w:vAlign w:val="bottom"/>
          </w:tcPr>
          <w:p>
            <w:pPr>
              <w:jc w:val="right"/>
              <w:ind w:right="1120"/>
              <w:spacing w:after="0"/>
              <w:rPr>
                <w:sz w:val="20"/>
                <w:szCs w:val="20"/>
                <w:color w:val="auto"/>
              </w:rPr>
            </w:pPr>
            <w:r>
              <w:rPr>
                <w:rFonts w:ascii="Courier New" w:cs="Courier New" w:eastAsia="Courier New" w:hAnsi="Courier New"/>
                <w:sz w:val="16"/>
                <w:szCs w:val="16"/>
                <w:color w:val="auto"/>
              </w:rPr>
              <w:t>0-23485</w:t>
            </w:r>
          </w:p>
        </w:tc>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rPr>
              <w:t>62-1096725</w:t>
            </w:r>
          </w:p>
        </w:tc>
      </w:tr>
    </w:tbl>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5"/>
          <w:szCs w:val="15"/>
          <w:color w:val="auto"/>
        </w:rPr>
        <w:t>- -------------------------------------------------- ---------------------------- --------------------------------------</w:t>
      </w:r>
    </w:p>
    <w:p>
      <w:pPr>
        <w:spacing w:after="0" w:line="355" w:lineRule="exact"/>
        <w:rPr>
          <w:sz w:val="24"/>
          <w:szCs w:val="24"/>
          <w:color w:val="auto"/>
        </w:rPr>
      </w:pPr>
    </w:p>
    <w:p>
      <w:pPr>
        <w:ind w:left="1541" w:right="1140" w:hanging="575"/>
        <w:spacing w:after="0" w:line="241" w:lineRule="auto"/>
        <w:rPr>
          <w:sz w:val="20"/>
          <w:szCs w:val="20"/>
          <w:color w:val="auto"/>
        </w:rPr>
      </w:pPr>
      <w:r>
        <w:rPr>
          <w:rFonts w:ascii="Courier New" w:cs="Courier New" w:eastAsia="Courier New" w:hAnsi="Courier New"/>
          <w:sz w:val="16"/>
          <w:szCs w:val="16"/>
          <w:color w:val="auto"/>
        </w:rPr>
        <w:t>(State or other jurisdiction</w:t>
      </w:r>
      <w:r>
        <w:rPr>
          <w:sz w:val="20"/>
          <w:szCs w:val="20"/>
          <w:color w:val="auto"/>
        </w:rPr>
        <w:t xml:space="preserve"> </w:t>
      </w:r>
      <w:r>
        <w:rPr>
          <w:rFonts w:ascii="Courier New" w:cs="Courier New" w:eastAsia="Courier New" w:hAnsi="Courier New"/>
          <w:sz w:val="16"/>
          <w:szCs w:val="16"/>
          <w:color w:val="auto"/>
        </w:rPr>
        <w:t>(Commission (IRS Employer of incorporation) File Number) Identification No.)</w:t>
      </w:r>
    </w:p>
    <w:p>
      <w:pPr>
        <w:spacing w:after="0" w:line="200" w:lineRule="exact"/>
        <w:rPr>
          <w:sz w:val="24"/>
          <w:szCs w:val="24"/>
          <w:color w:val="auto"/>
        </w:rPr>
      </w:pPr>
    </w:p>
    <w:p>
      <w:pPr>
        <w:spacing w:after="0" w:line="355" w:lineRule="exact"/>
        <w:rPr>
          <w:sz w:val="24"/>
          <w:szCs w:val="24"/>
          <w:color w:val="auto"/>
        </w:rPr>
      </w:pPr>
    </w:p>
    <w:p>
      <w:pPr>
        <w:ind w:left="1"/>
        <w:spacing w:after="0"/>
        <w:tabs>
          <w:tab w:leader="none" w:pos="9021" w:val="left"/>
        </w:tabs>
        <w:rPr>
          <w:sz w:val="20"/>
          <w:szCs w:val="20"/>
          <w:color w:val="auto"/>
        </w:rPr>
      </w:pPr>
      <w:r>
        <w:rPr>
          <w:rFonts w:ascii="Courier New" w:cs="Courier New" w:eastAsia="Courier New" w:hAnsi="Courier New"/>
          <w:sz w:val="16"/>
          <w:szCs w:val="16"/>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353" w:lineRule="exact"/>
        <w:rPr>
          <w:sz w:val="24"/>
          <w:szCs w:val="24"/>
          <w:color w:val="auto"/>
        </w:rPr>
      </w:pPr>
    </w:p>
    <w:p>
      <w:pPr>
        <w:ind w:left="1821"/>
        <w:spacing w:after="0"/>
        <w:tabs>
          <w:tab w:leader="none" w:pos="8921"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ectPr>
          <w:pgSz w:w="11900" w:h="16838" w:orient="portrait"/>
          <w:cols w:equalWidth="0" w:num="1">
            <w:col w:w="11521"/>
          </w:cols>
          <w:pgMar w:left="239" w:top="238" w:right="139" w:bottom="937" w:gutter="0" w:footer="0" w:header="0"/>
          <w:type w:val="continuous"/>
        </w:sectPr>
      </w:pPr>
    </w:p>
    <w:p>
      <w:pPr>
        <w:spacing w:after="0" w:line="200" w:lineRule="exact"/>
        <w:rPr>
          <w:sz w:val="24"/>
          <w:szCs w:val="24"/>
          <w:color w:val="auto"/>
        </w:rPr>
      </w:pPr>
    </w:p>
    <w:p>
      <w:pPr>
        <w:spacing w:after="0" w:line="360" w:lineRule="exact"/>
        <w:rPr>
          <w:sz w:val="24"/>
          <w:szCs w:val="24"/>
          <w:color w:val="auto"/>
        </w:rPr>
      </w:pPr>
    </w:p>
    <w:p>
      <w:pPr>
        <w:ind w:left="1"/>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8" w:lineRule="exact"/>
        <w:rPr>
          <w:sz w:val="24"/>
          <w:szCs w:val="24"/>
          <w:color w:val="auto"/>
        </w:rPr>
      </w:pPr>
    </w:p>
    <w:p>
      <w:pPr>
        <w:ind w:left="1720"/>
        <w:spacing w:after="0"/>
        <w:rPr>
          <w:sz w:val="20"/>
          <w:szCs w:val="20"/>
          <w:color w:val="auto"/>
        </w:rPr>
      </w:pPr>
      <w:r>
        <w:rPr>
          <w:rFonts w:ascii="Courier New" w:cs="Courier New" w:eastAsia="Courier New" w:hAnsi="Courier New"/>
          <w:sz w:val="16"/>
          <w:szCs w:val="16"/>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621" w:space="720"/>
            <w:col w:w="5180"/>
          </w:cols>
          <w:pgMar w:left="239" w:top="238" w:right="139" w:bottom="937" w:gutter="0" w:footer="0" w:header="0"/>
          <w:type w:val="continuous"/>
        </w:sectPr>
      </w:pPr>
    </w:p>
    <w:p>
      <w:pPr>
        <w:spacing w:after="0" w:line="358" w:lineRule="exact"/>
        <w:rPr>
          <w:sz w:val="24"/>
          <w:szCs w:val="24"/>
          <w:color w:val="auto"/>
        </w:rPr>
      </w:pPr>
    </w:p>
    <w:p>
      <w:pPr>
        <w:jc w:val="center"/>
        <w:ind w:right="379"/>
        <w:spacing w:after="0"/>
        <w:rPr>
          <w:sz w:val="20"/>
          <w:szCs w:val="20"/>
          <w:color w:val="auto"/>
        </w:rPr>
      </w:pPr>
      <w:r>
        <w:rPr>
          <w:rFonts w:ascii="Courier New" w:cs="Courier New" w:eastAsia="Courier New" w:hAnsi="Courier New"/>
          <w:sz w:val="16"/>
          <w:szCs w:val="16"/>
          <w:color w:val="auto"/>
        </w:rPr>
        <w:t>Not applicable</w:t>
      </w:r>
    </w:p>
    <w:p>
      <w:pPr>
        <w:spacing w:after="0" w:line="5" w:lineRule="exact"/>
        <w:rPr>
          <w:sz w:val="24"/>
          <w:szCs w:val="24"/>
          <w:color w:val="auto"/>
        </w:rPr>
      </w:pPr>
    </w:p>
    <w:p>
      <w:pPr>
        <w:ind w:left="201" w:hanging="201"/>
        <w:spacing w:after="0"/>
        <w:tabs>
          <w:tab w:leader="none" w:pos="20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268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325755</wp:posOffset>
            </wp:positionV>
            <wp:extent cx="7284085"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1"/>
        <w:spacing w:after="0"/>
        <w:tabs>
          <w:tab w:leader="none" w:pos="841" w:val="left"/>
        </w:tabs>
        <w:rPr>
          <w:sz w:val="20"/>
          <w:szCs w:val="20"/>
          <w:color w:val="auto"/>
        </w:rPr>
      </w:pPr>
      <w:r>
        <w:rPr>
          <w:rFonts w:ascii="Courier New" w:cs="Courier New" w:eastAsia="Courier New" w:hAnsi="Courier New"/>
          <w:sz w:val="16"/>
          <w:szCs w:val="16"/>
          <w:color w:val="auto"/>
        </w:rPr>
        <w:t>Item 5.</w:t>
        <w:tab/>
        <w:t>Other Events.</w:t>
      </w:r>
    </w:p>
    <w:p>
      <w:pPr>
        <w:spacing w:after="0" w:line="190" w:lineRule="exact"/>
        <w:rPr>
          <w:sz w:val="24"/>
          <w:szCs w:val="24"/>
          <w:color w:val="auto"/>
        </w:rPr>
      </w:pPr>
    </w:p>
    <w:p>
      <w:pPr>
        <w:ind w:left="1" w:right="3840" w:firstLine="480"/>
        <w:spacing w:after="0" w:line="244" w:lineRule="auto"/>
        <w:rPr>
          <w:sz w:val="20"/>
          <w:szCs w:val="20"/>
          <w:color w:val="auto"/>
        </w:rPr>
      </w:pPr>
      <w:r>
        <w:rPr>
          <w:rFonts w:ascii="Courier New" w:cs="Courier New" w:eastAsia="Courier New" w:hAnsi="Courier New"/>
          <w:sz w:val="16"/>
          <w:szCs w:val="16"/>
          <w:color w:val="auto"/>
        </w:rPr>
        <w:t>On November 14, 2001, the Company issued a press release announcing that, due to the voluntary bankruptcy of one of its customers, the Company will record a third quarter 2001 reserve for approximately $400,000 pre-tax as part of the filing of its September 30, 2001 Form 10-Q. A copy of the press release is attached as Exhibit 99.1 hereto and incorporated herein by reference.</w:t>
      </w:r>
    </w:p>
    <w:p>
      <w:pPr>
        <w:spacing w:after="0" w:line="185" w:lineRule="exact"/>
        <w:rPr>
          <w:sz w:val="24"/>
          <w:szCs w:val="24"/>
          <w:color w:val="auto"/>
        </w:rPr>
      </w:pPr>
    </w:p>
    <w:p>
      <w:pPr>
        <w:ind w:left="1"/>
        <w:spacing w:after="0"/>
        <w:tabs>
          <w:tab w:leader="none" w:pos="841" w:val="left"/>
        </w:tabs>
        <w:rPr>
          <w:sz w:val="20"/>
          <w:szCs w:val="20"/>
          <w:color w:val="auto"/>
        </w:rPr>
      </w:pPr>
      <w:r>
        <w:rPr>
          <w:rFonts w:ascii="Courier New" w:cs="Courier New" w:eastAsia="Courier New" w:hAnsi="Courier New"/>
          <w:sz w:val="16"/>
          <w:szCs w:val="16"/>
          <w:color w:val="auto"/>
        </w:rPr>
        <w:t>Item 7.</w:t>
        <w:tab/>
        <w:t>Financial Statements and Exhibits.</w:t>
      </w:r>
    </w:p>
    <w:p>
      <w:pPr>
        <w:spacing w:after="0" w:line="188" w:lineRule="exact"/>
        <w:rPr>
          <w:sz w:val="24"/>
          <w:szCs w:val="24"/>
          <w:color w:val="auto"/>
        </w:rPr>
      </w:pPr>
    </w:p>
    <w:p>
      <w:pPr>
        <w:ind w:left="1721" w:hanging="857"/>
        <w:spacing w:after="0"/>
        <w:tabs>
          <w:tab w:leader="none" w:pos="17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The following exhibits are filed herewith:</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99.1Press Release dated November 14, 2001.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443230</wp:posOffset>
            </wp:positionV>
            <wp:extent cx="7284085"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3461"/>
        <w:spacing w:after="0"/>
        <w:rPr>
          <w:sz w:val="20"/>
          <w:szCs w:val="20"/>
          <w:color w:val="auto"/>
        </w:rPr>
      </w:pPr>
      <w:r>
        <w:rPr>
          <w:rFonts w:ascii="Courier New" w:cs="Courier New" w:eastAsia="Courier New" w:hAnsi="Courier New"/>
          <w:sz w:val="16"/>
          <w:szCs w:val="16"/>
          <w:color w:val="auto"/>
        </w:rPr>
        <w:t>SIGNATURE</w:t>
      </w:r>
    </w:p>
    <w:p>
      <w:pPr>
        <w:spacing w:after="0" w:line="375" w:lineRule="exact"/>
        <w:rPr>
          <w:sz w:val="24"/>
          <w:szCs w:val="24"/>
          <w:color w:val="auto"/>
        </w:rPr>
      </w:pPr>
    </w:p>
    <w:p>
      <w:pPr>
        <w:ind w:left="1" w:right="4120" w:firstLine="480"/>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187"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Date: November 14, 2001</w:t>
      </w:r>
    </w:p>
    <w:p>
      <w:pPr>
        <w:spacing w:after="0" w:line="4" w:lineRule="exact"/>
        <w:rPr>
          <w:sz w:val="24"/>
          <w:szCs w:val="24"/>
          <w:color w:val="auto"/>
        </w:rPr>
      </w:pPr>
    </w:p>
    <w:p>
      <w:pPr>
        <w:ind w:left="4701"/>
        <w:spacing w:after="0"/>
        <w:rPr>
          <w:sz w:val="20"/>
          <w:szCs w:val="20"/>
          <w:color w:val="auto"/>
        </w:rPr>
      </w:pPr>
      <w:r>
        <w:rPr>
          <w:rFonts w:ascii="Courier New" w:cs="Courier New" w:eastAsia="Courier New" w:hAnsi="Courier New"/>
          <w:sz w:val="16"/>
          <w:szCs w:val="16"/>
          <w:color w:val="auto"/>
        </w:rPr>
        <w:t>NN, INC.</w:t>
      </w:r>
    </w:p>
    <w:p>
      <w:pPr>
        <w:spacing w:after="0" w:line="373" w:lineRule="exact"/>
        <w:rPr>
          <w:sz w:val="24"/>
          <w:szCs w:val="24"/>
          <w:color w:val="auto"/>
        </w:rPr>
      </w:pPr>
    </w:p>
    <w:p>
      <w:pPr>
        <w:ind w:left="4701"/>
        <w:spacing w:after="0"/>
        <w:tabs>
          <w:tab w:leader="none" w:pos="5461"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William C. Kelly, Jr.</w:t>
      </w:r>
    </w:p>
    <w:p>
      <w:pPr>
        <w:spacing w:after="0" w:line="4" w:lineRule="exact"/>
        <w:rPr>
          <w:sz w:val="24"/>
          <w:szCs w:val="24"/>
          <w:color w:val="auto"/>
        </w:rPr>
      </w:pPr>
    </w:p>
    <w:p>
      <w:pPr>
        <w:ind w:left="5281"/>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left="5281"/>
        <w:spacing w:after="0"/>
        <w:rPr>
          <w:sz w:val="20"/>
          <w:szCs w:val="20"/>
          <w:color w:val="auto"/>
        </w:rPr>
      </w:pPr>
      <w:r>
        <w:rPr>
          <w:rFonts w:ascii="Courier New" w:cs="Courier New" w:eastAsia="Courier New" w:hAnsi="Courier New"/>
          <w:sz w:val="16"/>
          <w:szCs w:val="16"/>
          <w:color w:val="auto"/>
        </w:rPr>
        <w:t>William C. Kelly, Jr.,</w:t>
      </w:r>
    </w:p>
    <w:p>
      <w:pPr>
        <w:spacing w:after="0" w:line="4" w:lineRule="exact"/>
        <w:rPr>
          <w:sz w:val="24"/>
          <w:szCs w:val="24"/>
          <w:color w:val="auto"/>
        </w:rPr>
      </w:pPr>
    </w:p>
    <w:p>
      <w:pPr>
        <w:ind w:left="5281"/>
        <w:spacing w:after="0"/>
        <w:rPr>
          <w:sz w:val="20"/>
          <w:szCs w:val="20"/>
          <w:color w:val="auto"/>
        </w:rPr>
      </w:pPr>
      <w:r>
        <w:rPr>
          <w:rFonts w:ascii="Courier New" w:cs="Courier New" w:eastAsia="Courier New" w:hAnsi="Courier New"/>
          <w:sz w:val="16"/>
          <w:szCs w:val="16"/>
          <w:color w:val="auto"/>
        </w:rPr>
        <w:t>Chief Accounting Officer</w:t>
      </w:r>
    </w:p>
    <w:p>
      <w:pPr>
        <w:sectPr>
          <w:pgSz w:w="11900" w:h="16838" w:orient="portrait"/>
          <w:cols w:equalWidth="0" w:num="1">
            <w:col w:w="11521"/>
          </w:cols>
          <w:pgMar w:left="239" w:top="238" w:right="139" w:bottom="937" w:gutter="0" w:footer="0" w:header="0"/>
          <w:type w:val="continuous"/>
        </w:sectPr>
      </w:pPr>
    </w:p>
    <w:bookmarkStart w:id="1" w:name="page2"/>
    <w:bookmarkEnd w:id="1"/>
    <w:p>
      <w:pPr>
        <w:ind w:left="6140"/>
        <w:spacing w:after="0"/>
        <w:rPr>
          <w:sz w:val="20"/>
          <w:szCs w:val="20"/>
          <w:color w:val="auto"/>
        </w:rPr>
      </w:pPr>
      <w:r>
        <w:rPr>
          <w:rFonts w:ascii="Courier New" w:cs="Courier New" w:eastAsia="Courier New" w:hAnsi="Courier New"/>
          <w:sz w:val="16"/>
          <w:szCs w:val="16"/>
          <w:color w:val="auto"/>
        </w:rPr>
        <w:t>Exhibit 99.1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[GRAPHIC OMITTED]</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RE: NN Inc.</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2000 Waters Edge Drive</w:t>
      </w:r>
    </w:p>
    <w:p>
      <w:pPr>
        <w:spacing w:after="0" w:line="4" w:lineRule="exact"/>
        <w:rPr>
          <w:sz w:val="20"/>
          <w:szCs w:val="20"/>
          <w:color w:val="auto"/>
        </w:rPr>
      </w:pPr>
    </w:p>
    <w:p>
      <w:pPr>
        <w:ind w:left="4040"/>
        <w:spacing w:after="0"/>
        <w:tabs>
          <w:tab w:leader="none" w:pos="5740" w:val="left"/>
        </w:tabs>
        <w:rPr>
          <w:sz w:val="20"/>
          <w:szCs w:val="20"/>
          <w:color w:val="auto"/>
        </w:rPr>
      </w:pPr>
      <w:r>
        <w:rPr>
          <w:rFonts w:ascii="Courier New" w:cs="Courier New" w:eastAsia="Courier New" w:hAnsi="Courier New"/>
          <w:sz w:val="16"/>
          <w:szCs w:val="16"/>
          <w:color w:val="auto"/>
        </w:rPr>
        <w:t>Johnson City, TN</w:t>
        <w:tab/>
        <w:t>37604</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FURTHER INFORMATION:</w:t>
      </w:r>
    </w:p>
    <w:p>
      <w:pPr>
        <w:sectPr>
          <w:pgSz w:w="11900" w:h="16838" w:orient="portrait"/>
          <w:cols w:equalWidth="0" w:num="1">
            <w:col w:w="10219"/>
          </w:cols>
          <w:pgMar w:left="240" w:top="325" w:right="1440" w:bottom="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THE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 Kelly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Treasurer &amp; Manager of Investor Relations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(423) 743-9151</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FRB|WEBER SHANDWICK</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6"/>
          <w:szCs w:val="16"/>
          <w:color w:val="auto"/>
        </w:rPr>
        <w:t>Kerry Thalheim</w:t>
      </w:r>
      <w:r>
        <w:rPr>
          <w:sz w:val="20"/>
          <w:szCs w:val="20"/>
          <w:color w:val="auto"/>
        </w:rPr>
        <w:tab/>
      </w:r>
      <w:r>
        <w:rPr>
          <w:rFonts w:ascii="Courier New" w:cs="Courier New" w:eastAsia="Courier New" w:hAnsi="Courier New"/>
          <w:sz w:val="16"/>
          <w:szCs w:val="16"/>
          <w:color w:val="auto"/>
        </w:rPr>
        <w:t>Susan Garland</w:t>
      </w:r>
    </w:p>
    <w:p>
      <w:pPr>
        <w:spacing w:after="0" w:line="4"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6"/>
          <w:szCs w:val="16"/>
          <w:color w:val="auto"/>
        </w:rPr>
        <w:t>(General info)</w:t>
      </w:r>
      <w:r>
        <w:rPr>
          <w:sz w:val="20"/>
          <w:szCs w:val="20"/>
          <w:color w:val="auto"/>
        </w:rPr>
        <w:tab/>
      </w:r>
      <w:r>
        <w:rPr>
          <w:rFonts w:ascii="Courier New" w:cs="Courier New" w:eastAsia="Courier New" w:hAnsi="Courier New"/>
          <w:sz w:val="16"/>
          <w:szCs w:val="16"/>
          <w:color w:val="auto"/>
        </w:rPr>
        <w:t>(Analyst info)</w:t>
      </w:r>
    </w:p>
    <w:p>
      <w:pPr>
        <w:spacing w:after="0" w:line="4"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6"/>
          <w:szCs w:val="16"/>
          <w:color w:val="auto"/>
        </w:rPr>
        <w:t>212-445-8437</w:t>
      </w:r>
      <w:r>
        <w:rPr>
          <w:sz w:val="20"/>
          <w:szCs w:val="20"/>
          <w:color w:val="auto"/>
        </w:rPr>
        <w:tab/>
      </w:r>
      <w:r>
        <w:rPr>
          <w:rFonts w:ascii="Courier New" w:cs="Courier New" w:eastAsia="Courier New" w:hAnsi="Courier New"/>
          <w:sz w:val="16"/>
          <w:szCs w:val="16"/>
          <w:color w:val="auto"/>
        </w:rPr>
        <w:t>212-445-8458</w:t>
      </w:r>
    </w:p>
    <w:p>
      <w:pPr>
        <w:spacing w:after="0" w:line="200" w:lineRule="exact"/>
        <w:rPr>
          <w:sz w:val="20"/>
          <w:szCs w:val="20"/>
          <w:color w:val="auto"/>
        </w:rPr>
      </w:pPr>
    </w:p>
    <w:p>
      <w:pPr>
        <w:sectPr>
          <w:pgSz w:w="11900" w:h="16838" w:orient="portrait"/>
          <w:cols w:equalWidth="0" w:num="2">
            <w:col w:w="4860" w:space="720"/>
            <w:col w:w="4639"/>
          </w:cols>
          <w:pgMar w:left="240" w:top="325" w:right="1440" w:bottom="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IMMEDIATE RELEASE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14, 2001</w:t>
      </w:r>
    </w:p>
    <w:p>
      <w:pPr>
        <w:spacing w:after="0" w:line="373"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NN ANNOUNCES THIRD QUARTER RESERVE</w:t>
      </w:r>
    </w:p>
    <w:p>
      <w:pPr>
        <w:sectPr>
          <w:pgSz w:w="11900" w:h="16838" w:orient="portrait"/>
          <w:cols w:equalWidth="0" w:num="1">
            <w:col w:w="10219"/>
          </w:cols>
          <w:pgMar w:left="240" w:top="325" w:right="1440" w:bottom="0" w:gutter="0" w:footer="0" w:header="0"/>
          <w:type w:val="continuous"/>
        </w:sectPr>
      </w:pPr>
    </w:p>
    <w:p>
      <w:pPr>
        <w:spacing w:after="0" w:line="3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b w:val="1"/>
          <w:bCs w:val="1"/>
          <w:color w:val="auto"/>
        </w:rPr>
        <w:t xml:space="preserve">Johnson City, Tenn - November 14, 2001 </w:t>
      </w:r>
      <w:r>
        <w:rPr>
          <w:rFonts w:ascii="Courier New" w:cs="Courier New" w:eastAsia="Courier New" w:hAnsi="Courier New"/>
          <w:sz w:val="16"/>
          <w:szCs w:val="16"/>
          <w:color w:val="auto"/>
        </w:rPr>
        <w:t>- NN, Inc. (NASDAQ: NNBR) today announced</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that subsequent to the release of its third quarter 2001 earnings on October 30, 2001, the Company learned that a customer of its plastic division filed for voluntary Chapter 7 bankruptcy protection. As a result, the Company will record a third quarter 2001 reserve for approximately $400,000 pre-tax as part of the filing of its September 30, 2001 Form 10-Q on November 14, 2001. As a result of this action, the Company's earnings reported in its October 30th announcement have been reduced for the three months and nine months ended September 30, 2001 from $0.06 per share to $0.05 per share and from $0.38 per share to $0.37 per share, respectively.</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For the nine-month period ended September 30, 2001, NN recorded sales of approximately $1.8 million and had a trade receivable account balance of approximately $1.0 million for this customer. Net payments received from this customer subsequent to September 30, 2001, have reduced the outstanding balance to approximately $800,000.</w:t>
      </w:r>
    </w:p>
    <w:p>
      <w:pPr>
        <w:spacing w:after="0" w:line="187"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David L. Dyckman, Chief Financial Officer, stated, "We were surprised to learn that this privately held company had filed for bankruptcy. Although we were aware economics had slowed the Company's performance, our assessment and the related payment history did not provide indications that would have led us to anticipate the bankruptcy filing.</w:t>
      </w:r>
    </w:p>
    <w:p>
      <w:pPr>
        <w:spacing w:after="0" w:line="187" w:lineRule="exact"/>
        <w:rPr>
          <w:sz w:val="20"/>
          <w:szCs w:val="20"/>
          <w:color w:val="auto"/>
        </w:rPr>
      </w:pPr>
    </w:p>
    <w:p>
      <w:pPr>
        <w:jc w:val="both"/>
        <w:ind w:right="2719"/>
        <w:spacing w:after="0" w:line="243" w:lineRule="auto"/>
        <w:rPr>
          <w:sz w:val="20"/>
          <w:szCs w:val="20"/>
          <w:color w:val="auto"/>
        </w:rPr>
      </w:pPr>
      <w:r>
        <w:rPr>
          <w:rFonts w:ascii="Courier New" w:cs="Courier New" w:eastAsia="Courier New" w:hAnsi="Courier New"/>
          <w:sz w:val="16"/>
          <w:szCs w:val="16"/>
          <w:color w:val="auto"/>
        </w:rPr>
        <w:t>"It is also important to note that the bankruptcy proceedings are in the very early stages and additional information is limited on this situation. However, we can say that NN will have representation on the creditors' committee in an effort to minimize our risk of loss. We feel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7284085"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the recording of a reserve for approximately $400,000 as part of the filing of our September 30, 2001 Form 10-Q is warranted under the circumstances given the information in our possession at this time.</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"Although this situation is a concern to us, we do not anticipate any adverse financial impact on our fourth quarter 2001 or full year 2002 financials beyond the potential write-off of the trade accounts receivable balance. Over the last couple of years, we have had a declining sales relationship with this customer as they have moved production offshore. As a consequence, we did not include any sales from this customer in our previously announced 2002 forecasts," added Mr. Dyckman.</w:t>
      </w:r>
    </w:p>
    <w:p>
      <w:pPr>
        <w:spacing w:after="0" w:line="188"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NN, Inc. is an independent manufacturer and supplier of high quality, precision-bearing components to both domestic and international anti-friction bearing manufacturers and had sales of US $132 million in 2000.</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i w:val="1"/>
          <w:iCs w:val="1"/>
          <w:color w:val="auto"/>
        </w:rPr>
        <w:t>With the exception of the historical information contained in the release, the matters described herein contain forward-looking statements that are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2000.</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i w:val="1"/>
          <w:iCs w:val="1"/>
          <w:color w:val="auto"/>
        </w:rPr>
        <w:t>###</w:t>
      </w:r>
    </w:p>
    <w:p>
      <w:pPr>
        <w:sectPr>
          <w:pgSz w:w="11900" w:h="16838" w:orient="portrait"/>
          <w:cols w:equalWidth="0" w:num="1">
            <w:col w:w="10219"/>
          </w:cols>
          <w:pgMar w:left="240" w:top="325"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2019-12-14T03:16:15Z</dcterms:created>
  <dcterms:modified xsi:type="dcterms:W3CDTF">2019-12-14T03:16:15Z</dcterms:modified>
</cp:coreProperties>
</file>