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NN,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629337106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629337106</w:t>
      </w:r>
    </w:p>
    <w:p>
      <w:pPr>
        <w:spacing w:after="0" w:line="144"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377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37718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I.R.S. Identification Nos. of above persons (entities only).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RBC Global Asset Management (U.S.) Inc.</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w w:val="90"/>
              </w:rPr>
              <w:t>(b)</w:t>
            </w:r>
          </w:p>
        </w:tc>
        <w:tc>
          <w:tcPr>
            <w:tcW w:w="98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Minnesota</w:t>
            </w: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98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200" w:type="dxa"/>
            <w:vAlign w:val="bottom"/>
            <w:tcBorders>
              <w:right w:val="single" w:sz="8" w:color="auto"/>
            </w:tcBorders>
            <w:gridSpan w:val="3"/>
            <w:vMerge w:val="continue"/>
          </w:tcPr>
          <w:p>
            <w:pPr>
              <w:spacing w:after="0"/>
              <w:rPr>
                <w:sz w:val="4"/>
                <w:szCs w:val="4"/>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4"/>
                <w:szCs w:val="4"/>
                <w:color w:val="auto"/>
              </w:rPr>
            </w:pPr>
          </w:p>
        </w:tc>
        <w:tc>
          <w:tcPr>
            <w:tcW w:w="98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800" w:type="dxa"/>
            <w:vAlign w:val="bottom"/>
            <w:tcBorders>
              <w:right w:val="single" w:sz="8" w:color="auto"/>
            </w:tcBorders>
            <w:gridSpan w:val="2"/>
            <w:vMerge w:val="restart"/>
          </w:tcPr>
          <w:p>
            <w:pPr>
              <w:jc w:val="center"/>
              <w:ind w:right="144"/>
              <w:spacing w:after="0"/>
              <w:rPr>
                <w:sz w:val="20"/>
                <w:szCs w:val="20"/>
                <w:color w:val="auto"/>
              </w:rPr>
            </w:pPr>
            <w:r>
              <w:rPr>
                <w:rFonts w:ascii="Arial" w:cs="Arial" w:eastAsia="Arial" w:hAnsi="Arial"/>
                <w:sz w:val="18"/>
                <w:szCs w:val="18"/>
                <w:color w:val="auto"/>
                <w:w w:val="84"/>
              </w:rPr>
              <w:t>Shares</w:t>
            </w:r>
          </w:p>
        </w:tc>
        <w:tc>
          <w:tcPr>
            <w:tcW w:w="32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800" w:type="dxa"/>
            <w:vAlign w:val="bottom"/>
            <w:tcBorders>
              <w:right w:val="single" w:sz="8" w:color="auto"/>
            </w:tcBorders>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Beneficially</w:t>
            </w: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vMerge w:val="restart"/>
          </w:tcPr>
          <w:p>
            <w:pPr>
              <w:ind w:left="20"/>
              <w:spacing w:after="0"/>
              <w:rPr>
                <w:sz w:val="20"/>
                <w:szCs w:val="20"/>
                <w:color w:val="auto"/>
              </w:rPr>
            </w:pPr>
            <w:r>
              <w:rPr>
                <w:rFonts w:ascii="Arial" w:cs="Arial" w:eastAsia="Arial" w:hAnsi="Arial"/>
                <w:sz w:val="22"/>
                <w:szCs w:val="22"/>
                <w:color w:val="auto"/>
              </w:rPr>
              <w:t>1,777,015</w:t>
            </w:r>
          </w:p>
        </w:tc>
        <w:tc>
          <w:tcPr>
            <w:tcW w:w="0" w:type="dxa"/>
            <w:vAlign w:val="bottom"/>
          </w:tcPr>
          <w:p>
            <w:pPr>
              <w:spacing w:after="0"/>
              <w:rPr>
                <w:sz w:val="1"/>
                <w:szCs w:val="1"/>
                <w:color w:val="auto"/>
              </w:rPr>
            </w:pPr>
          </w:p>
        </w:tc>
      </w:tr>
      <w:tr>
        <w:trPr>
          <w:trHeight w:val="230"/>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3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right w:val="single" w:sz="8" w:color="auto"/>
            </w:tcBorders>
          </w:tcPr>
          <w:p>
            <w:pPr>
              <w:jc w:val="center"/>
              <w:ind w:right="204"/>
              <w:spacing w:after="0" w:line="182" w:lineRule="exact"/>
              <w:rPr>
                <w:sz w:val="20"/>
                <w:szCs w:val="20"/>
                <w:color w:val="auto"/>
              </w:rPr>
            </w:pPr>
            <w:r>
              <w:rPr>
                <w:rFonts w:ascii="Arial" w:cs="Arial" w:eastAsia="Arial" w:hAnsi="Arial"/>
                <w:sz w:val="18"/>
                <w:szCs w:val="18"/>
                <w:color w:val="auto"/>
                <w:w w:val="87"/>
              </w:rPr>
              <w:t>Each</w:t>
            </w:r>
          </w:p>
        </w:tc>
        <w:tc>
          <w:tcPr>
            <w:tcW w:w="32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984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Reporting</w:t>
            </w: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80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7"/>
              </w:rPr>
              <w:t>Person</w:t>
            </w:r>
          </w:p>
        </w:tc>
        <w:tc>
          <w:tcPr>
            <w:tcW w:w="3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40" w:type="dxa"/>
            <w:vAlign w:val="bottom"/>
          </w:tcPr>
          <w:p>
            <w:pPr>
              <w:ind w:left="2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right w:val="single" w:sz="8" w:color="auto"/>
            </w:tcBorders>
            <w:vMerge w:val="restart"/>
          </w:tcPr>
          <w:p>
            <w:pPr>
              <w:jc w:val="center"/>
              <w:ind w:right="204"/>
              <w:spacing w:after="0"/>
              <w:rPr>
                <w:sz w:val="20"/>
                <w:szCs w:val="20"/>
                <w:color w:val="auto"/>
              </w:rPr>
            </w:pPr>
            <w:r>
              <w:rPr>
                <w:rFonts w:ascii="Arial" w:cs="Arial" w:eastAsia="Arial" w:hAnsi="Arial"/>
                <w:sz w:val="18"/>
                <w:szCs w:val="18"/>
                <w:color w:val="auto"/>
                <w:w w:val="97"/>
              </w:rPr>
              <w:t>With:</w:t>
            </w:r>
          </w:p>
        </w:tc>
        <w:tc>
          <w:tcPr>
            <w:tcW w:w="3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1"/>
                <w:szCs w:val="11"/>
                <w:color w:val="auto"/>
              </w:rPr>
            </w:pPr>
          </w:p>
        </w:tc>
        <w:tc>
          <w:tcPr>
            <w:tcW w:w="98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2,031,122</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Aggregate</w:t>
            </w:r>
          </w:p>
        </w:tc>
        <w:tc>
          <w:tcPr>
            <w:tcW w:w="992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93"/>
              </w:rPr>
              <w:t>2,031,122</w:t>
            </w: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4"/>
                <w:szCs w:val="24"/>
                <w:color w:val="auto"/>
              </w:rPr>
            </w:pPr>
          </w:p>
        </w:tc>
        <w:tc>
          <w:tcPr>
            <w:tcW w:w="1098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60" w:type="dxa"/>
            <w:vAlign w:val="bottom"/>
            <w:tcBorders>
              <w:bottom w:val="single" w:sz="8" w:color="auto"/>
              <w:right w:val="single" w:sz="8" w:color="auto"/>
            </w:tcBorders>
            <w:gridSpan w:val="2"/>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9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7.5%</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IA</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35" w:lineRule="exact"/>
        <w:rPr>
          <w:sz w:val="20"/>
          <w:szCs w:val="20"/>
          <w:color w:val="auto"/>
        </w:rPr>
      </w:pPr>
    </w:p>
    <w:p>
      <w:pPr>
        <w:ind w:left="920" w:right="9180" w:hanging="552"/>
        <w:spacing w:after="0" w:line="342" w:lineRule="auto"/>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 of Issuer NN, Inc.</w:t>
      </w:r>
    </w:p>
    <w:p>
      <w:pPr>
        <w:spacing w:after="0" w:line="29" w:lineRule="exact"/>
        <w:rPr>
          <w:rFonts w:ascii="Arial" w:cs="Arial" w:eastAsia="Arial" w:hAnsi="Arial"/>
          <w:sz w:val="16"/>
          <w:szCs w:val="16"/>
          <w:color w:val="auto"/>
        </w:rPr>
      </w:pPr>
    </w:p>
    <w:p>
      <w:pPr>
        <w:ind w:left="920" w:right="6860" w:hanging="552"/>
        <w:spacing w:after="0" w:line="258"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Issuer’s Principal Executive Offices 207 Mockingbird Lane</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Johnson City, Tennessee 37604</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5" w:lineRule="exact"/>
        <w:rPr>
          <w:sz w:val="20"/>
          <w:szCs w:val="20"/>
          <w:color w:val="auto"/>
        </w:rPr>
      </w:pPr>
    </w:p>
    <w:p>
      <w:pPr>
        <w:ind w:left="920" w:hanging="552"/>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RBC Global Asset Management (U.S.) Inc.</w:t>
      </w:r>
    </w:p>
    <w:p>
      <w:pPr>
        <w:spacing w:after="0" w:line="116" w:lineRule="exact"/>
        <w:rPr>
          <w:rFonts w:ascii="Arial" w:cs="Arial" w:eastAsia="Arial" w:hAnsi="Arial"/>
          <w:sz w:val="18"/>
          <w:szCs w:val="18"/>
          <w:color w:val="auto"/>
        </w:rPr>
      </w:pPr>
    </w:p>
    <w:p>
      <w:pPr>
        <w:ind w:left="920" w:right="6000" w:hanging="552"/>
        <w:spacing w:after="0" w:line="258"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50 South Sixth Street</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Suite 2350</w:t>
      </w:r>
    </w:p>
    <w:p>
      <w:pPr>
        <w:spacing w:after="0" w:line="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Minneapolis, Minnesota 55402</w:t>
      </w:r>
    </w:p>
    <w:p>
      <w:pPr>
        <w:spacing w:after="0" w:line="116" w:lineRule="exact"/>
        <w:rPr>
          <w:rFonts w:ascii="Arial" w:cs="Arial" w:eastAsia="Arial" w:hAnsi="Arial"/>
          <w:sz w:val="18"/>
          <w:szCs w:val="18"/>
          <w:color w:val="auto"/>
        </w:rPr>
      </w:pPr>
    </w:p>
    <w:p>
      <w:pPr>
        <w:ind w:left="920" w:hanging="552"/>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RBC Global Asset Management (U.S.) Inc. is incorporated under the laws of Minnesota</w:t>
      </w:r>
    </w:p>
    <w:p>
      <w:pPr>
        <w:spacing w:after="0" w:line="116" w:lineRule="exact"/>
        <w:rPr>
          <w:rFonts w:ascii="Arial" w:cs="Arial" w:eastAsia="Arial" w:hAnsi="Arial"/>
          <w:sz w:val="18"/>
          <w:szCs w:val="18"/>
          <w:color w:val="auto"/>
        </w:rPr>
      </w:pPr>
    </w:p>
    <w:p>
      <w:pPr>
        <w:ind w:left="920" w:right="8380" w:hanging="552"/>
        <w:spacing w:after="0" w:line="342" w:lineRule="auto"/>
        <w:tabs>
          <w:tab w:leader="none" w:pos="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920" w:right="9140" w:hanging="552"/>
        <w:spacing w:after="0" w:line="342" w:lineRule="auto"/>
        <w:tabs>
          <w:tab w:leader="none" w:pos="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CUSIP Number 629337106</w:t>
      </w:r>
    </w:p>
    <w:p>
      <w:pPr>
        <w:spacing w:after="0" w:line="28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02" w:lineRule="exact"/>
        <w:rPr>
          <w:sz w:val="20"/>
          <w:szCs w:val="20"/>
          <w:color w:val="auto"/>
        </w:rPr>
      </w:pPr>
    </w:p>
    <w:p>
      <w:pPr>
        <w:ind w:left="900" w:hanging="532"/>
        <w:spacing w:after="0" w:line="207" w:lineRule="exact"/>
        <w:tabs>
          <w:tab w:leader="none" w:pos="9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117" w:lineRule="exact"/>
        <w:rPr>
          <w:rFonts w:ascii="Arial" w:cs="Arial" w:eastAsia="Arial" w:hAnsi="Arial"/>
          <w:sz w:val="18"/>
          <w:szCs w:val="18"/>
          <w:color w:val="auto"/>
        </w:rPr>
      </w:pPr>
    </w:p>
    <w:p>
      <w:pPr>
        <w:ind w:left="900" w:hanging="532"/>
        <w:spacing w:after="0" w:line="207" w:lineRule="exact"/>
        <w:tabs>
          <w:tab w:leader="none" w:pos="9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117" w:lineRule="exact"/>
        <w:rPr>
          <w:rFonts w:ascii="Arial" w:cs="Arial" w:eastAsia="Arial" w:hAnsi="Arial"/>
          <w:sz w:val="18"/>
          <w:szCs w:val="18"/>
          <w:color w:val="auto"/>
        </w:rPr>
      </w:pPr>
    </w:p>
    <w:p>
      <w:pPr>
        <w:ind w:left="900" w:hanging="532"/>
        <w:spacing w:after="0" w:line="207" w:lineRule="exact"/>
        <w:tabs>
          <w:tab w:leader="none" w:pos="9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117" w:lineRule="exact"/>
        <w:rPr>
          <w:rFonts w:ascii="Arial" w:cs="Arial" w:eastAsia="Arial" w:hAnsi="Arial"/>
          <w:sz w:val="18"/>
          <w:szCs w:val="18"/>
          <w:color w:val="auto"/>
        </w:rPr>
      </w:pPr>
    </w:p>
    <w:p>
      <w:pPr>
        <w:ind w:left="900" w:hanging="532"/>
        <w:spacing w:after="0" w:line="207" w:lineRule="exact"/>
        <w:tabs>
          <w:tab w:leader="none" w:pos="9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900" w:hanging="532"/>
        <w:spacing w:after="0" w:line="207" w:lineRule="exact"/>
        <w:tabs>
          <w:tab w:leader="none" w:pos="9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§240.13d-1(b)(1)(ii)(E);</w:t>
      </w:r>
    </w:p>
    <w:p>
      <w:pPr>
        <w:spacing w:after="0" w:line="117" w:lineRule="exact"/>
        <w:rPr>
          <w:rFonts w:ascii="Arial" w:cs="Arial" w:eastAsia="Arial" w:hAnsi="Arial"/>
          <w:sz w:val="18"/>
          <w:szCs w:val="18"/>
          <w:color w:val="auto"/>
        </w:rPr>
      </w:pPr>
    </w:p>
    <w:p>
      <w:pPr>
        <w:ind w:left="900" w:hanging="532"/>
        <w:spacing w:after="0" w:line="207" w:lineRule="exact"/>
        <w:tabs>
          <w:tab w:leader="none" w:pos="9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§240.13d-1(b)(1)(ii)(F);</w:t>
      </w:r>
    </w:p>
    <w:p>
      <w:pPr>
        <w:spacing w:after="0" w:line="117" w:lineRule="exact"/>
        <w:rPr>
          <w:rFonts w:ascii="Arial" w:cs="Arial" w:eastAsia="Arial" w:hAnsi="Arial"/>
          <w:sz w:val="18"/>
          <w:szCs w:val="18"/>
          <w:color w:val="auto"/>
        </w:rPr>
      </w:pPr>
    </w:p>
    <w:p>
      <w:pPr>
        <w:ind w:left="900" w:hanging="532"/>
        <w:spacing w:after="0" w:line="207" w:lineRule="exact"/>
        <w:tabs>
          <w:tab w:leader="none" w:pos="9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117" w:lineRule="exact"/>
        <w:rPr>
          <w:rFonts w:ascii="Arial" w:cs="Arial" w:eastAsia="Arial" w:hAnsi="Arial"/>
          <w:sz w:val="18"/>
          <w:szCs w:val="18"/>
          <w:color w:val="auto"/>
        </w:rPr>
      </w:pPr>
    </w:p>
    <w:p>
      <w:pPr>
        <w:ind w:left="900" w:hanging="532"/>
        <w:spacing w:after="0" w:line="207" w:lineRule="exact"/>
        <w:tabs>
          <w:tab w:leader="none" w:pos="9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460" w:hanging="1092"/>
        <w:spacing w:after="0" w:line="223" w:lineRule="exact"/>
        <w:tabs>
          <w:tab w:leader="none" w:pos="906"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95" w:lineRule="exact"/>
        <w:rPr>
          <w:rFonts w:ascii="Arial" w:cs="Arial" w:eastAsia="Arial" w:hAnsi="Arial"/>
          <w:sz w:val="18"/>
          <w:szCs w:val="18"/>
          <w:color w:val="auto"/>
        </w:rPr>
      </w:pPr>
    </w:p>
    <w:p>
      <w:pPr>
        <w:ind w:left="900" w:hanging="532"/>
        <w:spacing w:after="0" w:line="207" w:lineRule="exact"/>
        <w:tabs>
          <w:tab w:leader="none" w:pos="9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Rule 13d-1(b)(1)(ii)(J);</w:t>
      </w:r>
    </w:p>
    <w:p>
      <w:pPr>
        <w:spacing w:after="0" w:line="117" w:lineRule="exact"/>
        <w:rPr>
          <w:rFonts w:ascii="Arial" w:cs="Arial" w:eastAsia="Arial" w:hAnsi="Arial"/>
          <w:sz w:val="18"/>
          <w:szCs w:val="18"/>
          <w:color w:val="auto"/>
        </w:rPr>
      </w:pPr>
    </w:p>
    <w:p>
      <w:pPr>
        <w:ind w:left="900" w:hanging="532"/>
        <w:spacing w:after="0" w:line="207" w:lineRule="exact"/>
        <w:tabs>
          <w:tab w:leader="none" w:pos="9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§240.13d-1(b)(1)(ii)(J).</w:t>
      </w:r>
    </w:p>
    <w:p>
      <w:pPr>
        <w:sectPr>
          <w:pgSz w:w="11900" w:h="16838" w:orient="portrait"/>
          <w:cols w:equalWidth="0" w:num="1">
            <w:col w:w="11200"/>
          </w:cols>
          <w:pgMar w:left="240" w:top="270" w:right="45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42" w:lineRule="exact"/>
        <w:rPr>
          <w:sz w:val="20"/>
          <w:szCs w:val="20"/>
          <w:color w:val="auto"/>
        </w:rPr>
      </w:pPr>
    </w:p>
    <w:p>
      <w:pPr>
        <w:ind w:left="900" w:hanging="532"/>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See Item 9 of the Cover Page.</w:t>
      </w:r>
    </w:p>
    <w:p>
      <w:pPr>
        <w:spacing w:after="0" w:line="117" w:lineRule="exact"/>
        <w:rPr>
          <w:rFonts w:ascii="Arial" w:cs="Arial" w:eastAsia="Arial" w:hAnsi="Arial"/>
          <w:sz w:val="18"/>
          <w:szCs w:val="18"/>
          <w:color w:val="auto"/>
        </w:rPr>
      </w:pPr>
    </w:p>
    <w:p>
      <w:pPr>
        <w:ind w:left="900" w:hanging="532"/>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See Item 11 of the Cover Page.</w:t>
      </w:r>
    </w:p>
    <w:p>
      <w:pPr>
        <w:spacing w:after="0" w:line="117" w:lineRule="exact"/>
        <w:rPr>
          <w:rFonts w:ascii="Arial" w:cs="Arial" w:eastAsia="Arial" w:hAnsi="Arial"/>
          <w:sz w:val="18"/>
          <w:szCs w:val="18"/>
          <w:color w:val="auto"/>
        </w:rPr>
      </w:pPr>
    </w:p>
    <w:p>
      <w:pPr>
        <w:ind w:left="900" w:hanging="532"/>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580" w:right="6860" w:hanging="681"/>
        <w:spacing w:after="0" w:line="308" w:lineRule="auto"/>
        <w:tabs>
          <w:tab w:leader="none" w:pos="1580" w:val="left"/>
        </w:tabs>
        <w:numPr>
          <w:ilvl w:val="1"/>
          <w:numId w:val="6"/>
        </w:numPr>
        <w:rPr>
          <w:rFonts w:ascii="Arial" w:cs="Arial" w:eastAsia="Arial" w:hAnsi="Arial"/>
          <w:sz w:val="17"/>
          <w:szCs w:val="17"/>
          <w:color w:val="auto"/>
        </w:rPr>
      </w:pPr>
      <w:r>
        <w:rPr>
          <w:rFonts w:ascii="Arial" w:cs="Arial" w:eastAsia="Arial" w:hAnsi="Arial"/>
          <w:sz w:val="17"/>
          <w:szCs w:val="17"/>
          <w:color w:val="auto"/>
        </w:rPr>
        <w:t>Sole power to vote or to direct the vote See Item 5 of the Cover Page.</w:t>
      </w:r>
    </w:p>
    <w:p>
      <w:pPr>
        <w:spacing w:after="0" w:line="51" w:lineRule="exact"/>
        <w:rPr>
          <w:rFonts w:ascii="Arial" w:cs="Arial" w:eastAsia="Arial" w:hAnsi="Arial"/>
          <w:sz w:val="17"/>
          <w:szCs w:val="17"/>
          <w:color w:val="auto"/>
        </w:rPr>
      </w:pPr>
    </w:p>
    <w:p>
      <w:pPr>
        <w:ind w:left="1580" w:right="6680" w:hanging="681"/>
        <w:spacing w:after="0" w:line="277" w:lineRule="auto"/>
        <w:tabs>
          <w:tab w:leader="none" w:pos="1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of the Cover Page.</w:t>
      </w:r>
    </w:p>
    <w:p>
      <w:pPr>
        <w:spacing w:after="0" w:line="75" w:lineRule="exact"/>
        <w:rPr>
          <w:rFonts w:ascii="Arial" w:cs="Arial" w:eastAsia="Arial" w:hAnsi="Arial"/>
          <w:sz w:val="18"/>
          <w:szCs w:val="18"/>
          <w:color w:val="auto"/>
        </w:rPr>
      </w:pPr>
    </w:p>
    <w:p>
      <w:pPr>
        <w:ind w:left="1580" w:right="5960" w:hanging="681"/>
        <w:spacing w:after="0" w:line="277" w:lineRule="auto"/>
        <w:tabs>
          <w:tab w:leader="none" w:pos="1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of the Cover Page.</w:t>
      </w:r>
    </w:p>
    <w:p>
      <w:pPr>
        <w:spacing w:after="0" w:line="75" w:lineRule="exact"/>
        <w:rPr>
          <w:rFonts w:ascii="Arial" w:cs="Arial" w:eastAsia="Arial" w:hAnsi="Arial"/>
          <w:sz w:val="18"/>
          <w:szCs w:val="18"/>
          <w:color w:val="auto"/>
        </w:rPr>
      </w:pPr>
    </w:p>
    <w:p>
      <w:pPr>
        <w:ind w:left="1580" w:right="5780" w:hanging="681"/>
        <w:spacing w:after="0" w:line="277" w:lineRule="auto"/>
        <w:tabs>
          <w:tab w:leader="none" w:pos="1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8 of the Cover Page.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 see §240.13d-3(d)(1).</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10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240" w:top="270" w:right="419" w:bottom="1440" w:gutter="0" w:footer="0" w:header="0"/>
        </w:sectPr>
      </w:pPr>
    </w:p>
    <w:bookmarkStart w:id="4" w:name="page5"/>
    <w:bookmarkEnd w:id="4"/>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RBC GLOBAL ASSET MANAGEMENT (U.S.) INC.</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Carol Kuha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Carol Kuha /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0920"/>
      </w:cols>
      <w:pgMar w:left="2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2019-12-20T23:43:59Z</dcterms:created>
  <dcterms:modified xsi:type="dcterms:W3CDTF">2019-12-20T23:43:59Z</dcterms:modified>
</cp:coreProperties>
</file>