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250825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6, 2019 (December 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236855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425450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0" w:type="dxa"/>
        <w:tblCellMar>
          <w:top w:w="0" w:type="dxa"/>
          <w:left w:w="0" w:type="dxa"/>
          <w:bottom w:w="0" w:type="dxa"/>
          <w:right w:w="0" w:type="dxa"/>
        </w:tblCellMar>
      </w:tblPr>
      <w:tr>
        <w:trPr>
          <w:trHeight w:val="214"/>
        </w:trPr>
        <w:tc>
          <w:tcPr>
            <w:tcW w:w="4040" w:type="dxa"/>
            <w:vAlign w:val="bottom"/>
          </w:tcPr>
          <w:p>
            <w:pPr>
              <w:jc w:val="center"/>
              <w:ind w:right="22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000-23486</w:t>
            </w: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62-1096725</w:t>
            </w:r>
          </w:p>
        </w:tc>
      </w:tr>
      <w:tr>
        <w:trPr>
          <w:trHeight w:val="149"/>
        </w:trPr>
        <w:tc>
          <w:tcPr>
            <w:tcW w:w="4040" w:type="dxa"/>
            <w:vAlign w:val="bottom"/>
          </w:tcPr>
          <w:p>
            <w:pPr>
              <w:jc w:val="center"/>
              <w:ind w:right="22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6210 Ardrey Kell Road</w:t>
            </w:r>
          </w:p>
        </w:tc>
        <w:tc>
          <w:tcPr>
            <w:tcW w:w="2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7"/>
        </w:trPr>
        <w:tc>
          <w:tcPr>
            <w:tcW w:w="4040" w:type="dxa"/>
            <w:vAlign w:val="bottom"/>
          </w:tcPr>
          <w:p>
            <w:pPr>
              <w:jc w:val="center"/>
              <w:ind w:left="1239"/>
              <w:spacing w:after="0"/>
              <w:rPr>
                <w:sz w:val="20"/>
                <w:szCs w:val="20"/>
                <w:color w:val="auto"/>
              </w:rPr>
            </w:pPr>
            <w:r>
              <w:rPr>
                <w:rFonts w:ascii="Times New Roman" w:cs="Times New Roman" w:eastAsia="Times New Roman" w:hAnsi="Times New Roman"/>
                <w:sz w:val="18"/>
                <w:szCs w:val="18"/>
                <w:b w:val="1"/>
                <w:bCs w:val="1"/>
                <w:color w:val="auto"/>
                <w:w w:val="99"/>
              </w:rPr>
              <w:t>Charlotte, North Carolina</w:t>
            </w:r>
          </w:p>
        </w:tc>
        <w:tc>
          <w:tcPr>
            <w:tcW w:w="232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28277</w:t>
            </w:r>
          </w:p>
        </w:tc>
      </w:tr>
      <w:tr>
        <w:trPr>
          <w:trHeight w:val="190"/>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(980) 264-4300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243205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0" w:type="dxa"/>
            <w:vAlign w:val="bottom"/>
          </w:tcPr>
          <w:p>
            <w:pPr>
              <w:spacing w:after="0"/>
              <w:rPr>
                <w:sz w:val="16"/>
                <w:szCs w:val="16"/>
                <w:color w:val="auto"/>
              </w:rPr>
            </w:pPr>
          </w:p>
        </w:tc>
        <w:tc>
          <w:tcPr>
            <w:tcW w:w="3520" w:type="dxa"/>
            <w:vAlign w:val="bottom"/>
            <w:tcBorders>
              <w:top w:val="single" w:sz="8" w:color="auto"/>
            </w:tcBorders>
          </w:tcPr>
          <w:p>
            <w:pPr>
              <w:ind w:left="1500"/>
              <w:spacing w:after="0" w:line="188" w:lineRule="exact"/>
              <w:rPr>
                <w:sz w:val="20"/>
                <w:szCs w:val="20"/>
                <w:color w:val="auto"/>
              </w:rPr>
            </w:pPr>
            <w:r>
              <w:rPr>
                <w:rFonts w:ascii="Times New Roman" w:cs="Times New Roman" w:eastAsia="Times New Roman" w:hAnsi="Times New Roman"/>
                <w:sz w:val="18"/>
                <w:szCs w:val="18"/>
                <w:b w:val="1"/>
                <w:bCs w:val="1"/>
                <w:color w:val="auto"/>
              </w:rPr>
              <w:t>NNBR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par value $0.01</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Market LLC</w:t>
            </w:r>
          </w:p>
        </w:tc>
        <w:tc>
          <w:tcPr>
            <w:tcW w:w="0" w:type="dxa"/>
            <w:vAlign w:val="bottom"/>
          </w:tcPr>
          <w:p>
            <w:pPr>
              <w:spacing w:after="0"/>
              <w:rPr>
                <w:sz w:val="1"/>
                <w:szCs w:val="1"/>
                <w:color w:val="auto"/>
              </w:rPr>
            </w:pPr>
          </w:p>
        </w:tc>
      </w:tr>
    </w:tbl>
    <w:p>
      <w:pPr>
        <w:spacing w:after="0" w:line="21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7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2" w:right="419" w:bottom="895" w:gutter="0" w:footer="0" w:header="0"/>
        </w:sectPr>
      </w:pPr>
    </w:p>
    <w:bookmarkStart w:id="1" w:name="page2"/>
    <w:bookmarkEnd w:id="1"/>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2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On December 5, 2019, NN, Inc., a Delaware corporation (the “Company”), entered into a securities purchase agreement (the “Purchase Agreement”) with affiliates of Corre Partners Management, L.L.C. and Legion Partners Asset Management, LLC (“Legion”) (collectively, the “Investors”), pursuant to which the Company has agreed to sell 100,000 shares of the Company’s newly designated Series B Convertible Preferred Stock, par value $0.01 per share (the “Series B Preferred Stock”), at a price of $1,000 per share, together with common stock purchase warrants (the “Warrants”) to purchase 1,500,000 shares of the Company’s common stock, par value $0.01 per share (“Common Stock”), to the Investors for aggregate gross proceeds of $100 million to the Company (the “Financing Transaction”).</w:t>
      </w:r>
    </w:p>
    <w:p>
      <w:pPr>
        <w:spacing w:after="0" w:line="188"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closing of the Financing Transaction is expected to take place on or about December 10, 2019, and is subject to customary closing conditions. The Company intends to use the proceeds from the Financing Transaction to repay all or a part of the outstanding amounts under the Company’s senior secured revolving credit facility, to prepay the Company’s term loans, to pay any fees (in connection with a possible extension of the maturity date of the Company’s senior debt, the repayment of the senior secured revolving credit facility, prepayment of the term loans and the Financing Transaction), and for general corporate purposes.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Agreement</w:t>
      </w:r>
    </w:p>
    <w:p>
      <w:pPr>
        <w:spacing w:after="0" w:line="11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Purchase Agreement contains representations and warranties by the Company and the Investors and covenants of the Company and the Investors (including indemnification from the Company in the event of breaches of its representations and warranties) and other rights, obligations and restrictions, which the Company believes are customary for transactions of this type.</w:t>
      </w:r>
    </w:p>
    <w:p>
      <w:pPr>
        <w:spacing w:after="0" w:line="174"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Stockholder Approval</w:t>
      </w:r>
      <w:r>
        <w:rPr>
          <w:rFonts w:ascii="Times New Roman" w:cs="Times New Roman" w:eastAsia="Times New Roman" w:hAnsi="Times New Roman"/>
          <w:sz w:val="18"/>
          <w:szCs w:val="18"/>
          <w:color w:val="auto"/>
        </w:rPr>
        <w:t>: Pursuant to the Purchase Agreement, the Company has agreed at the 2020 annual meeting of the stockholders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to include in its proxy statement (the “Proxy Statement”) prepared and filed with the Securities and Exchange Commission (the “SEC”) a proposal for approval by the holders of Common Stock that is required under listing standards of Nasdaq to approve the issuance of Common Stock upon exercise of the Warrants and conversion or redemption of the Series B Preferred Stock of the Company issued to the Investors pursuant to the Purchase Agreement (the “Stockholder Approval”). Subject to the directors’ fiduciary duties, the Proxy Statement shall include the recommendation from the Company’s Board of Directors that the stockholders vote in favor of the Stockholder Approval. The Company shall use its reasonable best efforts to solicit from the stockholders proxies in favor of the Stockholder Approval and to obtain the Stockholder Approval. The Company has also agreed to use commercially reasonable efforts to increase the number of authorized shares of Common Stock at the Company’s 2023 annual meeting of stockholders.</w:t>
      </w:r>
    </w:p>
    <w:p>
      <w:pPr>
        <w:spacing w:after="0" w:line="189" w:lineRule="exact"/>
        <w:rPr>
          <w:sz w:val="20"/>
          <w:szCs w:val="20"/>
          <w:color w:val="auto"/>
        </w:rPr>
      </w:pPr>
    </w:p>
    <w:p>
      <w:pPr>
        <w:jc w:val="both"/>
        <w:ind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Consent Rights</w:t>
      </w:r>
      <w:r>
        <w:rPr>
          <w:rFonts w:ascii="Times New Roman" w:cs="Times New Roman" w:eastAsia="Times New Roman" w:hAnsi="Times New Roman"/>
          <w:sz w:val="18"/>
          <w:szCs w:val="18"/>
          <w:color w:val="auto"/>
        </w:rPr>
        <w:t>: Pursuant to the Purchase Agreement, the Company has agreed with each Investor, subject to certain exceptions, not to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to certain change in control transactions other than transactions in which holders of shares of the Series B Preferred Stock are entitled to receive cash in an amount equal to the applicable redemption value plus accrued and unpaid dividends (and less a portion of certain dividend taxes that may be paid or accrued by the Company on behalf of the Investors in respect of the Series B Preferred Stock) (such a change in control transaction, a “Qualifying Transaction”).</w:t>
      </w:r>
    </w:p>
    <w:p>
      <w:pPr>
        <w:spacing w:after="0" w:line="180"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Additional Agreements</w:t>
      </w:r>
      <w:r>
        <w:rPr>
          <w:rFonts w:ascii="Times New Roman" w:cs="Times New Roman" w:eastAsia="Times New Roman" w:hAnsi="Times New Roman"/>
          <w:sz w:val="18"/>
          <w:szCs w:val="18"/>
          <w:color w:val="auto"/>
        </w:rPr>
        <w:t>: The Purchase Agreement contains additional agreements and covenants between the Company and the Purchasers,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restrictions similar to those in the Certificate of Designation regarding dividends and voting rights. In addition, the Company agreed that it will use reasonable best efforts to amend and extend its existing amended and restated credit agreement as soon as practicable after the closing of the Financing Transaction.</w:t>
      </w:r>
    </w:p>
    <w:p>
      <w:pPr>
        <w:spacing w:after="0" w:line="180" w:lineRule="exact"/>
        <w:rPr>
          <w:sz w:val="20"/>
          <w:szCs w:val="20"/>
          <w:color w:val="auto"/>
        </w:rPr>
      </w:pPr>
    </w:p>
    <w:p>
      <w:pPr>
        <w:jc w:val="both"/>
        <w:ind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Standstill Exemption</w:t>
      </w:r>
      <w:r>
        <w:rPr>
          <w:rFonts w:ascii="Times New Roman" w:cs="Times New Roman" w:eastAsia="Times New Roman" w:hAnsi="Times New Roman"/>
          <w:sz w:val="18"/>
          <w:szCs w:val="18"/>
          <w:color w:val="auto"/>
        </w:rPr>
        <w:t>: In connection with the Financing Transaction, the Company and Legion have agreed that Legion is exempted from its 9.9%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standstill obligation set forth in the Cooperation Agreement dated as of February 25, 2019, between the Company and Legion. Legion, however, remains subject to beneficial ownership limitations applicable to each of the Investors pursuant to the Financing Transaction.</w:t>
      </w:r>
    </w:p>
    <w:p>
      <w:pPr>
        <w:spacing w:after="0" w:line="17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Agreement has been included to provide investors with information regarding its terms. It is not intended to provide any factual information about the parties to the agreement or the Company’s business.</w:t>
      </w:r>
    </w:p>
    <w:p>
      <w:pPr>
        <w:sectPr>
          <w:pgSz w:w="11900" w:h="16838" w:orient="portrait"/>
          <w:cols w:equalWidth="0" w:num="1">
            <w:col w:w="11020"/>
          </w:cols>
          <w:pgMar w:left="440" w:top="266"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Designation</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terms of the Series B Preferred Stock will be set forth in a Certificate of Designation, a summary of which is set forth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120" w:type="dxa"/>
            <w:vAlign w:val="bottom"/>
          </w:tcPr>
          <w:p>
            <w:pPr>
              <w:spacing w:after="0"/>
              <w:rPr>
                <w:sz w:val="20"/>
                <w:szCs w:val="20"/>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Series B Convertible Preferred Stock, par value $0.01 per share</w:t>
            </w:r>
          </w:p>
        </w:tc>
      </w:tr>
      <w:tr>
        <w:trPr>
          <w:trHeight w:val="306"/>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Series B Dividend:</w:t>
            </w:r>
          </w:p>
        </w:tc>
        <w:tc>
          <w:tcPr>
            <w:tcW w:w="120" w:type="dxa"/>
            <w:vAlign w:val="bottom"/>
          </w:tcPr>
          <w:p>
            <w:pPr>
              <w:spacing w:after="0"/>
              <w:rPr>
                <w:sz w:val="24"/>
                <w:szCs w:val="24"/>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10.625% per annum, payable quarterly in arrears; provided that if the Company does not obtain Stockholder</w:t>
            </w: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Approval prior to the earlier of (i) June 30, 2020 and (ii) at the Company’s 2020 annual meeting of</w:t>
            </w: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stockholders, the rate shall increase to 11.625% per annum until such Stockholder Approval has been</w:t>
            </w: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obtained. Series B Preferred Stock will fully participate on an as-converted basis in any dividends paid on</w:t>
            </w:r>
          </w:p>
        </w:tc>
      </w:tr>
      <w:tr>
        <w:trPr>
          <w:trHeight w:val="234"/>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Common Stock, using a conversion rate based on a fixed conversion price equal to $7.91.</w:t>
            </w:r>
          </w:p>
        </w:tc>
      </w:tr>
      <w:tr>
        <w:trPr>
          <w:trHeight w:val="306"/>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Redemption:</w:t>
            </w:r>
          </w:p>
        </w:tc>
        <w:tc>
          <w:tcPr>
            <w:tcW w:w="120" w:type="dxa"/>
            <w:vAlign w:val="bottom"/>
          </w:tcPr>
          <w:p>
            <w:pPr>
              <w:spacing w:after="0"/>
              <w:rPr>
                <w:sz w:val="24"/>
                <w:szCs w:val="24"/>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 may redeem the shares of Series B Preferred Stock for an amount equal to the applicable</w:t>
            </w: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redemption price set forth below expressed as a percentage of its Liquidation Preference (as defined below),</w:t>
            </w: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plus any accrued and unpaid Series B Dividends, minus any dividend withholding taxes that the Company</w:t>
            </w:r>
          </w:p>
        </w:tc>
      </w:tr>
      <w:tr>
        <w:trPr>
          <w:trHeight w:val="234"/>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is entitled to set off pursuant to the terms of the Purchase Agreement.</w:t>
            </w:r>
          </w:p>
        </w:tc>
      </w:tr>
      <w:tr>
        <w:trPr>
          <w:trHeight w:val="351"/>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w:t>
            </w:r>
          </w:p>
        </w:tc>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Percentage of Liquidation Preference</w:t>
            </w: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310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 or before March 31, 2021</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720" w:type="dxa"/>
            <w:vAlign w:val="bottom"/>
            <w:shd w:val="clear" w:color="auto" w:fill="CCEEFF"/>
          </w:tcPr>
          <w:p>
            <w:pPr>
              <w:spacing w:after="0"/>
              <w:rPr>
                <w:sz w:val="18"/>
                <w:szCs w:val="18"/>
                <w:color w:val="auto"/>
              </w:rPr>
            </w:pPr>
          </w:p>
        </w:tc>
      </w:tr>
      <w:tr>
        <w:trPr>
          <w:trHeight w:val="198"/>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After March 31, 2021 and</w:t>
            </w:r>
          </w:p>
        </w:tc>
        <w:tc>
          <w:tcPr>
            <w:tcW w:w="21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34"/>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on or before December 31, 2021</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720" w:type="dxa"/>
            <w:vAlign w:val="bottom"/>
          </w:tcPr>
          <w:p>
            <w:pPr>
              <w:spacing w:after="0"/>
              <w:rPr>
                <w:sz w:val="20"/>
                <w:szCs w:val="20"/>
                <w:color w:val="auto"/>
              </w:rPr>
            </w:pPr>
          </w:p>
        </w:tc>
      </w:tr>
      <w:tr>
        <w:trPr>
          <w:trHeight w:val="198"/>
        </w:trPr>
        <w:tc>
          <w:tcPr>
            <w:tcW w:w="310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After December 31, 2021 and</w:t>
            </w:r>
          </w:p>
        </w:tc>
        <w:tc>
          <w:tcPr>
            <w:tcW w:w="21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34"/>
        </w:trPr>
        <w:tc>
          <w:tcPr>
            <w:tcW w:w="310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 or before December 31, 2022</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720" w:type="dxa"/>
            <w:vAlign w:val="bottom"/>
            <w:shd w:val="clear" w:color="auto" w:fill="CCEEFF"/>
          </w:tcPr>
          <w:p>
            <w:pPr>
              <w:spacing w:after="0"/>
              <w:rPr>
                <w:sz w:val="20"/>
                <w:szCs w:val="20"/>
                <w:color w:val="auto"/>
              </w:rPr>
            </w:pPr>
          </w:p>
        </w:tc>
      </w:tr>
      <w:tr>
        <w:trPr>
          <w:trHeight w:val="234"/>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December 31, 2022</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720" w:type="dxa"/>
            <w:vAlign w:val="bottom"/>
          </w:tcPr>
          <w:p>
            <w:pPr>
              <w:spacing w:after="0"/>
              <w:rPr>
                <w:sz w:val="20"/>
                <w:szCs w:val="20"/>
                <w:color w:val="auto"/>
              </w:rPr>
            </w:pPr>
          </w:p>
        </w:tc>
      </w:tr>
      <w:tr>
        <w:trPr>
          <w:trHeight w:val="28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March 31, 2021 date shall be deemed May 15, 2021 if the Company has entered into a definitive</w:t>
            </w: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agreement with respect to a transaction that constitutes a Change of Control (as defined in the Purchase</w:t>
            </w: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Agreement) on or prior to March 31, 2021. The redemption price and any accrued and unpaid dividends</w:t>
            </w: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shall be paid in cash unless the Company’s outstanding shares of Common Stock have a market</w:t>
            </w: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capitalization in excess of $750 million on the date of the redemption notice, in which case the redemption</w:t>
            </w: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price may be paid in cash or a combination of cash and shares of Common Stock; provided that the number</w:t>
            </w: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shares of Common Stock to be delivered will be determined based on 95% of the 30-trading day volume-</w:t>
            </w:r>
          </w:p>
        </w:tc>
      </w:tr>
      <w:tr>
        <w:trPr>
          <w:trHeight w:val="234"/>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price (“VWAP”).</w:t>
            </w:r>
          </w:p>
        </w:tc>
        <w:tc>
          <w:tcPr>
            <w:tcW w:w="21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06"/>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Conversion Rights/Rates:</w:t>
            </w:r>
          </w:p>
        </w:tc>
        <w:tc>
          <w:tcPr>
            <w:tcW w:w="120" w:type="dxa"/>
            <w:vAlign w:val="bottom"/>
          </w:tcPr>
          <w:p>
            <w:pPr>
              <w:spacing w:after="0"/>
              <w:rPr>
                <w:sz w:val="24"/>
                <w:szCs w:val="24"/>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Conversion rate equals (i) the Liquidation Preference, plus any accrued and unpaid Series B Dividends, less</w:t>
            </w: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any dividend withholding taxes that the Company is entitled to set off, divided by (ii) the then-applicable</w:t>
            </w:r>
          </w:p>
        </w:tc>
      </w:tr>
      <w:tr>
        <w:trPr>
          <w:trHeight w:val="234"/>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price described below.</w:t>
            </w:r>
          </w:p>
        </w:tc>
        <w:tc>
          <w:tcPr>
            <w:tcW w:w="21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19"/>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If the Company’s consolidated net leverage ratio is equal to or greater than 3.50 to 1.00 as of March 31,</w:t>
            </w: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2023 or any quarter ending thereafter, holders of Series B Preferred Stock will have the right to convert at a</w:t>
            </w:r>
          </w:p>
        </w:tc>
      </w:tr>
      <w:tr>
        <w:trPr>
          <w:trHeight w:val="234"/>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conversion price that equals 90% of the 30-day VWAP, during a 60-day conversion window.</w:t>
            </w:r>
          </w:p>
        </w:tc>
      </w:tr>
      <w:tr>
        <w:trPr>
          <w:trHeight w:val="319"/>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Holders of the Series B Preferred Stock will also have the right to convert up to 25% of their shares of</w:t>
            </w: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Series B Preferred Stock into Common Stock in the quarter following the completion of the Company’s</w:t>
            </w: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fiscal year ending December 31, 2023, and each quarter ending thereafter at a conversion price that equals a</w:t>
            </w:r>
          </w:p>
        </w:tc>
      </w:tr>
      <w:tr>
        <w:trPr>
          <w:trHeight w:val="234"/>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30-day VWAP, during a 60-day conversion window.</w:t>
            </w:r>
          </w:p>
        </w:tc>
        <w:tc>
          <w:tcPr>
            <w:tcW w:w="21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8"/>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Liquidation Preference:</w:t>
            </w:r>
          </w:p>
        </w:tc>
        <w:tc>
          <w:tcPr>
            <w:tcW w:w="12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$1,000 per share of Series B Preferred Stock</w:t>
            </w:r>
          </w:p>
        </w:tc>
        <w:tc>
          <w:tcPr>
            <w:tcW w:w="214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1040"/>
          </w:cols>
          <w:pgMar w:left="440" w:top="268" w:right="41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Liquidation Value:</w:t>
            </w:r>
          </w:p>
        </w:tc>
        <w:tc>
          <w:tcPr>
            <w:tcW w:w="1120" w:type="dxa"/>
            <w:vAlign w:val="bottom"/>
          </w:tcPr>
          <w:p>
            <w:pPr>
              <w:spacing w:after="0"/>
              <w:rPr>
                <w:sz w:val="19"/>
                <w:szCs w:val="19"/>
                <w:color w:val="auto"/>
              </w:rPr>
            </w:pPr>
          </w:p>
        </w:tc>
        <w:tc>
          <w:tcPr>
            <w:tcW w:w="8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 the event of a liquidation, holders of Series B Preferred Stock will receive the greater of (i) the</w:t>
            </w:r>
          </w:p>
        </w:tc>
      </w:tr>
      <w:tr>
        <w:trPr>
          <w:trHeight w:val="216"/>
        </w:trPr>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Liquidation Preference, plus any Series B Dividend accrued and unpaid at the time of such Liquidation, and</w:t>
            </w:r>
          </w:p>
        </w:tc>
      </w:tr>
      <w:tr>
        <w:trPr>
          <w:trHeight w:val="216"/>
        </w:trPr>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(ii) the amount such holder of Series B Preferred Stock would have received upon conversion of its shares</w:t>
            </w:r>
          </w:p>
        </w:tc>
      </w:tr>
      <w:tr>
        <w:trPr>
          <w:trHeight w:val="216"/>
        </w:trPr>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 Series B Preferred Stock into shares of Common Stock using a conversion rate based on a fixed</w:t>
            </w:r>
          </w:p>
        </w:tc>
      </w:tr>
      <w:tr>
        <w:trPr>
          <w:trHeight w:val="234"/>
        </w:trPr>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conversion price equal to $7.91.</w:t>
            </w:r>
          </w:p>
        </w:tc>
      </w:tr>
      <w:tr>
        <w:trPr>
          <w:trHeight w:val="302"/>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Limitations on Redemption</w:t>
            </w:r>
          </w:p>
        </w:tc>
        <w:tc>
          <w:tcPr>
            <w:tcW w:w="8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Unless and until the Stockholder Approval is obtained, the holders shall not have the right to acquire shares</w:t>
            </w:r>
          </w:p>
        </w:tc>
      </w:tr>
      <w:tr>
        <w:trPr>
          <w:trHeight w:val="220"/>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and Conversion:</w:t>
            </w:r>
          </w:p>
        </w:tc>
        <w:tc>
          <w:tcPr>
            <w:tcW w:w="1120" w:type="dxa"/>
            <w:vAlign w:val="bottom"/>
          </w:tcPr>
          <w:p>
            <w:pPr>
              <w:spacing w:after="0"/>
              <w:rPr>
                <w:sz w:val="19"/>
                <w:szCs w:val="19"/>
                <w:color w:val="auto"/>
              </w:rPr>
            </w:pPr>
          </w:p>
        </w:tc>
        <w:tc>
          <w:tcPr>
            <w:tcW w:w="8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 Common Stock pursuant to a redemption or conversion of the Series B Preferred Stock in a manner that</w:t>
            </w:r>
          </w:p>
        </w:tc>
      </w:tr>
      <w:tr>
        <w:trPr>
          <w:trHeight w:val="216"/>
        </w:trPr>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would violate Nasdaq Listing Rule 5635. Conversion and redemption of Series B Preferred Stock are also</w:t>
            </w:r>
          </w:p>
        </w:tc>
      </w:tr>
      <w:tr>
        <w:trPr>
          <w:trHeight w:val="234"/>
        </w:trPr>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subject to certain other beneficial ownership limitations applicable to each of the Investors.</w:t>
            </w:r>
          </w:p>
        </w:tc>
      </w:tr>
      <w:tr>
        <w:trPr>
          <w:trHeight w:val="30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Limitation</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on</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8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and  </w:t>
            </w:r>
            <w:r>
              <w:rPr>
                <w:rFonts w:ascii="Times New Roman" w:cs="Times New Roman" w:eastAsia="Times New Roman" w:hAnsi="Times New Roman"/>
                <w:sz w:val="18"/>
                <w:szCs w:val="18"/>
                <w:color w:val="auto"/>
              </w:rPr>
              <w:t>Without the prior written consent of the holders of a majority of the outstanding shares of Series B Preferred</w:t>
            </w:r>
          </w:p>
        </w:tc>
      </w:tr>
      <w:tr>
        <w:trPr>
          <w:trHeight w:val="220"/>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Redemptions of Junior Securities:</w:t>
            </w:r>
          </w:p>
        </w:tc>
        <w:tc>
          <w:tcPr>
            <w:tcW w:w="83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Stock, the Company shall not, nor shall it permit any subsidiary to, redeem or purchase or otherwise acquire</w:t>
            </w:r>
          </w:p>
        </w:tc>
      </w:tr>
      <w:tr>
        <w:trPr>
          <w:trHeight w:val="216"/>
        </w:trPr>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directly or indirectly any junior securities, nor shall the Company directly or indirectly pay or declare any</w:t>
            </w:r>
          </w:p>
        </w:tc>
      </w:tr>
      <w:tr>
        <w:trPr>
          <w:trHeight w:val="216"/>
        </w:trPr>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dividend upon any junior securities (including any spin-off or other dividend or distribution of properties,</w:t>
            </w:r>
          </w:p>
        </w:tc>
      </w:tr>
      <w:tr>
        <w:trPr>
          <w:trHeight w:val="234"/>
        </w:trPr>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securities or any other assets).</w:t>
            </w:r>
          </w:p>
        </w:tc>
      </w:tr>
      <w:tr>
        <w:trPr>
          <w:trHeight w:val="30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Voting Rights: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Holders of the Series B Preferred Stock shall not have any voting rights, other than with respect to:</w:t>
            </w:r>
          </w:p>
        </w:tc>
      </w:tr>
      <w:tr>
        <w:trPr>
          <w:trHeight w:val="216"/>
        </w:trPr>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 amendments to the Company’s organizational documents that generally have an adverse effect on the</w:t>
            </w:r>
          </w:p>
        </w:tc>
      </w:tr>
      <w:tr>
        <w:trPr>
          <w:trHeight w:val="234"/>
        </w:trPr>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Series B Preferred Stock as well as creation or issuance of senior or parity securities; (ii) issuance of</w:t>
            </w:r>
          </w:p>
        </w:tc>
      </w:tr>
    </w:tbl>
    <w:p>
      <w:pPr>
        <w:jc w:val="both"/>
        <w:ind w:left="3220"/>
        <w:spacing w:after="0" w:line="250" w:lineRule="auto"/>
        <w:rPr>
          <w:sz w:val="20"/>
          <w:szCs w:val="20"/>
          <w:color w:val="auto"/>
        </w:rPr>
      </w:pPr>
      <w:r>
        <w:rPr>
          <w:rFonts w:ascii="Times New Roman" w:cs="Times New Roman" w:eastAsia="Times New Roman" w:hAnsi="Times New Roman"/>
          <w:sz w:val="18"/>
          <w:szCs w:val="18"/>
          <w:color w:val="auto"/>
        </w:rPr>
        <w:t>additional Series B Preferred Stock after the closing of the Financing Transaction; (iii) incurrence by the Company and its subsidiaries of indebtedness other than any indebtedness that would be permitted to be incurred under the Company’s current credit agreement, excluding (A) indebtedness incurred in connection with refinancing the Company’s existing indebtedness outstanding, subject to certain limitations, and</w:t>
      </w:r>
    </w:p>
    <w:p>
      <w:pPr>
        <w:spacing w:after="0" w:line="2" w:lineRule="exact"/>
        <w:rPr>
          <w:sz w:val="20"/>
          <w:szCs w:val="20"/>
          <w:color w:val="auto"/>
        </w:rPr>
      </w:pPr>
    </w:p>
    <w:p>
      <w:pPr>
        <w:jc w:val="both"/>
        <w:ind w:left="3220"/>
        <w:spacing w:after="0" w:line="252" w:lineRule="auto"/>
        <w:rPr>
          <w:sz w:val="20"/>
          <w:szCs w:val="20"/>
          <w:color w:val="auto"/>
        </w:rPr>
      </w:pPr>
      <w:r>
        <w:rPr>
          <w:rFonts w:ascii="Times New Roman" w:cs="Times New Roman" w:eastAsia="Times New Roman" w:hAnsi="Times New Roman"/>
          <w:sz w:val="18"/>
          <w:szCs w:val="18"/>
          <w:color w:val="auto"/>
        </w:rPr>
        <w:t>(B) indebtedness the net proceeds of which are contemporaneously used to redeem all outstanding shares of Series B Preferred Stock; and (iv) the sale of assets outside the ordinary course of business of the Company, unless (A) such assets are sold for fair market value, (B) 85% of the consideration received in connection with the asset sale is in the form of cash or cash equivalents and (C) the Company uses the net cash proceeds from such asset sale to permanently repay its indebtedness, and any net cash proceeds in excess of $25 million are used to redeem shares of Series B Preferred Stock and/or pay Series B Dividends.</w:t>
      </w:r>
    </w:p>
    <w:p>
      <w:pPr>
        <w:spacing w:after="0" w:line="78" w:lineRule="exact"/>
        <w:rPr>
          <w:sz w:val="20"/>
          <w:szCs w:val="20"/>
          <w:color w:val="auto"/>
        </w:rPr>
      </w:pPr>
    </w:p>
    <w:p>
      <w:pPr>
        <w:jc w:val="both"/>
        <w:ind w:left="3220" w:hanging="3213"/>
        <w:spacing w:after="0" w:line="261" w:lineRule="auto"/>
        <w:tabs>
          <w:tab w:leader="none" w:pos="3200" w:val="left"/>
        </w:tabs>
        <w:rPr>
          <w:sz w:val="20"/>
          <w:szCs w:val="20"/>
          <w:color w:val="auto"/>
        </w:rPr>
      </w:pPr>
      <w:r>
        <w:rPr>
          <w:rFonts w:ascii="Times New Roman" w:cs="Times New Roman" w:eastAsia="Times New Roman" w:hAnsi="Times New Roman"/>
          <w:sz w:val="18"/>
          <w:szCs w:val="18"/>
          <w:b w:val="1"/>
          <w:bCs w:val="1"/>
          <w:color w:val="auto"/>
        </w:rPr>
        <w:t>Additional Consent Rights:</w:t>
      </w:r>
      <w:r>
        <w:rPr>
          <w:sz w:val="20"/>
          <w:szCs w:val="20"/>
          <w:color w:val="auto"/>
        </w:rPr>
        <w:tab/>
      </w:r>
      <w:r>
        <w:rPr>
          <w:rFonts w:ascii="Times New Roman" w:cs="Times New Roman" w:eastAsia="Times New Roman" w:hAnsi="Times New Roman"/>
          <w:sz w:val="18"/>
          <w:szCs w:val="18"/>
          <w:color w:val="auto"/>
        </w:rPr>
        <w:t>Until affiliates of Corre and Legion, respectively (the “Specified Holders”) cease to hold specified amounts of Series B Preferred Stock, the Company shall not, without the prior consent of each Specified Holder, consummate or effect change in control transactions, other than (a) a transaction not approved by the Company’s Board of Directors prior to the consummation thereof or (b) a Qualifying Transaction.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Warrants will be exercisable, in full or in part, at any time prior to the seventh anniversary of their issuance, at an exercise price of $12.00 per share, subject to customary anti-dilution adjustments in the event of future below market issuances, stock splits, stock dividends, combinations or similar events set forth in the Warrants. Unless and until the Stockholder Approval is obtained, the holders shall not have the right to acquire shares of Common Stock in a manner that would violate Nasdaq Listing Rule 5635. In addition, certain other ownership limitations apply to each of the Investors. The Warrant may be exercised for cash or on a cashless basis, based on an exercise price equal to the closing sale price on the immediately preceding trading day. In connection with a change of control transaction, any unexercised Warrants will be, under certain circumstances, deemed to have been exercised on a cashless basis.</w:t>
      </w:r>
    </w:p>
    <w:p>
      <w:pPr>
        <w:sectPr>
          <w:pgSz w:w="11900" w:h="16838" w:orient="portrait"/>
          <w:cols w:equalWidth="0" w:num="1">
            <w:col w:w="11020"/>
          </w:cols>
          <w:pgMar w:left="440" w:top="266" w:right="4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Warrant holders are entitled to participate in any dividend or other distribution by the Company to holders of shares of its Common Stock, on an as-exercised basis.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1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closing under the Purchase Agreement, the Investors will be granted certain customary registration rights with respect to their shares of Common Stock, including those underlying the Series B Preferred Stock and Warrants, shares of Series B Preferred Stock and the Warrants pursuant to the terms of a registration rights agreement. The registration rights agreement contains other customary terms and conditions, including mutual indemnifications by the Company and each Investor.</w:t>
      </w:r>
    </w:p>
    <w:p>
      <w:pPr>
        <w:spacing w:after="0" w:line="3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 OF EQUITY SECURITIES.</w:t>
      </w:r>
    </w:p>
    <w:p>
      <w:pPr>
        <w:spacing w:after="0" w:line="12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information contained in Item 1.01 of this Current Report on Form 8-K regarding the offer and sale of the Series B Preferred Stock and Warrants, the Purchase Agreement and the terms of the Series B Preferred Stock is incorporated herein by reference.</w:t>
      </w:r>
    </w:p>
    <w:p>
      <w:pPr>
        <w:spacing w:after="0" w:line="162"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securities in the Financing Transaction were offered and will be issued and sold in reliance upon the exemption from the registration requirements of the Securities Act of 1933, as amended (the “Securities Act”), set forth under Section 4(a)(2) of the Securities Act relating to sales by an issuer not involving any public offering and in reliance on similar exemptions under applicable state laws. Each Investor represented that it is an accredited investor and that it is acquiring the Series B Preferred Stock and Warrants for investment purposes and not with a view to any distribution of such securities in violation of the United States federal securities laws. Neither this Current Report on Form 8-K, nor the exhibit attached hereto is an offer to sell or the solicitation of an offer to buy the securities described herein.</w:t>
      </w:r>
    </w:p>
    <w:p>
      <w:pPr>
        <w:spacing w:after="0" w:line="33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On December 5, 2019, the Company issued a press release announcing the Financing Transaction. A copy of this press release is included as Exhibit 99.1 to this Current Report on Form 8-K.</w:t>
      </w:r>
    </w:p>
    <w:p>
      <w:pPr>
        <w:spacing w:after="0" w:line="162"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The information, including the press release, furnished under this Item 7.01 shall not be deemed “filed” for the purposes of Section 18 of the Securities Exchange Act of 1934, as amended (the “Exchange Act”), or otherwise subject to the liabilities of that section, and shall not be deemed incorporated by reference into any other filing by the Company under the Exchange Act or the Securities Act of 1933, as amended, except as otherwise expressly stated in such filing.</w:t>
      </w:r>
    </w:p>
    <w:p>
      <w:pPr>
        <w:spacing w:after="0" w:line="3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3" w:lineRule="exact"/>
        <w:rPr>
          <w:sz w:val="20"/>
          <w:szCs w:val="20"/>
          <w:color w:val="auto"/>
        </w:rPr>
      </w:pPr>
    </w:p>
    <w:p>
      <w:pPr>
        <w:ind w:left="440" w:hanging="436"/>
        <w:spacing w:after="0"/>
        <w:tabs>
          <w:tab w:leader="none" w:pos="4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80" w:type="dxa"/>
            <w:vAlign w:val="bottom"/>
            <w:vMerge w:val="restart"/>
          </w:tcPr>
          <w:p>
            <w:pPr>
              <w:ind w:left="258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90"/>
        </w:trPr>
        <w:tc>
          <w:tcPr>
            <w:tcW w:w="302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rPr>
              <w:t>No.</w:t>
            </w:r>
          </w:p>
        </w:tc>
        <w:tc>
          <w:tcPr>
            <w:tcW w:w="3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53" w:lineRule="exact"/>
        <w:rPr>
          <w:sz w:val="20"/>
          <w:szCs w:val="20"/>
          <w:color w:val="auto"/>
        </w:rPr>
      </w:pPr>
    </w:p>
    <w:p>
      <w:pPr>
        <w:spacing w:after="0"/>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8">
        <w:r>
          <w:rPr>
            <w:rFonts w:ascii="Times New Roman" w:cs="Times New Roman" w:eastAsia="Times New Roman" w:hAnsi="Times New Roman"/>
            <w:sz w:val="18"/>
            <w:szCs w:val="18"/>
            <w:u w:val="single" w:color="auto"/>
            <w:color w:val="0000EE"/>
          </w:rPr>
          <w:t>Press Release issued by NN, Inc. dated December 5, 2019</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Except for specific historical information, many of the matters discussed in this Current Report on Form 8-K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the Company’s ability to close the Financing Transaction on the terms described herein or in a timely manner, if at all; the Company’s failure to realize</w:t>
      </w:r>
    </w:p>
    <w:p>
      <w:pPr>
        <w:sectPr>
          <w:pgSz w:w="11900" w:h="16838" w:orient="portrait"/>
          <w:cols w:equalWidth="0" w:num="1">
            <w:col w:w="11020"/>
          </w:cols>
          <w:pgMar w:left="440" w:top="270" w:right="439" w:bottom="1440" w:gutter="0" w:footer="0" w:header="0"/>
        </w:sectPr>
      </w:pPr>
    </w:p>
    <w:bookmarkStart w:id="5" w:name="page6"/>
    <w:bookmarkEnd w:id="5"/>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intended benefits of the Financing Transaction, the inability to pay cash dividends on the Series B Preferred Stock, thus increasing the dilutive impact of the Financing Transaction; the inability of the Company to redeem the Series B Preferred Stock, in cash, if there has been no conversion, change in control or liquidity event;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level of the Company’s indebtedness, the restrictions contained in the Company’s debt agreements, the Company’s ability to obtain financing at favorable rates, if at all, and to refinance existing debt as it matures,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2018 and the Company’s Quarterly Report on Form 10-Q for the three months ended September 30, 2019. Except as required by law, we undertake no obligation to update or revise any forward-looking statements we make in Current Reports on Form 8-K, whether as a result of new information, future events or otherwise.</w:t>
      </w:r>
    </w:p>
    <w:p>
      <w:pPr>
        <w:sectPr>
          <w:pgSz w:w="11900" w:h="16838" w:orient="portrait"/>
          <w:cols w:equalWidth="0" w:num="1">
            <w:col w:w="11020"/>
          </w:cols>
          <w:pgMar w:left="440" w:top="268" w:right="4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2019</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Matthew S. Heiter</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Matthew S. Heiter</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General Counsel</w:t>
            </w:r>
          </w:p>
        </w:tc>
      </w:tr>
    </w:tbl>
    <w:p>
      <w:pPr>
        <w:sectPr>
          <w:pgSz w:w="11900" w:h="16838" w:orient="portrait"/>
          <w:cols w:equalWidth="0" w:num="1">
            <w:col w:w="11040"/>
          </w:cols>
          <w:pgMar w:left="440" w:top="266" w:right="4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5160645</wp:posOffset>
            </wp:positionH>
            <wp:positionV relativeFrom="paragraph">
              <wp:posOffset>174625</wp:posOffset>
            </wp:positionV>
            <wp:extent cx="1844040" cy="557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44040" cy="5575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731520</wp:posOffset>
            </wp:positionV>
            <wp:extent cx="823595" cy="797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359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ABERNATHY MACGREGOR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Claire Walsh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info)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371-5999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5, 2019</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 Announces $100 Million Private Placement of Series B Preferred Stock</w:t>
      </w:r>
    </w:p>
    <w:p>
      <w:pPr>
        <w:spacing w:after="0" w:line="22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Charlotte, N.C., December 5, 2019 – </w:t>
      </w:r>
      <w:r>
        <w:rPr>
          <w:rFonts w:ascii="Times New Roman" w:cs="Times New Roman" w:eastAsia="Times New Roman" w:hAnsi="Times New Roman"/>
          <w:sz w:val="18"/>
          <w:szCs w:val="18"/>
          <w:color w:val="auto"/>
        </w:rPr>
        <w:t>NN, Inc. (NASDAQ: NNBR), a diversified industrial company, today announced that it has entered into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with affiliates of Corre Partners Management, LLC and Legion Partners Asset Management, LLC, two large existing stockholders of NN, to make a $100 million strategic investment in NN in the form of perpetual preferred stock. NN expects to use the proceeds to repay the outstanding amounts on the Company’s senior secured revolving credit facility, to pay any fees in connection with a possible extension of the maturity date of the Company’s debt, and for general corporate purposes. Closing is expected to occur on or before December 10, 2019, subject to customary closing conditions.</w:t>
      </w:r>
    </w:p>
    <w:p>
      <w:pPr>
        <w:spacing w:after="0" w:line="187"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Warren Veltman, interim President and CEO, commented, “After concluding a comprehensive review of both public and private financing alternatives, we determined that this transaction expedites the de-levering of our business, improves our credit profile and provides liquidity. This transaction also provides flexibility with the option to redeem the Series B preferred stock with cash, which would minimize the dilution to our stockholders.”</w:t>
      </w:r>
    </w:p>
    <w:p>
      <w:pPr>
        <w:spacing w:after="0" w:line="15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October of this year, we announced several initiatives to reduce costs and improve our cash flow, and in November we began a full strategic review of our business aimed at identifying opportunities to further enhance shareholder value. This financing is an important step that will enhance our ability to invest in key customer relationships and support our operations as we explore strategic alternatives. In short, we view this investment by two of our largest investors as a tremendous vote of confidence in us and our direction.”</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Under the securities purchase agreement, affiliates of Corre and Legion will purchase, in aggregate, $100 million of Series B Convertible Preferred Stock and receive warrants with a 7 year term to purchase, in the aggregate, 1,500,000 shares of NN common stock at $12.00 per share. The preferred stock includes the following attributes: perpetual in nature; a 10.625% dividend per annum, payable in</w:t>
      </w:r>
    </w:p>
    <w:p>
      <w:pPr>
        <w:sectPr>
          <w:pgSz w:w="11900" w:h="16838" w:orient="portrait"/>
          <w:cols w:equalWidth="0" w:num="1">
            <w:col w:w="11020"/>
          </w:cols>
          <w:pgMar w:left="440" w:top="117" w:right="439" w:bottom="1440" w:gutter="0" w:footer="0" w:header="0"/>
        </w:sectPr>
      </w:pPr>
    </w:p>
    <w:bookmarkStart w:id="8" w:name="page9"/>
    <w:bookmarkEnd w:id="8"/>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or additional shares of Series B Convertible Preferred Stock; redeemable, in cash (or, under certain circumstances, in stock), subject to the applicable redemption premium; convertible on certain terms and conditions on or after December 31, 2023; and subject to certain other rights and obligations. NN has also agreed to provide demand registration rights exercisable beginning on March 31, 2021. Additional information regarding the investment will be included in a Form 8-K to be filed by NN, Inc.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acted as exclusive placement agent to NN.</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securities to be sold by NN, Inc. pursuant to the transactions described above have not been registered under the Securities Act of 1933 or any state securities laws and may not be offered or sold in the United States absent registration with the U.S. Securities and Exchange Commission or an applicable exemption from such registration requirements.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the securities, nor will there be any sale of the securities in any jurisdiction in which such offer, solicitation or sale would be unlawful prior to the registration or qualification under the securities laws of such jurisdiction.</w:t>
      </w:r>
    </w:p>
    <w:p>
      <w:pPr>
        <w:spacing w:after="0" w:line="17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50 facilities in North America, Europe, South America and China.</w:t>
      </w:r>
    </w:p>
    <w:p>
      <w:pPr>
        <w:spacing w:after="0" w:line="1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the Company’s ability to close the financing on the terms described herein or in a timely manner, if at all; the Company’s failure to realize the intended benefits of the financing, the inability to pay cash dividends on the preferred stock, thus increasing the dilutive impact of the financing; the inability of the Company to redeem the preferred stock, in cash, if there has been no conversion, change in control or liquidity event;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level of the Company’s indebtedness, the restrictions contained in the Company’s debt agreements, the Company’s ability to obtain financing at favorable rates, if at all, and to refinance existing debt as it matures,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9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2018 and the Company’s Quarterly Report on Form 10-Q for the three months ended September 30, 2019.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2019-12-28T01:04:54Z</dcterms:created>
  <dcterms:modified xsi:type="dcterms:W3CDTF">2019-12-28T01:04:54Z</dcterms:modified>
</cp:coreProperties>
</file>