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March 14, 2019 (March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179070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367665</wp:posOffset>
            </wp:positionV>
            <wp:extent cx="78041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041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33"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300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152400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On March 13, 2019, NN, Inc. (the “Company”) issued a press release announcing the Company’s financial results for the quarter and year ended December 31, 2018. The full text of the press release is furnished as Exhibit 99.1 and is incorporated herein by reference.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 of this Current Report on Form 8-K (including Exhibit 99.1) is deemed to have been furnished and shall not be deemed to be “filed”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18 of the Securities Exchange Act of 1934, as amended, or otherwise subject to the liabilities of that section. Such information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into any filing of the Company, whether made before or after the date hereof, regardless of any general incorporation language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such filing.</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1060" w:type="dxa"/>
            <w:vAlign w:val="bottom"/>
            <w:gridSpan w:val="2"/>
          </w:tcPr>
          <w:p>
            <w:pPr>
              <w:jc w:val="right"/>
              <w:ind w:right="668"/>
              <w:spacing w:after="0"/>
              <w:rPr>
                <w:sz w:val="20"/>
                <w:szCs w:val="20"/>
                <w:color w:val="auto"/>
              </w:rPr>
            </w:pPr>
            <w:r>
              <w:rPr>
                <w:rFonts w:ascii="Arial" w:cs="Arial" w:eastAsia="Arial" w:hAnsi="Arial"/>
                <w:sz w:val="18"/>
                <w:szCs w:val="18"/>
                <w:color w:val="auto"/>
                <w:w w:val="85"/>
              </w:rPr>
              <w:t>99.1</w:t>
            </w:r>
          </w:p>
        </w:tc>
        <w:tc>
          <w:tcPr>
            <w:tcW w:w="380" w:type="dxa"/>
            <w:vAlign w:val="bottom"/>
          </w:tcPr>
          <w:p>
            <w:pPr>
              <w:spacing w:after="0"/>
              <w:rPr>
                <w:sz w:val="23"/>
                <w:szCs w:val="23"/>
                <w:color w:val="auto"/>
              </w:rPr>
            </w:pPr>
          </w:p>
        </w:tc>
        <w:tc>
          <w:tcPr>
            <w:tcW w:w="40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NN, Inc., dated March 13, 2019</w:t>
              </w:r>
            </w:hyperlink>
          </w:p>
        </w:tc>
        <w:tc>
          <w:tcPr>
            <w:tcW w:w="5540" w:type="dxa"/>
            <w:vAlign w:val="bottom"/>
          </w:tcPr>
          <w:p>
            <w:pPr>
              <w:spacing w:after="0"/>
              <w:rPr>
                <w:sz w:val="23"/>
                <w:szCs w:val="23"/>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S. Heiter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857885" cy="892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885" cy="892175"/>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172085</wp:posOffset>
            </wp:positionV>
            <wp:extent cx="180086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8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Charlotte, NC 28277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FOURTH QUARTER AND FULL YEAR 2018 RESULTS</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Charlotte, NC, March 13, 2019</w:t>
      </w:r>
      <w:r>
        <w:rPr>
          <w:rFonts w:ascii="Arial" w:cs="Arial" w:eastAsia="Arial" w:hAnsi="Arial"/>
          <w:sz w:val="18"/>
          <w:szCs w:val="18"/>
          <w:color w:val="auto"/>
        </w:rPr>
        <w:t>—NN, Inc., (NASDAQ: NNBR), a diversified industrial company, today reported its financial results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and the year ended December 31,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Net sales for the fourth quarter of 2018 increased $43.4 million, or 27.8%, to $199.5 million, compared to $156.1 million for the fourth quarter of 2017. Growth was driven by $39.2 million from acquisitions at their historical amounts prior to being acquired, and organic growth of $6.9 million representing the year over year increase in sales from acquired and legacy businesses combined, offset by foreign exchange impacts of $2.7 million.</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a GAAP basis, the operating loss for the fourth quarter of 2018 was $188.2 million, compared to income from operations of $1.1 million for the same period in 2017. The loss was the result of the previously disclosed non-cash impairment charges recorded in the Power Solutions and Mobile Solutions segments in the amounts of $109.1 million and $73.4 million, respectively. The Company does not expect the impairment charge to have any impact on future operations, affect its liquidity, affect cash flows from operating activities, or affect compliance with the financial covenants set forth in its debt instruments. The Company did not record any impairment charges in the Life Sciences segment.</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loss on a GAAP basis for fourth quarter of 2018 was $220.2 million. This compares to net income on a GAAP basis of $50.8 million in the fourth quarter of 2017. The fourth quarter of 2018 net income included $199.1 million of impairment impacts previously discussed, while the fourth quarter of 2017 included a $52 million benefit from the Tax Cuts and Jobs Act.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 GAAP basis, income from operations for fourth quarter 2018 in the Life Sciences segment was $6.2 million, driven by the Paragon acquisition and operating improvements, compared to $2.8 million for the same period in 2017.</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 GAAP basis, loss from operations for fourth quarter 2018 in the Mobile Solutions segment was $75.9 million, compared to income from operations of $6.3 million for the same period in 2017, with 2018 being unfavorably impacted due to the goodwill impairment of $73.4 million.</w:t>
      </w:r>
    </w:p>
    <w:p>
      <w:pPr>
        <w:sectPr>
          <w:pgSz w:w="11900" w:h="16838" w:orient="portrait"/>
          <w:cols w:equalWidth="0" w:num="1">
            <w:col w:w="11020"/>
          </w:cols>
          <w:pgMar w:left="440" w:top="121" w:right="439" w:bottom="1440" w:gutter="0" w:footer="0" w:header="0"/>
        </w:sectPr>
      </w:pPr>
    </w:p>
    <w:bookmarkStart w:id="4" w:name="page5"/>
    <w:bookmarkEnd w:id="4"/>
    <w:p>
      <w:pPr>
        <w:ind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 GAAP basis, loss from operations for fourth quarter 2018 in the Power Solutions segment was $109.1 million, compared to income from operations of $5.7 million for the same period in 2017 with 2018 being unfavorably impacted due to the goodwill impairment of $109.1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sales for 2018 increased $150.9 million, or 24.3%, to $770.7 million, compared to $619.8 million for 2017. Growth was driven by $133.9 million from acquisitions at their historical amounts prior to being acquired, and organic growth of $19.1 million representing the year over year increase in sales from acquired and legacy businesses combined, offset by foreign exchange impacts of $2.1 million. Organic growth primarily in the Life Sciences segment accounted for the increase.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On a GAAP basis, loss from operations for 2018 was $178.9 million, compared to income from operations of $33.1 million for the same period in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due to non-cash impairment charges. Net loss on a GAAP basis for 2018 was $264.5 million., This compared to net income on a GAAP basis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$163.1 million in 2017. 2018 net income included $199.1 million of impairment impacts. 2017 net income included $137.7 million of income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net of tax which was primarily related to the gain on sale of our former Precision Bearings business plus $52 million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the Tax Cuts and Jobs Act.</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 GAAP basis, income from operations for 2018 in the Life Sciences segment was $19.1 million, compared to $13.3 million for the same period in 2017. Growth was driven by the Paragon acquisition and operating improvements.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On a GAAP basis, the loss from operations for 2018 in the Mobile Solutions segment were $54.1 million, compared to income from operations of $34.4 million for the same period in 2017, with 2018 unfavorably impacted due to a goodwill impairment of $73.4 million.</w:t>
      </w:r>
    </w:p>
    <w:p>
      <w:pPr>
        <w:spacing w:after="0" w:line="14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On a GAAP basis, the loss from operations for 2018 in the Power Solutions segment were $95.1 million, compared to income from operations of $23.4 million for the same period in 2017, with 2018 unfavorably impacted due to a goodwill impairment of $109.1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income from operations for the fourth quarter of 2018 was $23.6 million, compared to $13.7 million for the same period in 2017. Adjusted net income was $9.3 million, or $0.22 per diluted share, compared to $8.3 million, or $0.30 per diluted share, for the same period in 2017. Prior to the fourth quarter 2018, NN issued 14.2 million shares.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Richard Holder, President and Chief Executive Officer, commented, “During the fourth quarter of 2018, we were faced with significant market headwinds, customer issues within Power Solutions and a slowing market in Mobile Solutions, which challenged our top line. Organic sales growth in our Life Sciences group, coupled with synergy capture, offset some of these challenges and drove NN’s overall margin expansion and net income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Net sales for the fourth quarter of 2018 were $79.5 million, compared to $29.9 million in the fourth quarter of 2017, an increase of 165.9% or $49.6 million. Adjusted income from operations for the quarter was $15.7 million, compared to $6.1 million in 2017.</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Mr. Holder commented, “Life Sciences continued its strong momentum throughout the fourth quarter, in line with our expectations in both revenue and adjusted operating profit.”</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Mobile Solutions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Net sales for the fourth quarter of 2018 were $75.4 million, compared to $82.1 million in the fourth quarter of 2017, a decrease of 8.2% or $6.7 million. Adjusted income from operations for the quarter decreased $2.9 million to $4.5 million, compared to $7.4 million in the fourth quarter of 2017. The slowing demand in China, coupled with costs incurred in new program launches impacted sales and adjusted operating income during the quarter.</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Mr. Holder commented, “Despite facing some market headwinds, Mobile Solutions continues to focus on improving its operating performance and production efficiency as we transition our record number of new programs to full production during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fourth quarter of 2018 were $45.2 million, compared to $44.6 million in the fourth quarter of 2017, an increase of 1.3% or $0.6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income from operations for the quarter was $5.8 million, compared to $9.0 million in 2017.</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Holder commented, “We are making targeted strategic investments in Power Solutions, primarily in Aerospace and Defense, to support this growing segment of the business. This approach is consistent with NN’s portfolio strategy and overall focus on expanding our presence in the growing electrical and aerospace end 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Adjusted income from operations for 2018 was $92.5 million, compared to $68.5 million for the same period in 2017. Adjusted net income increased to $37.2 million, or $1.17 per diluted share, from $30.6 million, or $1.10 per diluted share, for the same period in 2017.</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Richard Holder, President and Chief Executive Officer, commented, “The acquisitions completed during late 2017 and early 2018 have transformed our business, in line with our strategic objectives. We have seen strong organic sales growth in our Life Sciences segment and improving margins from these additions to the NN portfolio. After facing some market-driven challenges in our Mobile Solutions business and customer manufacturing issues in our Power Solutions business, we have focused on maximizing our processes and systems to improve profitability while investing in new program start-ups and product line expansions to continue to capture growth opportunities in line with our strategic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sales for 2018 were $248.2 million, compared to $98.3 million in 2017, an increase of 152.5% or $149.9 million. Adjusted income from operations for the year was $51.6 million, compared to $23.2 million in 2017.</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Holder commented, “With the full acquisitions of Paragon and Bridgemedica in 2018, and ongoing organic growth from our legacy portfolio, Life Sciences has been a significant growth and profitability driver of 2018 for NN. We continue to grow sales at double digit rates and improve profitability each sequential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sales for 2018 were $335.0 million, compared to $336.9 million in 2017, a decrease of 0.6% or $1.9 million. Adjusted income from operations for the year decreased $7.9 million to $31.1 million, compared to $39.0 million in 2017. The slowing demand in China, coupled with costs incurred in new program launches impacted sales and adjusted operating income during the year.</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Mr. Holder commented, “While the global automotive market continues to experience challenges, the launch of a record number of large multi-year programs helped offset these market headwinds.”</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Solutions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sales for 2018 were $189.8 million, compared to $186.6 million in 2017, an increase of 1.7% or $3.2 million. Adjusted income from operations for the year was $33.6 million, compared to $35.5 million in 2017.</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Mr. Holder commented, “Power Solutions continues to be a business in transformation, and we are focused on investing in and growing our aerospace business in line with market demands. This has been an important step as our 2018 order intake run rate was consistent with our expectations.”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full set of financial guidance for the fourth quarter and full year 2018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20" w:firstLine="4"/>
        <w:spacing w:after="0" w:line="286" w:lineRule="auto"/>
        <w:tabs>
          <w:tab w:leader="none" w:pos="305"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will discuss its results during its quarterly investor conference call on March 14, 2019 at 9:00 a.m. ET. The call and supplemental presentation may be accessed via NN’s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conference call can also be accessed by dialing 1-888-394-8218 or 1-323-794-2588 Conference ID: 7135086. For those who are unavailable to listen to the live broadcast, a replay will be available shortly after the call for 30 days.</w:t>
      </w:r>
    </w:p>
    <w:p>
      <w:pPr>
        <w:spacing w:after="0" w:line="166" w:lineRule="exact"/>
        <w:rPr>
          <w:sz w:val="20"/>
          <w:szCs w:val="20"/>
          <w:color w:val="auto"/>
        </w:rPr>
      </w:pPr>
    </w:p>
    <w:p>
      <w:pPr>
        <w:ind w:right="280" w:firstLine="4"/>
        <w:spacing w:after="0" w:line="259"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net income (loss) and adjusted net income per diluted share. Each of adjusted income from operations, adjusted net income (loss) and adjusted net income per diluted share provide supplementary information about the impacts of restructuring and integration expense, acquisition and transition expenses, foreign-exchange, amortization of intangibles and other non-operating impacts on our business.</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financial tables found later in this press release include a reconciliation of adjusted income from operations, adjusted net income (loss) and adjusted net income (loss) per diluted share to the U.S. GAAP financial measures of income from operations, net income (loss) and net income (loss) per diluted share.</w:t>
      </w:r>
    </w:p>
    <w:p>
      <w:pPr>
        <w:spacing w:after="0" w:line="18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51 facilities in North America, Western Europe, Eastern Europe, South America and China.</w:t>
      </w:r>
    </w:p>
    <w:p>
      <w:pPr>
        <w:spacing w:after="0" w:line="161"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3"/>
          <w:szCs w:val="13"/>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we undertake no obligation to update or revise any forward-looking statements we make in our press releases, whether as a result of new information, future events or otherwise.</w:t>
      </w:r>
    </w:p>
    <w:p>
      <w:pPr>
        <w:sectPr>
          <w:pgSz w:w="11900" w:h="16838" w:orient="portrait"/>
          <w:cols w:equalWidth="0" w:num="1">
            <w:col w:w="11000"/>
          </w:cols>
          <w:pgMar w:left="440" w:top="270"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 Follow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156,135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770,657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156,713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118,814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588,205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459,080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182,542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182,542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Restructuring and integration expense,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(188,170)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(178,888)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Derivative payments on interest rate swap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(gain) on change in interest rate swap fair value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Loss from continuing operations before benefit for income taxes and share of net income from joint</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venture</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(202,280)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(12,569)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(261,034)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from joint venture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(220,189)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(264,467)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 (Note 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137,688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(220,189</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(264,467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163,052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Change in fair value of interest rate swap</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 for discontinued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(219,560</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(278,347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175,903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Income (loss) from continuing operations per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per share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Income from discontinued operations per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4" w:right="4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Adjusted Income from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NN, Inc. Consolidated</w:t>
            </w:r>
          </w:p>
        </w:tc>
        <w:tc>
          <w:tcPr>
            <w:tcW w:w="2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(188,170)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(178,888)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187,778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187,778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2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199,477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156,135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770,657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619,793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Mobile Solutions</w:t>
            </w:r>
          </w:p>
        </w:tc>
        <w:tc>
          <w:tcPr>
            <w:tcW w:w="2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(75,925)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(54,103)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2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335,037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Power Solutions</w:t>
            </w:r>
          </w:p>
        </w:tc>
        <w:tc>
          <w:tcPr>
            <w:tcW w:w="2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(109,054)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(95,115)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2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189,778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Life Sciences</w:t>
            </w:r>
          </w:p>
        </w:tc>
        <w:tc>
          <w:tcPr>
            <w:tcW w:w="2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2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248,173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Net Income (Loss) to Non-GAAP Adjusted Net Income (Loss)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Net Income (Loss) per Diluted Share to Non-GAAP Adjusted Net Income (Loss) per Diluted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ind w:left="1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$000s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ind w:lef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(220,189)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50,818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(264,467)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163,052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rPr>
                <w:sz w:val="20"/>
                <w:szCs w:val="20"/>
                <w:color w:val="auto"/>
              </w:rPr>
            </w:pPr>
            <w:r>
              <w:rPr>
                <w:rFonts w:ascii="Arial" w:cs="Arial" w:eastAsia="Arial" w:hAnsi="Arial"/>
                <w:sz w:val="18"/>
                <w:szCs w:val="18"/>
                <w:color w:val="auto"/>
              </w:rPr>
              <w:t>Pre-tax acquisition and transition expense</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15,568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48,952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Pre-tax gain on change in fair value of interest rate swap</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impairments of fixed asset costs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Tax effect of adjustment reflected above (b)</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(6,772)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JV)</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199,131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199,131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Impact due to tax cuts and jobs act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(51,823)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Diversture of Business Segment, exclusive of tax reform</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(137,688)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(loss) (c)</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6"/>
          </w:tcPr>
          <w:p>
            <w:pPr>
              <w:ind w:left="1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Amounts per share, diluted</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ind w:lef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(loss) per diluted share</w:t>
            </w:r>
          </w:p>
        </w:tc>
        <w:tc>
          <w:tcPr>
            <w:tcW w:w="1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rPr>
                <w:sz w:val="20"/>
                <w:szCs w:val="20"/>
                <w:color w:val="auto"/>
              </w:rPr>
            </w:pPr>
            <w:r>
              <w:rPr>
                <w:rFonts w:ascii="Arial" w:cs="Arial" w:eastAsia="Arial" w:hAnsi="Arial"/>
                <w:sz w:val="18"/>
                <w:szCs w:val="18"/>
                <w:color w:val="auto"/>
              </w:rPr>
              <w:t>Pre-tax acquisition and transition expense</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Pre-tax gain on change in fair value of interest rate swap</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impairments of fixed asset costs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Tax effect of adjustment reflected above (b)</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JV)</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Impact due to tax cuts and jobs act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Diversture of Business Segment, exclusive of tax reform</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(loss) per diluted share (c)</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diluted</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27,925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0" w:name="page11"/>
    <w:bookmarkEnd w:id="10"/>
    <w:p>
      <w:pPr>
        <w:spacing w:after="0" w:line="227"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discloses in this presentation the non-GAAP financial measures of adjusted income from operations, adjusted net income (loss), and adjusted net income per diluted share. Each of these non-GAAP financial measures provides supplementary information about the impacts of acquisition, divestiture and integration related expenses, foreign-exchange impacts on inter-company loans, reorganizational and impairment charges. Over the past four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net income (loss), and adjusted net income per diluted share provide useful information in assessing our underlying business trends and facilitates comparison of our long-term performance over given periods.</w:t>
      </w:r>
    </w:p>
    <w:p>
      <w:pPr>
        <w:spacing w:after="0" w:line="183"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2" w:lineRule="exact"/>
        <w:rPr>
          <w:sz w:val="20"/>
          <w:szCs w:val="20"/>
          <w:color w:val="auto"/>
        </w:rPr>
      </w:pPr>
    </w:p>
    <w:p>
      <w:pPr>
        <w:ind w:right="40" w:firstLine="4"/>
        <w:spacing w:after="0" w:line="251" w:lineRule="auto"/>
        <w:tabs>
          <w:tab w:leader="none" w:pos="196"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77" w:lineRule="exact"/>
        <w:rPr>
          <w:rFonts w:ascii="Arial" w:cs="Arial" w:eastAsia="Arial" w:hAnsi="Arial"/>
          <w:sz w:val="13"/>
          <w:szCs w:val="13"/>
          <w:color w:val="auto"/>
        </w:rPr>
      </w:pPr>
    </w:p>
    <w:p>
      <w:pPr>
        <w:ind w:right="360" w:firstLine="4"/>
        <w:spacing w:after="0" w:line="264" w:lineRule="auto"/>
        <w:tabs>
          <w:tab w:leader="none" w:pos="204"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p>
      <w:pPr>
        <w:spacing w:after="0" w:line="168" w:lineRule="exact"/>
        <w:rPr>
          <w:rFonts w:ascii="Arial" w:cs="Arial" w:eastAsia="Arial" w:hAnsi="Arial"/>
          <w:sz w:val="13"/>
          <w:szCs w:val="13"/>
          <w:color w:val="auto"/>
        </w:rPr>
      </w:pPr>
    </w:p>
    <w:p>
      <w:pPr>
        <w:ind w:right="20" w:firstLine="4"/>
        <w:spacing w:after="0" w:line="247" w:lineRule="auto"/>
        <w:tabs>
          <w:tab w:leader="none" w:pos="196"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gains and losses in the fair value of interest rate swaps, estimated interest expense on cash held from divestiture, non-cash impairment charges, the impact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sectPr>
      <w:pgSz w:w="11900" w:h="16838" w:orient="portrait"/>
      <w:cols w:equalWidth="0" w:num="1">
        <w:col w:w="11020"/>
      </w:cols>
      <w:pgMar w:left="440" w:top="26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40"/>
    </w:lvl>
  </w:abstractNum>
  <w:abstractNum w:abstractNumId="2">
    <w:nsid w:val="2AE8944A"/>
    <w:multiLevelType w:val="hybridMultilevel"/>
    <w:lvl w:ilvl="0">
      <w:lvlJc w:val="left"/>
      <w:lvlText w:val="%1"/>
      <w:numFmt w:val="upperLetter"/>
      <w:start w:val="40"/>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2019-12-28T14:22:13Z</dcterms:created>
  <dcterms:modified xsi:type="dcterms:W3CDTF">2019-12-28T14:22:13Z</dcterms:modified>
</cp:coreProperties>
</file>