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748665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774700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2"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99"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2276475</wp:posOffset>
            </wp:positionH>
            <wp:positionV relativeFrom="paragraph">
              <wp:posOffset>128270</wp:posOffset>
            </wp:positionV>
            <wp:extent cx="259715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73"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2276475</wp:posOffset>
            </wp:positionH>
            <wp:positionV relativeFrom="paragraph">
              <wp:posOffset>155575</wp:posOffset>
            </wp:positionV>
            <wp:extent cx="259715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32" w:lineRule="exact"/>
        <w:rPr>
          <w:sz w:val="24"/>
          <w:szCs w:val="24"/>
          <w:color w:val="auto"/>
        </w:rPr>
      </w:pPr>
    </w:p>
    <w:p>
      <w:pPr>
        <w:ind w:left="360" w:hanging="334"/>
        <w:spacing w:after="0"/>
        <w:tabs>
          <w:tab w:leader="none" w:pos="36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6"/>
          <w:szCs w:val="16"/>
          <w:b w:val="1"/>
          <w:bCs w:val="1"/>
          <w:color w:val="auto"/>
        </w:rPr>
        <w:t>QUARTERLY REPORT PURSUANT TO SECTION 13 OR 15(d) OF THE 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25" w:lineRule="exact"/>
        <w:rPr>
          <w:sz w:val="24"/>
          <w:szCs w:val="24"/>
          <w:color w:val="auto"/>
        </w:rPr>
      </w:pPr>
    </w:p>
    <w:p>
      <w:pPr>
        <w:ind w:left="360" w:hanging="334"/>
        <w:spacing w:after="0"/>
        <w:tabs>
          <w:tab w:leader="none" w:pos="360"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208" w:lineRule="exact"/>
        <w:rPr>
          <w:sz w:val="24"/>
          <w:szCs w:val="24"/>
          <w:color w:val="auto"/>
        </w:rPr>
      </w:pPr>
    </w:p>
    <w:p>
      <w:pPr>
        <w:ind w:left="3640"/>
        <w:spacing w:after="0"/>
        <w:tabs>
          <w:tab w:leader="none" w:pos="6600" w:val="left"/>
        </w:tabs>
        <w:rPr>
          <w:sz w:val="20"/>
          <w:szCs w:val="20"/>
          <w:color w:val="auto"/>
        </w:rPr>
      </w:pPr>
      <w:r>
        <w:rPr>
          <w:rFonts w:ascii="Times New Roman" w:cs="Times New Roman" w:eastAsia="Times New Roman" w:hAnsi="Times New Roman"/>
          <w:sz w:val="16"/>
          <w:szCs w:val="16"/>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3665855</wp:posOffset>
            </wp:positionH>
            <wp:positionV relativeFrom="paragraph">
              <wp:posOffset>-3175</wp:posOffset>
            </wp:positionV>
            <wp:extent cx="11658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65860" cy="8255"/>
                    </a:xfrm>
                    <a:prstGeom prst="rect">
                      <a:avLst/>
                    </a:prstGeom>
                    <a:noFill/>
                  </pic:spPr>
                </pic:pic>
              </a:graphicData>
            </a:graphic>
          </wp:anchor>
        </w:drawing>
      </w:r>
    </w:p>
    <w:p>
      <w:pPr>
        <w:spacing w:after="0" w:line="107"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Commission File Number 000-23486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2276475</wp:posOffset>
            </wp:positionH>
            <wp:positionV relativeFrom="paragraph">
              <wp:posOffset>64770</wp:posOffset>
            </wp:positionV>
            <wp:extent cx="259715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597150" cy="8255"/>
                    </a:xfrm>
                    <a:prstGeom prst="rect">
                      <a:avLst/>
                    </a:prstGeom>
                    <a:noFill/>
                  </pic:spPr>
                </pic:pic>
              </a:graphicData>
            </a:graphic>
          </wp:anchor>
        </w:drawing>
        <w:drawing>
          <wp:anchor simplePos="0" relativeHeight="251657728" behindDoc="1" locked="0" layoutInCell="0" allowOverlap="1">
            <wp:simplePos x="0" y="0"/>
            <wp:positionH relativeFrom="column">
              <wp:posOffset>3390900</wp:posOffset>
            </wp:positionH>
            <wp:positionV relativeFrom="paragraph">
              <wp:posOffset>201930</wp:posOffset>
            </wp:positionV>
            <wp:extent cx="394335" cy="3943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94335" cy="3943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3" w:lineRule="exact"/>
        <w:rPr>
          <w:sz w:val="24"/>
          <w:szCs w:val="24"/>
          <w:color w:val="auto"/>
        </w:rPr>
      </w:pPr>
    </w:p>
    <w:tbl>
      <w:tblPr>
        <w:tblLayout w:type="fixed"/>
        <w:tblInd w:w="660" w:type="dxa"/>
        <w:tblCellMar>
          <w:top w:w="0" w:type="dxa"/>
          <w:left w:w="0" w:type="dxa"/>
          <w:bottom w:w="0" w:type="dxa"/>
          <w:right w:w="0" w:type="dxa"/>
        </w:tblCellMar>
      </w:tblPr>
      <w:tr>
        <w:trPr>
          <w:trHeight w:val="409"/>
        </w:trPr>
        <w:tc>
          <w:tcPr>
            <w:tcW w:w="2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960" w:type="dxa"/>
            <w:vAlign w:val="bottom"/>
          </w:tcPr>
          <w:p>
            <w:pPr>
              <w:jc w:val="center"/>
              <w:ind w:right="74"/>
              <w:spacing w:after="0"/>
              <w:rPr>
                <w:sz w:val="20"/>
                <w:szCs w:val="20"/>
                <w:color w:val="auto"/>
              </w:rPr>
            </w:pPr>
            <w:r>
              <w:rPr>
                <w:rFonts w:ascii="Times New Roman" w:cs="Times New Roman" w:eastAsia="Times New Roman" w:hAnsi="Times New Roman"/>
                <w:sz w:val="32"/>
                <w:szCs w:val="32"/>
                <w:b w:val="1"/>
                <w:bCs w:val="1"/>
                <w:color w:val="auto"/>
              </w:rPr>
              <w:t>NN, Inc.</w:t>
            </w:r>
          </w:p>
        </w:tc>
        <w:tc>
          <w:tcPr>
            <w:tcW w:w="2920" w:type="dxa"/>
            <w:vAlign w:val="bottom"/>
          </w:tcPr>
          <w:p>
            <w:pPr>
              <w:spacing w:after="0"/>
              <w:rPr>
                <w:sz w:val="24"/>
                <w:szCs w:val="24"/>
                <w:color w:val="auto"/>
              </w:rPr>
            </w:pPr>
          </w:p>
        </w:tc>
      </w:tr>
      <w:tr>
        <w:trPr>
          <w:trHeight w:val="212"/>
        </w:trPr>
        <w:tc>
          <w:tcPr>
            <w:tcW w:w="2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960" w:type="dxa"/>
            <w:vAlign w:val="bottom"/>
          </w:tcPr>
          <w:p>
            <w:pPr>
              <w:jc w:val="center"/>
              <w:ind w:right="54"/>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tc>
        <w:tc>
          <w:tcPr>
            <w:tcW w:w="2920" w:type="dxa"/>
            <w:vAlign w:val="bottom"/>
          </w:tcPr>
          <w:p>
            <w:pPr>
              <w:spacing w:after="0"/>
              <w:rPr>
                <w:sz w:val="18"/>
                <w:szCs w:val="18"/>
                <w:color w:val="auto"/>
              </w:rPr>
            </w:pPr>
          </w:p>
        </w:tc>
      </w:tr>
      <w:tr>
        <w:trPr>
          <w:trHeight w:val="182"/>
        </w:trPr>
        <w:tc>
          <w:tcPr>
            <w:tcW w:w="29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960" w:type="dxa"/>
            <w:vAlign w:val="bottom"/>
            <w:tcBorders>
              <w:bottom w:val="single" w:sz="8" w:color="auto"/>
            </w:tcBorders>
          </w:tcPr>
          <w:p>
            <w:pPr>
              <w:spacing w:after="0"/>
              <w:rPr>
                <w:sz w:val="15"/>
                <w:szCs w:val="15"/>
                <w:color w:val="auto"/>
              </w:rPr>
            </w:pPr>
          </w:p>
        </w:tc>
        <w:tc>
          <w:tcPr>
            <w:tcW w:w="2920" w:type="dxa"/>
            <w:vAlign w:val="bottom"/>
          </w:tcPr>
          <w:p>
            <w:pPr>
              <w:spacing w:after="0"/>
              <w:rPr>
                <w:sz w:val="15"/>
                <w:szCs w:val="15"/>
                <w:color w:val="auto"/>
              </w:rPr>
            </w:pPr>
          </w:p>
        </w:tc>
      </w:tr>
      <w:tr>
        <w:trPr>
          <w:trHeight w:val="325"/>
        </w:trPr>
        <w:tc>
          <w:tcPr>
            <w:tcW w:w="3060" w:type="dxa"/>
            <w:vAlign w:val="bottom"/>
            <w:gridSpan w:val="2"/>
          </w:tcPr>
          <w:p>
            <w:pPr>
              <w:jc w:val="center"/>
              <w:ind w:left="1043"/>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3960" w:type="dxa"/>
            <w:vAlign w:val="bottom"/>
          </w:tcPr>
          <w:p>
            <w:pPr>
              <w:spacing w:after="0"/>
              <w:rPr>
                <w:sz w:val="24"/>
                <w:szCs w:val="24"/>
                <w:color w:val="auto"/>
              </w:rPr>
            </w:pPr>
          </w:p>
        </w:tc>
        <w:tc>
          <w:tcPr>
            <w:tcW w:w="2920" w:type="dxa"/>
            <w:vAlign w:val="bottom"/>
          </w:tcPr>
          <w:p>
            <w:pPr>
              <w:jc w:val="center"/>
              <w:ind w:right="1243"/>
              <w:spacing w:after="0"/>
              <w:rPr>
                <w:sz w:val="20"/>
                <w:szCs w:val="20"/>
                <w:color w:val="auto"/>
              </w:rPr>
            </w:pPr>
            <w:r>
              <w:rPr>
                <w:rFonts w:ascii="Times New Roman" w:cs="Times New Roman" w:eastAsia="Times New Roman" w:hAnsi="Times New Roman"/>
                <w:sz w:val="16"/>
                <w:szCs w:val="16"/>
                <w:b w:val="1"/>
                <w:bCs w:val="1"/>
                <w:color w:val="auto"/>
              </w:rPr>
              <w:t>62-1096725</w:t>
            </w:r>
          </w:p>
        </w:tc>
      </w:tr>
      <w:tr>
        <w:trPr>
          <w:trHeight w:val="168"/>
        </w:trPr>
        <w:tc>
          <w:tcPr>
            <w:tcW w:w="3060" w:type="dxa"/>
            <w:vAlign w:val="bottom"/>
            <w:gridSpan w:val="2"/>
          </w:tcPr>
          <w:p>
            <w:pPr>
              <w:jc w:val="center"/>
              <w:ind w:left="1043"/>
              <w:spacing w:after="0" w:line="168" w:lineRule="exact"/>
              <w:rPr>
                <w:sz w:val="20"/>
                <w:szCs w:val="20"/>
                <w:color w:val="auto"/>
              </w:rPr>
            </w:pPr>
            <w:r>
              <w:rPr>
                <w:rFonts w:ascii="Times New Roman" w:cs="Times New Roman" w:eastAsia="Times New Roman" w:hAnsi="Times New Roman"/>
                <w:sz w:val="16"/>
                <w:szCs w:val="16"/>
                <w:i w:val="1"/>
                <w:iCs w:val="1"/>
                <w:color w:val="auto"/>
              </w:rPr>
              <w:t>(State or other jurisdiction of</w:t>
            </w:r>
          </w:p>
        </w:tc>
        <w:tc>
          <w:tcPr>
            <w:tcW w:w="3960" w:type="dxa"/>
            <w:vAlign w:val="bottom"/>
          </w:tcPr>
          <w:p>
            <w:pPr>
              <w:spacing w:after="0"/>
              <w:rPr>
                <w:sz w:val="14"/>
                <w:szCs w:val="14"/>
                <w:color w:val="auto"/>
              </w:rPr>
            </w:pPr>
          </w:p>
        </w:tc>
        <w:tc>
          <w:tcPr>
            <w:tcW w:w="2920" w:type="dxa"/>
            <w:vAlign w:val="bottom"/>
          </w:tcPr>
          <w:p>
            <w:pPr>
              <w:jc w:val="center"/>
              <w:ind w:right="1243"/>
              <w:spacing w:after="0" w:line="168" w:lineRule="exact"/>
              <w:rPr>
                <w:sz w:val="20"/>
                <w:szCs w:val="20"/>
                <w:color w:val="auto"/>
              </w:rPr>
            </w:pPr>
            <w:r>
              <w:rPr>
                <w:rFonts w:ascii="Times New Roman" w:cs="Times New Roman" w:eastAsia="Times New Roman" w:hAnsi="Times New Roman"/>
                <w:sz w:val="16"/>
                <w:szCs w:val="16"/>
                <w:i w:val="1"/>
                <w:iCs w:val="1"/>
                <w:color w:val="auto"/>
              </w:rPr>
              <w:t>(I.R.S. Employer</w:t>
            </w:r>
          </w:p>
        </w:tc>
      </w:tr>
      <w:tr>
        <w:trPr>
          <w:trHeight w:val="212"/>
        </w:trPr>
        <w:tc>
          <w:tcPr>
            <w:tcW w:w="7020" w:type="dxa"/>
            <w:vAlign w:val="bottom"/>
            <w:gridSpan w:val="3"/>
          </w:tcPr>
          <w:p>
            <w:pPr>
              <w:jc w:val="center"/>
              <w:ind w:right="2734"/>
              <w:spacing w:after="0"/>
              <w:rPr>
                <w:sz w:val="20"/>
                <w:szCs w:val="20"/>
                <w:color w:val="auto"/>
              </w:rPr>
            </w:pPr>
            <w:r>
              <w:rPr>
                <w:rFonts w:ascii="Times New Roman" w:cs="Times New Roman" w:eastAsia="Times New Roman" w:hAnsi="Times New Roman"/>
                <w:sz w:val="16"/>
                <w:szCs w:val="16"/>
                <w:i w:val="1"/>
                <w:iCs w:val="1"/>
                <w:color w:val="auto"/>
              </w:rPr>
              <w:t>incorporation or organization)</w:t>
            </w:r>
          </w:p>
        </w:tc>
        <w:tc>
          <w:tcPr>
            <w:tcW w:w="2920" w:type="dxa"/>
            <w:vAlign w:val="bottom"/>
          </w:tcPr>
          <w:p>
            <w:pPr>
              <w:jc w:val="center"/>
              <w:ind w:right="1243"/>
              <w:spacing w:after="0"/>
              <w:rPr>
                <w:sz w:val="20"/>
                <w:szCs w:val="20"/>
                <w:color w:val="auto"/>
              </w:rPr>
            </w:pPr>
            <w:r>
              <w:rPr>
                <w:rFonts w:ascii="Times New Roman" w:cs="Times New Roman" w:eastAsia="Times New Roman" w:hAnsi="Times New Roman"/>
                <w:sz w:val="16"/>
                <w:szCs w:val="16"/>
                <w:i w:val="1"/>
                <w:iCs w:val="1"/>
                <w:color w:val="auto"/>
              </w:rPr>
              <w:t>Identification Number)</w:t>
            </w:r>
          </w:p>
        </w:tc>
      </w:tr>
      <w:tr>
        <w:trPr>
          <w:trHeight w:val="281"/>
        </w:trPr>
        <w:tc>
          <w:tcPr>
            <w:tcW w:w="2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960" w:type="dxa"/>
            <w:vAlign w:val="bottom"/>
          </w:tcPr>
          <w:p>
            <w:pPr>
              <w:jc w:val="center"/>
              <w:ind w:right="74"/>
              <w:spacing w:after="0"/>
              <w:rPr>
                <w:sz w:val="20"/>
                <w:szCs w:val="20"/>
                <w:color w:val="auto"/>
              </w:rPr>
            </w:pPr>
            <w:r>
              <w:rPr>
                <w:rFonts w:ascii="Times New Roman" w:cs="Times New Roman" w:eastAsia="Times New Roman" w:hAnsi="Times New Roman"/>
                <w:sz w:val="16"/>
                <w:szCs w:val="16"/>
                <w:b w:val="1"/>
                <w:bCs w:val="1"/>
                <w:color w:val="auto"/>
              </w:rPr>
              <w:t>6210 Ardrey Kell Road, Suite 600</w:t>
            </w:r>
          </w:p>
        </w:tc>
        <w:tc>
          <w:tcPr>
            <w:tcW w:w="2920" w:type="dxa"/>
            <w:vAlign w:val="bottom"/>
          </w:tcPr>
          <w:p>
            <w:pPr>
              <w:spacing w:after="0"/>
              <w:rPr>
                <w:sz w:val="24"/>
                <w:szCs w:val="24"/>
                <w:color w:val="auto"/>
              </w:rPr>
            </w:pPr>
          </w:p>
        </w:tc>
      </w:tr>
      <w:tr>
        <w:trPr>
          <w:trHeight w:val="310"/>
        </w:trPr>
        <w:tc>
          <w:tcPr>
            <w:tcW w:w="2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960" w:type="dxa"/>
            <w:vAlign w:val="bottom"/>
          </w:tcPr>
          <w:p>
            <w:pPr>
              <w:jc w:val="center"/>
              <w:ind w:right="54"/>
              <w:spacing w:after="0"/>
              <w:rPr>
                <w:sz w:val="20"/>
                <w:szCs w:val="20"/>
                <w:color w:val="auto"/>
              </w:rPr>
            </w:pPr>
            <w:r>
              <w:rPr>
                <w:rFonts w:ascii="Times New Roman" w:cs="Times New Roman" w:eastAsia="Times New Roman" w:hAnsi="Times New Roman"/>
                <w:sz w:val="16"/>
                <w:szCs w:val="16"/>
                <w:b w:val="1"/>
                <w:bCs w:val="1"/>
                <w:color w:val="auto"/>
              </w:rPr>
              <w:t>Charlotte, North Carolina 28277</w:t>
            </w:r>
          </w:p>
        </w:tc>
        <w:tc>
          <w:tcPr>
            <w:tcW w:w="2920" w:type="dxa"/>
            <w:vAlign w:val="bottom"/>
          </w:tcPr>
          <w:p>
            <w:pPr>
              <w:spacing w:after="0"/>
              <w:rPr>
                <w:sz w:val="24"/>
                <w:szCs w:val="24"/>
                <w:color w:val="auto"/>
              </w:rPr>
            </w:pPr>
          </w:p>
        </w:tc>
      </w:tr>
      <w:tr>
        <w:trPr>
          <w:trHeight w:val="297"/>
        </w:trPr>
        <w:tc>
          <w:tcPr>
            <w:tcW w:w="2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960" w:type="dxa"/>
            <w:vAlign w:val="bottom"/>
          </w:tcPr>
          <w:p>
            <w:pPr>
              <w:jc w:val="center"/>
              <w:ind w:right="74"/>
              <w:spacing w:after="0"/>
              <w:rPr>
                <w:sz w:val="20"/>
                <w:szCs w:val="20"/>
                <w:color w:val="auto"/>
              </w:rPr>
            </w:pPr>
            <w:r>
              <w:rPr>
                <w:rFonts w:ascii="Times New Roman" w:cs="Times New Roman" w:eastAsia="Times New Roman" w:hAnsi="Times New Roman"/>
                <w:sz w:val="16"/>
                <w:szCs w:val="16"/>
                <w:i w:val="1"/>
                <w:iCs w:val="1"/>
                <w:color w:val="auto"/>
              </w:rPr>
              <w:t>(Address of principal executive offices, including zip code)</w:t>
            </w:r>
          </w:p>
        </w:tc>
        <w:tc>
          <w:tcPr>
            <w:tcW w:w="2920" w:type="dxa"/>
            <w:vAlign w:val="bottom"/>
          </w:tcPr>
          <w:p>
            <w:pPr>
              <w:spacing w:after="0"/>
              <w:rPr>
                <w:sz w:val="24"/>
                <w:szCs w:val="24"/>
                <w:color w:val="auto"/>
              </w:rPr>
            </w:pPr>
          </w:p>
        </w:tc>
      </w:tr>
      <w:tr>
        <w:trPr>
          <w:trHeight w:val="243"/>
        </w:trPr>
        <w:tc>
          <w:tcPr>
            <w:tcW w:w="29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960" w:type="dxa"/>
            <w:vAlign w:val="bottom"/>
          </w:tcPr>
          <w:p>
            <w:pPr>
              <w:jc w:val="center"/>
              <w:ind w:right="54"/>
              <w:spacing w:after="0"/>
              <w:rPr>
                <w:sz w:val="20"/>
                <w:szCs w:val="20"/>
                <w:color w:val="auto"/>
              </w:rPr>
            </w:pPr>
            <w:r>
              <w:rPr>
                <w:rFonts w:ascii="Times New Roman" w:cs="Times New Roman" w:eastAsia="Times New Roman" w:hAnsi="Times New Roman"/>
                <w:sz w:val="16"/>
                <w:szCs w:val="16"/>
                <w:b w:val="1"/>
                <w:bCs w:val="1"/>
                <w:color w:val="auto"/>
              </w:rPr>
              <w:t>(980) 264-4300</w:t>
            </w:r>
          </w:p>
        </w:tc>
        <w:tc>
          <w:tcPr>
            <w:tcW w:w="2920" w:type="dxa"/>
            <w:vAlign w:val="bottom"/>
          </w:tcPr>
          <w:p>
            <w:pPr>
              <w:spacing w:after="0"/>
              <w:rPr>
                <w:sz w:val="21"/>
                <w:szCs w:val="21"/>
                <w:color w:val="auto"/>
              </w:rPr>
            </w:pPr>
          </w:p>
        </w:tc>
      </w:tr>
      <w:tr>
        <w:trPr>
          <w:trHeight w:val="310"/>
        </w:trPr>
        <w:tc>
          <w:tcPr>
            <w:tcW w:w="2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960" w:type="dxa"/>
            <w:vAlign w:val="bottom"/>
          </w:tcPr>
          <w:p>
            <w:pPr>
              <w:jc w:val="center"/>
              <w:ind w:right="114"/>
              <w:spacing w:after="0"/>
              <w:rPr>
                <w:sz w:val="20"/>
                <w:szCs w:val="20"/>
                <w:color w:val="auto"/>
              </w:rPr>
            </w:pPr>
            <w:r>
              <w:rPr>
                <w:rFonts w:ascii="Times New Roman" w:cs="Times New Roman" w:eastAsia="Times New Roman" w:hAnsi="Times New Roman"/>
                <w:sz w:val="16"/>
                <w:szCs w:val="16"/>
                <w:i w:val="1"/>
                <w:iCs w:val="1"/>
                <w:color w:val="auto"/>
                <w:w w:val="99"/>
              </w:rPr>
              <w:t>(Registrant’s telephone number, including area code)</w:t>
            </w:r>
          </w:p>
        </w:tc>
        <w:tc>
          <w:tcPr>
            <w:tcW w:w="2920" w:type="dxa"/>
            <w:vAlign w:val="bottom"/>
          </w:tcPr>
          <w:p>
            <w:pPr>
              <w:spacing w:after="0"/>
              <w:rPr>
                <w:sz w:val="24"/>
                <w:szCs w:val="24"/>
                <w:color w:val="auto"/>
              </w:rPr>
            </w:pPr>
          </w:p>
        </w:tc>
      </w:tr>
      <w:tr>
        <w:trPr>
          <w:trHeight w:val="253"/>
        </w:trPr>
        <w:tc>
          <w:tcPr>
            <w:tcW w:w="29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960" w:type="dxa"/>
            <w:vAlign w:val="bottom"/>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tc>
        <w:tc>
          <w:tcPr>
            <w:tcW w:w="2920" w:type="dxa"/>
            <w:vAlign w:val="bottom"/>
          </w:tcPr>
          <w:p>
            <w:pPr>
              <w:spacing w:after="0"/>
              <w:rPr>
                <w:sz w:val="21"/>
                <w:szCs w:val="21"/>
                <w:color w:val="auto"/>
              </w:rPr>
            </w:pPr>
          </w:p>
        </w:tc>
      </w:tr>
      <w:tr>
        <w:trPr>
          <w:trHeight w:val="203"/>
        </w:trPr>
        <w:tc>
          <w:tcPr>
            <w:tcW w:w="306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i w:val="1"/>
                <w:iCs w:val="1"/>
                <w:color w:val="auto"/>
              </w:rPr>
              <w:t>Title of each class</w:t>
            </w:r>
          </w:p>
        </w:tc>
        <w:tc>
          <w:tcPr>
            <w:tcW w:w="3960" w:type="dxa"/>
            <w:vAlign w:val="bottom"/>
          </w:tcPr>
          <w:p>
            <w:pPr>
              <w:jc w:val="center"/>
              <w:ind w:right="14"/>
              <w:spacing w:after="0"/>
              <w:rPr>
                <w:sz w:val="20"/>
                <w:szCs w:val="20"/>
                <w:color w:val="auto"/>
              </w:rPr>
            </w:pPr>
            <w:r>
              <w:rPr>
                <w:rFonts w:ascii="Times New Roman" w:cs="Times New Roman" w:eastAsia="Times New Roman" w:hAnsi="Times New Roman"/>
                <w:sz w:val="14"/>
                <w:szCs w:val="14"/>
                <w:i w:val="1"/>
                <w:iCs w:val="1"/>
                <w:color w:val="auto"/>
              </w:rPr>
              <w:t>Trading symbol</w:t>
            </w:r>
          </w:p>
        </w:tc>
        <w:tc>
          <w:tcPr>
            <w:tcW w:w="2920" w:type="dxa"/>
            <w:vAlign w:val="bottom"/>
          </w:tcPr>
          <w:p>
            <w:pPr>
              <w:jc w:val="center"/>
              <w:ind w:left="303"/>
              <w:spacing w:after="0"/>
              <w:rPr>
                <w:sz w:val="20"/>
                <w:szCs w:val="20"/>
                <w:color w:val="auto"/>
              </w:rPr>
            </w:pPr>
            <w:r>
              <w:rPr>
                <w:rFonts w:ascii="Times New Roman" w:cs="Times New Roman" w:eastAsia="Times New Roman" w:hAnsi="Times New Roman"/>
                <w:sz w:val="14"/>
                <w:szCs w:val="14"/>
                <w:i w:val="1"/>
                <w:iCs w:val="1"/>
                <w:color w:val="auto"/>
              </w:rPr>
              <w:t>Name of each exchange on which registered</w:t>
            </w:r>
          </w:p>
        </w:tc>
      </w:tr>
      <w:tr>
        <w:trPr>
          <w:trHeight w:val="203"/>
        </w:trPr>
        <w:tc>
          <w:tcPr>
            <w:tcW w:w="306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Common Stock, par value $0.01 per share</w:t>
            </w:r>
          </w:p>
        </w:tc>
        <w:tc>
          <w:tcPr>
            <w:tcW w:w="3960" w:type="dxa"/>
            <w:vAlign w:val="bottom"/>
          </w:tcPr>
          <w:p>
            <w:pPr>
              <w:jc w:val="center"/>
              <w:ind w:right="14"/>
              <w:spacing w:after="0"/>
              <w:rPr>
                <w:sz w:val="20"/>
                <w:szCs w:val="20"/>
                <w:color w:val="auto"/>
              </w:rPr>
            </w:pPr>
            <w:r>
              <w:rPr>
                <w:rFonts w:ascii="Times New Roman" w:cs="Times New Roman" w:eastAsia="Times New Roman" w:hAnsi="Times New Roman"/>
                <w:sz w:val="14"/>
                <w:szCs w:val="14"/>
                <w:b w:val="1"/>
                <w:bCs w:val="1"/>
                <w:color w:val="auto"/>
              </w:rPr>
              <w:t>NNBR</w:t>
            </w:r>
          </w:p>
        </w:tc>
        <w:tc>
          <w:tcPr>
            <w:tcW w:w="2920" w:type="dxa"/>
            <w:vAlign w:val="bottom"/>
          </w:tcPr>
          <w:p>
            <w:pPr>
              <w:jc w:val="center"/>
              <w:ind w:left="303"/>
              <w:spacing w:after="0"/>
              <w:rPr>
                <w:sz w:val="20"/>
                <w:szCs w:val="20"/>
                <w:color w:val="auto"/>
              </w:rPr>
            </w:pPr>
            <w:r>
              <w:rPr>
                <w:rFonts w:ascii="Times New Roman" w:cs="Times New Roman" w:eastAsia="Times New Roman" w:hAnsi="Times New Roman"/>
                <w:sz w:val="14"/>
                <w:szCs w:val="14"/>
                <w:b w:val="1"/>
                <w:bCs w:val="1"/>
                <w:color w:val="auto"/>
              </w:rPr>
              <w:t>The Nasdaq Stock Market LLC</w:t>
            </w:r>
          </w:p>
        </w:tc>
      </w:tr>
    </w:tbl>
    <w:p>
      <w:pPr>
        <w:spacing w:after="0" w:line="203" w:lineRule="exact"/>
        <w:rPr>
          <w:sz w:val="24"/>
          <w:szCs w:val="24"/>
          <w:color w:val="auto"/>
        </w:rPr>
      </w:pPr>
    </w:p>
    <w:p>
      <w:pPr>
        <w:ind w:right="120"/>
        <w:spacing w:after="0" w:line="19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Indicate by check mark whether the registrant has submitted electronically every Interactive Data File required to be submitted pursuant to Rule 405 of Regulation S-T (§232.405 of this chapter)</w:t>
      </w:r>
    </w:p>
    <w:p>
      <w:pPr>
        <w:spacing w:after="0" w:line="27" w:lineRule="exact"/>
        <w:rPr>
          <w:sz w:val="24"/>
          <w:szCs w:val="24"/>
          <w:color w:val="auto"/>
        </w:rPr>
      </w:pPr>
    </w:p>
    <w:tbl>
      <w:tblPr>
        <w:tblLayout w:type="fixed"/>
        <w:tblInd w:w="0" w:type="dxa"/>
        <w:tblCellMar>
          <w:top w:w="0" w:type="dxa"/>
          <w:left w:w="0" w:type="dxa"/>
          <w:bottom w:w="0" w:type="dxa"/>
          <w:right w:w="0" w:type="dxa"/>
        </w:tblCellMar>
      </w:tblPr>
      <w:tr>
        <w:trPr>
          <w:trHeight w:val="226"/>
        </w:trPr>
        <w:tc>
          <w:tcPr>
            <w:tcW w:w="7060" w:type="dxa"/>
            <w:vAlign w:val="bottom"/>
            <w:gridSpan w:val="2"/>
          </w:tcPr>
          <w:p>
            <w:pPr>
              <w:spacing w:after="0" w:line="161" w:lineRule="exact"/>
              <w:rPr>
                <w:sz w:val="20"/>
                <w:szCs w:val="20"/>
                <w:color w:val="auto"/>
              </w:rPr>
            </w:pPr>
            <w:r>
              <w:rPr>
                <w:rFonts w:ascii="Times New Roman" w:cs="Times New Roman" w:eastAsia="Times New Roman" w:hAnsi="Times New Roman"/>
                <w:sz w:val="14"/>
                <w:szCs w:val="14"/>
                <w:color w:val="auto"/>
              </w:rPr>
              <w:t xml:space="preserve">during the preceding 12 months (or for such shorter period that the registrant was required to submit such files).  Yes </w:t>
            </w:r>
            <w:r>
              <w:rPr>
                <w:rFonts w:ascii="MS PGothic" w:cs="MS PGothic" w:eastAsia="MS PGothic" w:hAnsi="MS PGothic"/>
                <w:sz w:val="14"/>
                <w:szCs w:val="14"/>
                <w:color w:val="auto"/>
              </w:rPr>
              <w:t>☒</w:t>
            </w:r>
          </w:p>
        </w:tc>
        <w:tc>
          <w:tcPr>
            <w:tcW w:w="3700" w:type="dxa"/>
            <w:vAlign w:val="bottom"/>
          </w:tcPr>
          <w:p>
            <w:pPr>
              <w:ind w:left="80"/>
              <w:spacing w:after="0" w:line="161" w:lineRule="exact"/>
              <w:rPr>
                <w:sz w:val="20"/>
                <w:szCs w:val="20"/>
                <w:color w:val="auto"/>
              </w:rPr>
            </w:pPr>
            <w:r>
              <w:rPr>
                <w:rFonts w:ascii="Times New Roman" w:cs="Times New Roman" w:eastAsia="Times New Roman" w:hAnsi="Times New Roman"/>
                <w:sz w:val="14"/>
                <w:szCs w:val="14"/>
                <w:color w:val="auto"/>
              </w:rPr>
              <w:t xml:space="preserve">No </w:t>
            </w:r>
            <w:r>
              <w:rPr>
                <w:rFonts w:ascii="MS PGothic" w:cs="MS PGothic" w:eastAsia="MS PGothic" w:hAnsi="MS PGothic"/>
                <w:sz w:val="14"/>
                <w:szCs w:val="14"/>
                <w:color w:val="auto"/>
              </w:rPr>
              <w:t>☐</w:t>
            </w:r>
          </w:p>
        </w:tc>
        <w:tc>
          <w:tcPr>
            <w:tcW w:w="280" w:type="dxa"/>
            <w:vAlign w:val="bottom"/>
          </w:tcPr>
          <w:p>
            <w:pPr>
              <w:spacing w:after="0"/>
              <w:rPr>
                <w:sz w:val="19"/>
                <w:szCs w:val="19"/>
                <w:color w:val="auto"/>
              </w:rPr>
            </w:pPr>
          </w:p>
        </w:tc>
      </w:tr>
      <w:tr>
        <w:trPr>
          <w:trHeight w:val="180"/>
        </w:trPr>
        <w:tc>
          <w:tcPr>
            <w:tcW w:w="107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w:t>
            </w:r>
          </w:p>
        </w:tc>
        <w:tc>
          <w:tcPr>
            <w:tcW w:w="280" w:type="dxa"/>
            <w:vAlign w:val="bottom"/>
          </w:tcPr>
          <w:p>
            <w:pPr>
              <w:spacing w:after="0"/>
              <w:rPr>
                <w:sz w:val="15"/>
                <w:szCs w:val="15"/>
                <w:color w:val="auto"/>
              </w:rPr>
            </w:pPr>
          </w:p>
        </w:tc>
      </w:tr>
      <w:tr>
        <w:trPr>
          <w:trHeight w:val="188"/>
        </w:trPr>
        <w:tc>
          <w:tcPr>
            <w:tcW w:w="107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definitions of “large accelerated filer,” “accelerated filer,” “smaller reporting company,” and “emerging growth company” in Rule 12b-2 of the Exchange Act.</w:t>
            </w:r>
          </w:p>
        </w:tc>
        <w:tc>
          <w:tcPr>
            <w:tcW w:w="280" w:type="dxa"/>
            <w:vAlign w:val="bottom"/>
          </w:tcPr>
          <w:p>
            <w:pPr>
              <w:spacing w:after="0"/>
              <w:rPr>
                <w:sz w:val="16"/>
                <w:szCs w:val="16"/>
                <w:color w:val="auto"/>
              </w:rPr>
            </w:pPr>
          </w:p>
        </w:tc>
      </w:tr>
      <w:tr>
        <w:trPr>
          <w:trHeight w:val="207"/>
        </w:trPr>
        <w:tc>
          <w:tcPr>
            <w:tcW w:w="1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Large accelerated filer</w:t>
            </w:r>
          </w:p>
        </w:tc>
        <w:tc>
          <w:tcPr>
            <w:tcW w:w="5100" w:type="dxa"/>
            <w:vAlign w:val="bottom"/>
          </w:tcPr>
          <w:p>
            <w:pPr>
              <w:ind w:left="640"/>
              <w:spacing w:after="0" w:line="141" w:lineRule="exact"/>
              <w:rPr>
                <w:sz w:val="20"/>
                <w:szCs w:val="20"/>
                <w:color w:val="auto"/>
              </w:rPr>
            </w:pPr>
            <w:r>
              <w:rPr>
                <w:rFonts w:ascii="MS PGothic" w:cs="MS PGothic" w:eastAsia="MS PGothic" w:hAnsi="MS PGothic"/>
                <w:sz w:val="14"/>
                <w:szCs w:val="14"/>
                <w:color w:val="auto"/>
              </w:rPr>
              <w:t>☐</w:t>
            </w:r>
          </w:p>
        </w:tc>
        <w:tc>
          <w:tcPr>
            <w:tcW w:w="3700" w:type="dxa"/>
            <w:vAlign w:val="bottom"/>
          </w:tcPr>
          <w:p>
            <w:pPr>
              <w:ind w:left="1180"/>
              <w:spacing w:after="0"/>
              <w:rPr>
                <w:sz w:val="20"/>
                <w:szCs w:val="20"/>
                <w:color w:val="auto"/>
              </w:rPr>
            </w:pPr>
            <w:r>
              <w:rPr>
                <w:rFonts w:ascii="Times New Roman" w:cs="Times New Roman" w:eastAsia="Times New Roman" w:hAnsi="Times New Roman"/>
                <w:sz w:val="14"/>
                <w:szCs w:val="14"/>
                <w:color w:val="auto"/>
              </w:rPr>
              <w:t>Accelerated filer</w:t>
            </w:r>
          </w:p>
        </w:tc>
        <w:tc>
          <w:tcPr>
            <w:tcW w:w="280" w:type="dxa"/>
            <w:vAlign w:val="bottom"/>
          </w:tcPr>
          <w:p>
            <w:pPr>
              <w:ind w:left="1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03"/>
        </w:trPr>
        <w:tc>
          <w:tcPr>
            <w:tcW w:w="1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Non-accelerated filer</w:t>
            </w:r>
          </w:p>
        </w:tc>
        <w:tc>
          <w:tcPr>
            <w:tcW w:w="5100" w:type="dxa"/>
            <w:vAlign w:val="bottom"/>
          </w:tcPr>
          <w:p>
            <w:pPr>
              <w:ind w:left="640"/>
              <w:spacing w:after="0" w:line="141" w:lineRule="exact"/>
              <w:rPr>
                <w:sz w:val="20"/>
                <w:szCs w:val="20"/>
                <w:color w:val="auto"/>
              </w:rPr>
            </w:pPr>
            <w:r>
              <w:rPr>
                <w:rFonts w:ascii="MS PGothic" w:cs="MS PGothic" w:eastAsia="MS PGothic" w:hAnsi="MS PGothic"/>
                <w:sz w:val="14"/>
                <w:szCs w:val="14"/>
                <w:color w:val="auto"/>
              </w:rPr>
              <w:t>☐</w:t>
            </w:r>
          </w:p>
        </w:tc>
        <w:tc>
          <w:tcPr>
            <w:tcW w:w="3700" w:type="dxa"/>
            <w:vAlign w:val="bottom"/>
          </w:tcPr>
          <w:p>
            <w:pPr>
              <w:ind w:left="118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280" w:type="dxa"/>
            <w:vAlign w:val="bottom"/>
          </w:tcPr>
          <w:p>
            <w:pPr>
              <w:ind w:left="1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26"/>
        </w:trPr>
        <w:tc>
          <w:tcPr>
            <w:tcW w:w="1960" w:type="dxa"/>
            <w:vAlign w:val="bottom"/>
          </w:tcPr>
          <w:p>
            <w:pPr>
              <w:spacing w:after="0"/>
              <w:rPr>
                <w:sz w:val="19"/>
                <w:szCs w:val="19"/>
                <w:color w:val="auto"/>
              </w:rPr>
            </w:pPr>
          </w:p>
        </w:tc>
        <w:tc>
          <w:tcPr>
            <w:tcW w:w="5100" w:type="dxa"/>
            <w:vAlign w:val="bottom"/>
          </w:tcPr>
          <w:p>
            <w:pPr>
              <w:spacing w:after="0"/>
              <w:rPr>
                <w:sz w:val="19"/>
                <w:szCs w:val="19"/>
                <w:color w:val="auto"/>
              </w:rPr>
            </w:pPr>
          </w:p>
        </w:tc>
        <w:tc>
          <w:tcPr>
            <w:tcW w:w="3700" w:type="dxa"/>
            <w:vAlign w:val="bottom"/>
          </w:tcPr>
          <w:p>
            <w:pPr>
              <w:ind w:left="1180"/>
              <w:spacing w:after="0"/>
              <w:rPr>
                <w:sz w:val="20"/>
                <w:szCs w:val="20"/>
                <w:color w:val="auto"/>
              </w:rPr>
            </w:pPr>
            <w:r>
              <w:rPr>
                <w:rFonts w:ascii="Times New Roman" w:cs="Times New Roman" w:eastAsia="Times New Roman" w:hAnsi="Times New Roman"/>
                <w:sz w:val="14"/>
                <w:szCs w:val="14"/>
                <w:color w:val="auto"/>
              </w:rPr>
              <w:t>Emerging growth company</w:t>
            </w:r>
          </w:p>
        </w:tc>
        <w:tc>
          <w:tcPr>
            <w:tcW w:w="280" w:type="dxa"/>
            <w:vAlign w:val="bottom"/>
          </w:tcPr>
          <w:p>
            <w:pPr>
              <w:ind w:left="16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68" w:lineRule="exact"/>
        <w:rPr>
          <w:sz w:val="24"/>
          <w:szCs w:val="24"/>
          <w:color w:val="auto"/>
        </w:rPr>
      </w:pPr>
    </w:p>
    <w:p>
      <w:pPr>
        <w:ind w:right="460"/>
        <w:spacing w:after="0" w:line="189"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8" w:lineRule="exact"/>
        <w:rPr>
          <w:sz w:val="24"/>
          <w:szCs w:val="24"/>
          <w:color w:val="auto"/>
        </w:rPr>
      </w:pPr>
    </w:p>
    <w:p>
      <w:pPr>
        <w:ind w:right="3520"/>
        <w:spacing w:after="0" w:line="221"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As of April 29, 2022, there were 43,890,305 shares of the registrant’s common stock, par value $0.01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731520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92710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118745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40"/>
          </w:cols>
          <w:pgMar w:left="320" w:top="1397" w:right="4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58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768"/>
        </w:trPr>
        <w:tc>
          <w:tcPr>
            <w:tcW w:w="20" w:type="dxa"/>
            <w:vAlign w:val="bottom"/>
            <w:tcBorders>
              <w:top w:val="single" w:sz="8" w:color="0000FF"/>
            </w:tcBorders>
          </w:tcPr>
          <w:p>
            <w:pPr>
              <w:spacing w:after="0"/>
              <w:rPr>
                <w:sz w:val="24"/>
                <w:szCs w:val="24"/>
                <w:color w:val="auto"/>
              </w:rPr>
            </w:pPr>
          </w:p>
        </w:tc>
        <w:tc>
          <w:tcPr>
            <w:tcW w:w="11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0" w:type="dxa"/>
            <w:vAlign w:val="bottom"/>
            <w:gridSpan w:val="12"/>
          </w:tcPr>
          <w:p>
            <w:pPr>
              <w:jc w:val="center"/>
              <w:ind w:right="3520"/>
              <w:spacing w:after="0"/>
              <w:rPr>
                <w:sz w:val="20"/>
                <w:szCs w:val="20"/>
                <w:color w:val="auto"/>
              </w:rPr>
            </w:pPr>
            <w:r>
              <w:rPr>
                <w:rFonts w:ascii="Times New Roman" w:cs="Times New Roman" w:eastAsia="Times New Roman" w:hAnsi="Times New Roman"/>
                <w:sz w:val="18"/>
                <w:szCs w:val="18"/>
                <w:b w:val="1"/>
                <w:bCs w:val="1"/>
                <w:color w:val="auto"/>
                <w:w w:val="99"/>
              </w:rPr>
              <w:t>NN, Inc.</w:t>
            </w: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38"/>
        </w:trPr>
        <w:tc>
          <w:tcPr>
            <w:tcW w:w="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800" w:type="dxa"/>
            <w:vAlign w:val="bottom"/>
            <w:gridSpan w:val="12"/>
          </w:tcPr>
          <w:p>
            <w:pPr>
              <w:jc w:val="center"/>
              <w:ind w:right="3500"/>
              <w:spacing w:after="0"/>
              <w:rPr>
                <w:sz w:val="20"/>
                <w:szCs w:val="20"/>
                <w:color w:val="auto"/>
              </w:rPr>
            </w:pPr>
            <w:r>
              <w:rPr>
                <w:rFonts w:ascii="Times New Roman" w:cs="Times New Roman" w:eastAsia="Times New Roman" w:hAnsi="Times New Roman"/>
                <w:sz w:val="18"/>
                <w:szCs w:val="18"/>
                <w:b w:val="1"/>
                <w:bCs w:val="1"/>
                <w:color w:val="auto"/>
                <w:w w:val="99"/>
              </w:rPr>
              <w:t>INDEX</w:t>
            </w: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711"/>
        </w:trPr>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194"/>
        </w:trPr>
        <w:tc>
          <w:tcPr>
            <w:tcW w:w="20" w:type="dxa"/>
            <w:vAlign w:val="bottom"/>
          </w:tcPr>
          <w:p>
            <w:pPr>
              <w:spacing w:after="0"/>
              <w:rPr>
                <w:sz w:val="16"/>
                <w:szCs w:val="16"/>
                <w:color w:val="auto"/>
              </w:rPr>
            </w:pPr>
          </w:p>
        </w:tc>
        <w:tc>
          <w:tcPr>
            <w:tcW w:w="2900" w:type="dxa"/>
            <w:vAlign w:val="bottom"/>
            <w:gridSpan w:val="9"/>
          </w:tcPr>
          <w:p>
            <w:pPr>
              <w:spacing w:after="0" w:line="194" w:lineRule="exact"/>
              <w:rPr>
                <w:sz w:val="20"/>
                <w:szCs w:val="20"/>
                <w:color w:val="auto"/>
              </w:rPr>
            </w:pPr>
            <w:r>
              <w:rPr>
                <w:rFonts w:ascii="Times New Roman" w:cs="Times New Roman" w:eastAsia="Times New Roman" w:hAnsi="Times New Roman"/>
                <w:sz w:val="18"/>
                <w:szCs w:val="18"/>
                <w:color w:val="0000FF"/>
                <w:w w:val="97"/>
              </w:rPr>
              <w:t>PART I. FINANCIAL INFORMATION</w:t>
            </w:r>
          </w:p>
        </w:tc>
        <w:tc>
          <w:tcPr>
            <w:tcW w:w="6860" w:type="dxa"/>
            <w:vAlign w:val="bottom"/>
            <w:gridSpan w:val="20"/>
          </w:tcPr>
          <w:p>
            <w:pPr>
              <w:spacing w:after="0"/>
              <w:rPr>
                <w:sz w:val="16"/>
                <w:szCs w:val="16"/>
                <w:color w:val="auto"/>
              </w:rPr>
            </w:pPr>
          </w:p>
        </w:tc>
        <w:tc>
          <w:tcPr>
            <w:tcW w:w="1440" w:type="dxa"/>
            <w:vAlign w:val="bottom"/>
            <w:gridSpan w:val="3"/>
          </w:tcPr>
          <w:p>
            <w:pPr>
              <w:jc w:val="right"/>
              <w:spacing w:after="0" w:line="194" w:lineRule="exact"/>
              <w:rPr>
                <w:sz w:val="20"/>
                <w:szCs w:val="20"/>
                <w:color w:val="auto"/>
              </w:rPr>
            </w:pPr>
            <w:r>
              <w:rPr>
                <w:rFonts w:ascii="Times New Roman" w:cs="Times New Roman" w:eastAsia="Times New Roman" w:hAnsi="Times New Roman"/>
                <w:sz w:val="18"/>
                <w:szCs w:val="18"/>
                <w:color w:val="0000FF"/>
              </w:rPr>
              <w:t>3</w:t>
            </w:r>
          </w:p>
        </w:tc>
      </w:tr>
      <w:tr>
        <w:trPr>
          <w:trHeight w:val="20"/>
        </w:trPr>
        <w:tc>
          <w:tcPr>
            <w:tcW w:w="20" w:type="dxa"/>
            <w:vAlign w:val="bottom"/>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156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Item 1.</w:t>
            </w:r>
          </w:p>
        </w:tc>
        <w:tc>
          <w:tcPr>
            <w:tcW w:w="820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Financial Statements</w:t>
            </w: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w:t>
            </w: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Condensed Consolidated Statements of Operations and Comprehensive Income (Loss) (Unaudited)</w:t>
            </w: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w:t>
            </w: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14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Condensed Consolidated Balance Sheets (Unaudited)</w:t>
            </w:r>
          </w:p>
        </w:tc>
        <w:tc>
          <w:tcPr>
            <w:tcW w:w="860" w:type="dxa"/>
            <w:vAlign w:val="bottom"/>
          </w:tcPr>
          <w:p>
            <w:pPr>
              <w:spacing w:after="0"/>
              <w:rPr>
                <w:sz w:val="18"/>
                <w:szCs w:val="18"/>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4</w:t>
            </w: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16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Changes in Stockholders’ Equity (Unaudited)</w:t>
            </w:r>
          </w:p>
        </w:tc>
        <w:tc>
          <w:tcPr>
            <w:tcW w:w="1840" w:type="dxa"/>
            <w:vAlign w:val="bottom"/>
            <w:gridSpan w:val="3"/>
          </w:tcPr>
          <w:p>
            <w:pPr>
              <w:spacing w:after="0"/>
              <w:rPr>
                <w:sz w:val="18"/>
                <w:szCs w:val="18"/>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5</w:t>
            </w: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16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 (Unaudited)</w:t>
            </w:r>
          </w:p>
        </w:tc>
        <w:tc>
          <w:tcPr>
            <w:tcW w:w="1840" w:type="dxa"/>
            <w:vAlign w:val="bottom"/>
            <w:gridSpan w:val="3"/>
          </w:tcPr>
          <w:p>
            <w:pPr>
              <w:spacing w:after="0"/>
              <w:rPr>
                <w:sz w:val="18"/>
                <w:szCs w:val="18"/>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6</w:t>
            </w: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Notes to Condensed Consolidated Financial Statements (Unaudited)</w:t>
            </w: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7</w:t>
            </w: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6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w w:val="99"/>
              </w:rPr>
              <w:t>Note 1. Interim Financial Statements</w:t>
            </w:r>
          </w:p>
        </w:tc>
        <w:tc>
          <w:tcPr>
            <w:tcW w:w="2020" w:type="dxa"/>
            <w:vAlign w:val="bottom"/>
            <w:gridSpan w:val="9"/>
          </w:tcPr>
          <w:p>
            <w:pPr>
              <w:spacing w:after="0"/>
              <w:rPr>
                <w:sz w:val="18"/>
                <w:szCs w:val="18"/>
                <w:color w:val="auto"/>
              </w:rPr>
            </w:pPr>
          </w:p>
        </w:tc>
        <w:tc>
          <w:tcPr>
            <w:tcW w:w="3100" w:type="dxa"/>
            <w:vAlign w:val="bottom"/>
            <w:gridSpan w:val="4"/>
          </w:tcPr>
          <w:p>
            <w:pPr>
              <w:spacing w:after="0"/>
              <w:rPr>
                <w:sz w:val="18"/>
                <w:szCs w:val="18"/>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7</w:t>
            </w: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4"/>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6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Note 2. Segment Information</w:t>
            </w:r>
          </w:p>
        </w:tc>
        <w:tc>
          <w:tcPr>
            <w:tcW w:w="5120" w:type="dxa"/>
            <w:vAlign w:val="bottom"/>
            <w:gridSpan w:val="13"/>
          </w:tcPr>
          <w:p>
            <w:pPr>
              <w:spacing w:after="0"/>
              <w:rPr>
                <w:sz w:val="18"/>
                <w:szCs w:val="18"/>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8</w:t>
            </w: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0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Note 3. Inventories</w:t>
            </w:r>
          </w:p>
        </w:tc>
        <w:tc>
          <w:tcPr>
            <w:tcW w:w="5680" w:type="dxa"/>
            <w:vAlign w:val="bottom"/>
            <w:gridSpan w:val="15"/>
          </w:tcPr>
          <w:p>
            <w:pPr>
              <w:spacing w:after="0"/>
              <w:rPr>
                <w:sz w:val="18"/>
                <w:szCs w:val="18"/>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8</w:t>
            </w: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4"/>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78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Note 4. Intangible Assets, Net</w:t>
            </w: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9</w:t>
            </w: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6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w w:val="97"/>
              </w:rPr>
              <w:t>Note 5. Investment in Joint Venture</w:t>
            </w:r>
          </w:p>
        </w:tc>
        <w:tc>
          <w:tcPr>
            <w:tcW w:w="5220" w:type="dxa"/>
            <w:vAlign w:val="bottom"/>
            <w:gridSpan w:val="14"/>
          </w:tcPr>
          <w:p>
            <w:pPr>
              <w:spacing w:after="0"/>
              <w:rPr>
                <w:sz w:val="18"/>
                <w:szCs w:val="18"/>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9</w:t>
            </w: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6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4"/>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gridSpan w:val="7"/>
          </w:tcPr>
          <w:p>
            <w:pPr>
              <w:spacing w:after="0"/>
              <w:rPr>
                <w:sz w:val="20"/>
                <w:szCs w:val="20"/>
                <w:color w:val="auto"/>
              </w:rPr>
            </w:pPr>
            <w:r>
              <w:rPr>
                <w:rFonts w:ascii="Times New Roman" w:cs="Times New Roman" w:eastAsia="Times New Roman" w:hAnsi="Times New Roman"/>
                <w:sz w:val="18"/>
                <w:szCs w:val="18"/>
                <w:color w:val="0000FF"/>
                <w:w w:val="98"/>
              </w:rPr>
              <w:t>Note 6. Income Taxes</w:t>
            </w:r>
          </w:p>
        </w:tc>
        <w:tc>
          <w:tcPr>
            <w:tcW w:w="980" w:type="dxa"/>
            <w:vAlign w:val="bottom"/>
            <w:gridSpan w:val="3"/>
          </w:tcPr>
          <w:p>
            <w:pPr>
              <w:spacing w:after="0"/>
              <w:rPr>
                <w:sz w:val="18"/>
                <w:szCs w:val="18"/>
                <w:color w:val="auto"/>
              </w:rPr>
            </w:pPr>
          </w:p>
        </w:tc>
        <w:tc>
          <w:tcPr>
            <w:tcW w:w="5220" w:type="dxa"/>
            <w:vAlign w:val="bottom"/>
            <w:gridSpan w:val="14"/>
          </w:tcPr>
          <w:p>
            <w:pPr>
              <w:spacing w:after="0"/>
              <w:rPr>
                <w:sz w:val="18"/>
                <w:szCs w:val="18"/>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9</w:t>
            </w: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4"/>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5"/>
              </w:rPr>
              <w:t>Note 7. Debt</w:t>
            </w:r>
          </w:p>
        </w:tc>
        <w:tc>
          <w:tcPr>
            <w:tcW w:w="660" w:type="dxa"/>
            <w:vAlign w:val="bottom"/>
            <w:gridSpan w:val="3"/>
          </w:tcPr>
          <w:p>
            <w:pPr>
              <w:spacing w:after="0"/>
              <w:rPr>
                <w:sz w:val="18"/>
                <w:szCs w:val="18"/>
                <w:color w:val="auto"/>
              </w:rPr>
            </w:pPr>
          </w:p>
        </w:tc>
        <w:tc>
          <w:tcPr>
            <w:tcW w:w="6200" w:type="dxa"/>
            <w:vAlign w:val="bottom"/>
            <w:gridSpan w:val="17"/>
          </w:tcPr>
          <w:p>
            <w:pPr>
              <w:spacing w:after="0"/>
              <w:rPr>
                <w:sz w:val="18"/>
                <w:szCs w:val="18"/>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9</w:t>
            </w: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4"/>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78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Note 8. Leases</w:t>
            </w: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10</w:t>
            </w: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4"/>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8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Note 9. Commitments and Contingencies</w:t>
            </w:r>
          </w:p>
        </w:tc>
        <w:tc>
          <w:tcPr>
            <w:tcW w:w="4800" w:type="dxa"/>
            <w:vAlign w:val="bottom"/>
            <w:gridSpan w:val="12"/>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11</w:t>
            </w:r>
          </w:p>
        </w:tc>
      </w:tr>
      <w:tr>
        <w:trPr>
          <w:trHeight w:val="209"/>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4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Note 10. Preferred Stock and Stockholders' Equity</w:t>
            </w:r>
          </w:p>
        </w:tc>
        <w:tc>
          <w:tcPr>
            <w:tcW w:w="4140" w:type="dxa"/>
            <w:vAlign w:val="bottom"/>
            <w:gridSpan w:val="9"/>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12</w:t>
            </w:r>
          </w:p>
        </w:tc>
      </w:tr>
      <w:tr>
        <w:trPr>
          <w:trHeight w:val="209"/>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2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Note 11. Revenue from Contracts with Customers</w:t>
            </w:r>
          </w:p>
        </w:tc>
        <w:tc>
          <w:tcPr>
            <w:tcW w:w="4160" w:type="dxa"/>
            <w:vAlign w:val="bottom"/>
            <w:gridSpan w:val="10"/>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12</w:t>
            </w:r>
          </w:p>
        </w:tc>
      </w:tr>
      <w:tr>
        <w:trPr>
          <w:trHeight w:val="209"/>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6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9"/>
              </w:rPr>
              <w:t>Note 12. Share-Based Compensation</w:t>
            </w:r>
          </w:p>
        </w:tc>
        <w:tc>
          <w:tcPr>
            <w:tcW w:w="5120" w:type="dxa"/>
            <w:vAlign w:val="bottom"/>
            <w:gridSpan w:val="13"/>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14</w:t>
            </w:r>
          </w:p>
        </w:tc>
      </w:tr>
      <w:tr>
        <w:trPr>
          <w:trHeight w:val="210"/>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4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9"/>
              </w:rPr>
              <w:t>Note 13. Accumulated Other Comprehensive Income</w:t>
            </w:r>
          </w:p>
        </w:tc>
        <w:tc>
          <w:tcPr>
            <w:tcW w:w="3940" w:type="dxa"/>
            <w:vAlign w:val="bottom"/>
            <w:gridSpan w:val="8"/>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16</w:t>
            </w:r>
          </w:p>
        </w:tc>
      </w:tr>
      <w:tr>
        <w:trPr>
          <w:trHeight w:val="209"/>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78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Note 14. Net Income (Loss) Per Common Share</w:t>
            </w: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16</w:t>
            </w:r>
          </w:p>
        </w:tc>
      </w:tr>
      <w:tr>
        <w:trPr>
          <w:trHeight w:val="210"/>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60" w:type="dxa"/>
            <w:vAlign w:val="bottom"/>
            <w:tcBorders>
              <w:top w:val="single" w:sz="8" w:color="0000FF"/>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Note 15. Fair Value Measurements</w:t>
            </w:r>
          </w:p>
        </w:tc>
        <w:tc>
          <w:tcPr>
            <w:tcW w:w="900" w:type="dxa"/>
            <w:vAlign w:val="bottom"/>
            <w:tcBorders>
              <w:top w:val="single" w:sz="8" w:color="0000FF"/>
            </w:tcBorders>
            <w:gridSpan w:val="3"/>
          </w:tcPr>
          <w:p>
            <w:pPr>
              <w:spacing w:after="0"/>
              <w:rPr>
                <w:sz w:val="18"/>
                <w:szCs w:val="18"/>
                <w:color w:val="auto"/>
              </w:rPr>
            </w:pPr>
          </w:p>
        </w:tc>
        <w:tc>
          <w:tcPr>
            <w:tcW w:w="4320" w:type="dxa"/>
            <w:vAlign w:val="bottom"/>
            <w:gridSpan w:val="11"/>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17</w:t>
            </w:r>
          </w:p>
        </w:tc>
      </w:tr>
      <w:tr>
        <w:trPr>
          <w:trHeight w:val="263"/>
        </w:trPr>
        <w:tc>
          <w:tcPr>
            <w:tcW w:w="20" w:type="dxa"/>
            <w:vAlign w:val="bottom"/>
          </w:tcPr>
          <w:p>
            <w:pPr>
              <w:spacing w:after="0"/>
              <w:rPr>
                <w:sz w:val="22"/>
                <w:szCs w:val="22"/>
                <w:color w:val="auto"/>
              </w:rPr>
            </w:pPr>
          </w:p>
        </w:tc>
        <w:tc>
          <w:tcPr>
            <w:tcW w:w="156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Item 2.</w:t>
            </w:r>
          </w:p>
        </w:tc>
        <w:tc>
          <w:tcPr>
            <w:tcW w:w="6460" w:type="dxa"/>
            <w:vAlign w:val="bottom"/>
            <w:tcBorders>
              <w:bottom w:val="single" w:sz="8" w:color="0000FF"/>
            </w:tcBorders>
            <w:gridSpan w:val="24"/>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1740" w:type="dxa"/>
            <w:vAlign w:val="bottom"/>
            <w:gridSpan w:val="2"/>
          </w:tcPr>
          <w:p>
            <w:pPr>
              <w:spacing w:after="0"/>
              <w:rPr>
                <w:sz w:val="22"/>
                <w:szCs w:val="22"/>
                <w:color w:val="auto"/>
              </w:rPr>
            </w:pPr>
          </w:p>
        </w:tc>
        <w:tc>
          <w:tcPr>
            <w:tcW w:w="1260" w:type="dxa"/>
            <w:vAlign w:val="bottom"/>
          </w:tcPr>
          <w:p>
            <w:pPr>
              <w:spacing w:after="0"/>
              <w:rPr>
                <w:sz w:val="22"/>
                <w:szCs w:val="22"/>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20</w:t>
            </w:r>
          </w:p>
        </w:tc>
      </w:tr>
      <w:tr>
        <w:trPr>
          <w:trHeight w:val="264"/>
        </w:trPr>
        <w:tc>
          <w:tcPr>
            <w:tcW w:w="20" w:type="dxa"/>
            <w:vAlign w:val="bottom"/>
          </w:tcPr>
          <w:p>
            <w:pPr>
              <w:spacing w:after="0"/>
              <w:rPr>
                <w:sz w:val="22"/>
                <w:szCs w:val="22"/>
                <w:color w:val="auto"/>
              </w:rPr>
            </w:pPr>
          </w:p>
        </w:tc>
        <w:tc>
          <w:tcPr>
            <w:tcW w:w="156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Item 3.</w:t>
            </w:r>
          </w:p>
        </w:tc>
        <w:tc>
          <w:tcPr>
            <w:tcW w:w="4360" w:type="dxa"/>
            <w:vAlign w:val="bottom"/>
            <w:tcBorders>
              <w:bottom w:val="single" w:sz="8" w:color="0000FF"/>
            </w:tcBorders>
            <w:gridSpan w:val="20"/>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3840" w:type="dxa"/>
            <w:vAlign w:val="bottom"/>
            <w:gridSpan w:val="6"/>
          </w:tcPr>
          <w:p>
            <w:pPr>
              <w:spacing w:after="0"/>
              <w:rPr>
                <w:sz w:val="22"/>
                <w:szCs w:val="22"/>
                <w:color w:val="auto"/>
              </w:rPr>
            </w:pPr>
          </w:p>
        </w:tc>
        <w:tc>
          <w:tcPr>
            <w:tcW w:w="1260" w:type="dxa"/>
            <w:vAlign w:val="bottom"/>
          </w:tcPr>
          <w:p>
            <w:pPr>
              <w:spacing w:after="0"/>
              <w:rPr>
                <w:sz w:val="22"/>
                <w:szCs w:val="22"/>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24</w:t>
            </w:r>
          </w:p>
        </w:tc>
      </w:tr>
      <w:tr>
        <w:trPr>
          <w:trHeight w:val="263"/>
        </w:trPr>
        <w:tc>
          <w:tcPr>
            <w:tcW w:w="20" w:type="dxa"/>
            <w:vAlign w:val="bottom"/>
          </w:tcPr>
          <w:p>
            <w:pPr>
              <w:spacing w:after="0"/>
              <w:rPr>
                <w:sz w:val="22"/>
                <w:szCs w:val="22"/>
                <w:color w:val="auto"/>
              </w:rPr>
            </w:pPr>
          </w:p>
        </w:tc>
        <w:tc>
          <w:tcPr>
            <w:tcW w:w="156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Item 4.</w:t>
            </w:r>
          </w:p>
        </w:tc>
        <w:tc>
          <w:tcPr>
            <w:tcW w:w="820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25</w:t>
            </w: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left w:val="single" w:sz="8" w:color="0000FF"/>
            </w:tcBorders>
            <w:gridSpan w:val="2"/>
            <w:shd w:val="clear" w:color="auto" w:fill="0000FF"/>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20" w:type="dxa"/>
            <w:vAlign w:val="bottom"/>
            <w:gridSpan w:val="9"/>
          </w:tcPr>
          <w:p>
            <w:pPr>
              <w:spacing w:after="0" w:line="20" w:lineRule="exact"/>
              <w:rPr>
                <w:sz w:val="1"/>
                <w:szCs w:val="1"/>
                <w:color w:val="auto"/>
              </w:rPr>
            </w:pPr>
          </w:p>
        </w:tc>
        <w:tc>
          <w:tcPr>
            <w:tcW w:w="3860" w:type="dxa"/>
            <w:vAlign w:val="bottom"/>
            <w:gridSpan w:val="7"/>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258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7"/>
              </w:rPr>
              <w:t>PART II. OTHER INFORMATION</w:t>
            </w:r>
          </w:p>
        </w:tc>
        <w:tc>
          <w:tcPr>
            <w:tcW w:w="7180" w:type="dxa"/>
            <w:vAlign w:val="bottom"/>
            <w:gridSpan w:val="21"/>
          </w:tcPr>
          <w:p>
            <w:pPr>
              <w:spacing w:after="0"/>
              <w:rPr>
                <w:sz w:val="22"/>
                <w:szCs w:val="22"/>
                <w:color w:val="auto"/>
              </w:rPr>
            </w:pPr>
          </w:p>
        </w:tc>
        <w:tc>
          <w:tcPr>
            <w:tcW w:w="1260" w:type="dxa"/>
            <w:vAlign w:val="bottom"/>
          </w:tcPr>
          <w:p>
            <w:pPr>
              <w:spacing w:after="0"/>
              <w:rPr>
                <w:sz w:val="22"/>
                <w:szCs w:val="22"/>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26</w:t>
            </w:r>
          </w:p>
        </w:tc>
      </w:tr>
      <w:tr>
        <w:trPr>
          <w:trHeight w:val="264"/>
        </w:trPr>
        <w:tc>
          <w:tcPr>
            <w:tcW w:w="20" w:type="dxa"/>
            <w:vAlign w:val="bottom"/>
          </w:tcPr>
          <w:p>
            <w:pPr>
              <w:spacing w:after="0"/>
              <w:rPr>
                <w:sz w:val="22"/>
                <w:szCs w:val="22"/>
                <w:color w:val="auto"/>
              </w:rPr>
            </w:pPr>
          </w:p>
        </w:tc>
        <w:tc>
          <w:tcPr>
            <w:tcW w:w="156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Item 1.</w:t>
            </w:r>
          </w:p>
        </w:tc>
        <w:tc>
          <w:tcPr>
            <w:tcW w:w="134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7"/>
              </w:rPr>
              <w:t>Legal Proceedings</w:t>
            </w:r>
          </w:p>
        </w:tc>
        <w:tc>
          <w:tcPr>
            <w:tcW w:w="6860" w:type="dxa"/>
            <w:vAlign w:val="bottom"/>
            <w:gridSpan w:val="20"/>
          </w:tcPr>
          <w:p>
            <w:pPr>
              <w:spacing w:after="0"/>
              <w:rPr>
                <w:sz w:val="22"/>
                <w:szCs w:val="22"/>
                <w:color w:val="auto"/>
              </w:rPr>
            </w:pPr>
          </w:p>
        </w:tc>
        <w:tc>
          <w:tcPr>
            <w:tcW w:w="1260" w:type="dxa"/>
            <w:vAlign w:val="bottom"/>
          </w:tcPr>
          <w:p>
            <w:pPr>
              <w:spacing w:after="0"/>
              <w:rPr>
                <w:sz w:val="22"/>
                <w:szCs w:val="22"/>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26</w:t>
            </w:r>
          </w:p>
        </w:tc>
      </w:tr>
      <w:tr>
        <w:trPr>
          <w:trHeight w:val="209"/>
        </w:trPr>
        <w:tc>
          <w:tcPr>
            <w:tcW w:w="20" w:type="dxa"/>
            <w:vAlign w:val="bottom"/>
          </w:tcPr>
          <w:p>
            <w:pPr>
              <w:spacing w:after="0"/>
              <w:rPr>
                <w:sz w:val="18"/>
                <w:szCs w:val="18"/>
                <w:color w:val="auto"/>
              </w:rPr>
            </w:pPr>
          </w:p>
        </w:tc>
        <w:tc>
          <w:tcPr>
            <w:tcW w:w="156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Item 1A.</w:t>
            </w:r>
          </w:p>
        </w:tc>
        <w:tc>
          <w:tcPr>
            <w:tcW w:w="820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26</w:t>
            </w: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980" w:type="dxa"/>
            <w:vAlign w:val="bottom"/>
            <w:gridSpan w:val="4"/>
          </w:tcPr>
          <w:p>
            <w:pPr>
              <w:spacing w:after="0" w:line="20" w:lineRule="exact"/>
              <w:rPr>
                <w:sz w:val="1"/>
                <w:szCs w:val="1"/>
                <w:color w:val="auto"/>
              </w:rPr>
            </w:pPr>
          </w:p>
        </w:tc>
        <w:tc>
          <w:tcPr>
            <w:tcW w:w="2020" w:type="dxa"/>
            <w:vAlign w:val="bottom"/>
            <w:gridSpan w:val="9"/>
          </w:tcPr>
          <w:p>
            <w:pPr>
              <w:spacing w:after="0" w:line="20" w:lineRule="exact"/>
              <w:rPr>
                <w:sz w:val="1"/>
                <w:szCs w:val="1"/>
                <w:color w:val="auto"/>
              </w:rPr>
            </w:pPr>
          </w:p>
        </w:tc>
        <w:tc>
          <w:tcPr>
            <w:tcW w:w="3860" w:type="dxa"/>
            <w:vAlign w:val="bottom"/>
            <w:gridSpan w:val="7"/>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56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Item 2.</w:t>
            </w:r>
          </w:p>
        </w:tc>
        <w:tc>
          <w:tcPr>
            <w:tcW w:w="820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26</w:t>
            </w:r>
          </w:p>
        </w:tc>
      </w:tr>
      <w:tr>
        <w:trPr>
          <w:trHeight w:val="210"/>
        </w:trPr>
        <w:tc>
          <w:tcPr>
            <w:tcW w:w="20" w:type="dxa"/>
            <w:vAlign w:val="bottom"/>
          </w:tcPr>
          <w:p>
            <w:pPr>
              <w:spacing w:after="0"/>
              <w:rPr>
                <w:sz w:val="18"/>
                <w:szCs w:val="18"/>
                <w:color w:val="auto"/>
              </w:rPr>
            </w:pPr>
          </w:p>
        </w:tc>
        <w:tc>
          <w:tcPr>
            <w:tcW w:w="156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Item 3.</w:t>
            </w:r>
          </w:p>
        </w:tc>
        <w:tc>
          <w:tcPr>
            <w:tcW w:w="4340" w:type="dxa"/>
            <w:vAlign w:val="bottom"/>
            <w:tcBorders>
              <w:top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3860" w:type="dxa"/>
            <w:vAlign w:val="bottom"/>
            <w:gridSpan w:val="7"/>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26</w:t>
            </w:r>
          </w:p>
        </w:tc>
      </w:tr>
      <w:tr>
        <w:trPr>
          <w:trHeight w:val="210"/>
        </w:trPr>
        <w:tc>
          <w:tcPr>
            <w:tcW w:w="20" w:type="dxa"/>
            <w:vAlign w:val="bottom"/>
          </w:tcPr>
          <w:p>
            <w:pPr>
              <w:spacing w:after="0"/>
              <w:rPr>
                <w:sz w:val="18"/>
                <w:szCs w:val="18"/>
                <w:color w:val="auto"/>
              </w:rPr>
            </w:pPr>
          </w:p>
        </w:tc>
        <w:tc>
          <w:tcPr>
            <w:tcW w:w="156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Item 4.</w:t>
            </w:r>
          </w:p>
        </w:tc>
        <w:tc>
          <w:tcPr>
            <w:tcW w:w="2320" w:type="dxa"/>
            <w:vAlign w:val="bottom"/>
            <w:tcBorders>
              <w:top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5880" w:type="dxa"/>
            <w:vAlign w:val="bottom"/>
            <w:gridSpan w:val="16"/>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27</w:t>
            </w:r>
          </w:p>
        </w:tc>
      </w:tr>
      <w:tr>
        <w:trPr>
          <w:trHeight w:val="209"/>
        </w:trPr>
        <w:tc>
          <w:tcPr>
            <w:tcW w:w="20" w:type="dxa"/>
            <w:vAlign w:val="bottom"/>
          </w:tcPr>
          <w:p>
            <w:pPr>
              <w:spacing w:after="0"/>
              <w:rPr>
                <w:sz w:val="18"/>
                <w:szCs w:val="18"/>
                <w:color w:val="auto"/>
              </w:rPr>
            </w:pPr>
          </w:p>
        </w:tc>
        <w:tc>
          <w:tcPr>
            <w:tcW w:w="156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Item 5.</w:t>
            </w:r>
          </w:p>
        </w:tc>
        <w:tc>
          <w:tcPr>
            <w:tcW w:w="1340" w:type="dxa"/>
            <w:vAlign w:val="bottom"/>
            <w:tcBorders>
              <w:top w:val="single" w:sz="8" w:color="0000FF"/>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420" w:type="dxa"/>
            <w:vAlign w:val="bottom"/>
            <w:tcBorders>
              <w:top w:val="single" w:sz="8" w:color="0000FF"/>
            </w:tcBorders>
            <w:gridSpan w:val="2"/>
          </w:tcPr>
          <w:p>
            <w:pPr>
              <w:spacing w:after="0"/>
              <w:rPr>
                <w:sz w:val="18"/>
                <w:szCs w:val="18"/>
                <w:color w:val="auto"/>
              </w:rPr>
            </w:pPr>
          </w:p>
        </w:tc>
        <w:tc>
          <w:tcPr>
            <w:tcW w:w="6440" w:type="dxa"/>
            <w:vAlign w:val="bottom"/>
            <w:gridSpan w:val="18"/>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27</w:t>
            </w:r>
          </w:p>
        </w:tc>
      </w:tr>
      <w:tr>
        <w:trPr>
          <w:trHeight w:val="210"/>
        </w:trPr>
        <w:tc>
          <w:tcPr>
            <w:tcW w:w="20" w:type="dxa"/>
            <w:vAlign w:val="bottom"/>
          </w:tcPr>
          <w:p>
            <w:pPr>
              <w:spacing w:after="0"/>
              <w:rPr>
                <w:sz w:val="18"/>
                <w:szCs w:val="18"/>
                <w:color w:val="auto"/>
              </w:rPr>
            </w:pPr>
          </w:p>
        </w:tc>
        <w:tc>
          <w:tcPr>
            <w:tcW w:w="156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Item 6.</w:t>
            </w:r>
          </w:p>
        </w:tc>
        <w:tc>
          <w:tcPr>
            <w:tcW w:w="60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6"/>
              </w:rPr>
              <w:t>Exhibits</w:t>
            </w:r>
          </w:p>
        </w:tc>
        <w:tc>
          <w:tcPr>
            <w:tcW w:w="7600" w:type="dxa"/>
            <w:vAlign w:val="bottom"/>
            <w:gridSpan w:val="23"/>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27</w:t>
            </w:r>
          </w:p>
        </w:tc>
      </w:tr>
      <w:tr>
        <w:trPr>
          <w:trHeight w:val="210"/>
        </w:trPr>
        <w:tc>
          <w:tcPr>
            <w:tcW w:w="20" w:type="dxa"/>
            <w:vAlign w:val="bottom"/>
          </w:tcPr>
          <w:p>
            <w:pPr>
              <w:spacing w:after="0"/>
              <w:rPr>
                <w:sz w:val="18"/>
                <w:szCs w:val="18"/>
                <w:color w:val="auto"/>
              </w:rPr>
            </w:pPr>
          </w:p>
        </w:tc>
        <w:tc>
          <w:tcPr>
            <w:tcW w:w="15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28</w:t>
            </w:r>
          </w:p>
        </w:tc>
      </w:tr>
      <w:tr>
        <w:trPr>
          <w:trHeight w:val="20"/>
        </w:trPr>
        <w:tc>
          <w:tcPr>
            <w:tcW w:w="20" w:type="dxa"/>
            <w:vAlign w:val="bottom"/>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2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8"/>
          <w:szCs w:val="18"/>
          <w:b w:val="1"/>
          <w:bCs w:val="1"/>
          <w:color w:val="auto"/>
        </w:rPr>
        <w:t>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NN, Inc.</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Income (Loss)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40" w:type="dxa"/>
            <w:vAlign w:val="bottom"/>
            <w:gridSpan w:val="4"/>
          </w:tcPr>
          <w:p>
            <w:pPr>
              <w:jc w:val="right"/>
              <w:ind w:right="64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94"/>
        </w:trPr>
        <w:tc>
          <w:tcPr>
            <w:tcW w:w="85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8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02"/>
        </w:trPr>
        <w:tc>
          <w:tcPr>
            <w:tcW w:w="8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Net sales</w:t>
            </w:r>
          </w:p>
        </w:tc>
        <w:tc>
          <w:tcPr>
            <w:tcW w:w="30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128,067</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126,804</w:t>
            </w:r>
          </w:p>
        </w:tc>
        <w:tc>
          <w:tcPr>
            <w:tcW w:w="0" w:type="dxa"/>
            <w:vAlign w:val="bottom"/>
          </w:tcPr>
          <w:p>
            <w:pPr>
              <w:spacing w:after="0"/>
              <w:rPr>
                <w:sz w:val="1"/>
                <w:szCs w:val="1"/>
                <w:color w:val="auto"/>
              </w:rPr>
            </w:pPr>
          </w:p>
        </w:tc>
      </w:tr>
      <w:tr>
        <w:trPr>
          <w:trHeight w:val="195"/>
        </w:trPr>
        <w:tc>
          <w:tcPr>
            <w:tcW w:w="85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Cost of sales (exclusive of depreciation and amortization shown separately below)</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104,578</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99,688</w:t>
            </w:r>
          </w:p>
        </w:tc>
        <w:tc>
          <w:tcPr>
            <w:tcW w:w="0" w:type="dxa"/>
            <w:vAlign w:val="bottom"/>
          </w:tcPr>
          <w:p>
            <w:pPr>
              <w:spacing w:after="0"/>
              <w:rPr>
                <w:sz w:val="1"/>
                <w:szCs w:val="1"/>
                <w:color w:val="auto"/>
              </w:rPr>
            </w:pPr>
          </w:p>
        </w:tc>
      </w:tr>
      <w:tr>
        <w:trPr>
          <w:trHeight w:val="210"/>
        </w:trPr>
        <w:tc>
          <w:tcPr>
            <w:tcW w:w="8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Selling, general, and administrative expense</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13,454</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14,575</w:t>
            </w:r>
          </w:p>
        </w:tc>
        <w:tc>
          <w:tcPr>
            <w:tcW w:w="0" w:type="dxa"/>
            <w:vAlign w:val="bottom"/>
          </w:tcPr>
          <w:p>
            <w:pPr>
              <w:spacing w:after="0"/>
              <w:rPr>
                <w:sz w:val="1"/>
                <w:szCs w:val="1"/>
                <w:color w:val="auto"/>
              </w:rPr>
            </w:pPr>
          </w:p>
        </w:tc>
      </w:tr>
      <w:tr>
        <w:trPr>
          <w:trHeight w:val="195"/>
        </w:trPr>
        <w:tc>
          <w:tcPr>
            <w:tcW w:w="85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11,429</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11,568</w:t>
            </w:r>
          </w:p>
        </w:tc>
        <w:tc>
          <w:tcPr>
            <w:tcW w:w="0" w:type="dxa"/>
            <w:vAlign w:val="bottom"/>
          </w:tcPr>
          <w:p>
            <w:pPr>
              <w:spacing w:after="0"/>
              <w:rPr>
                <w:sz w:val="1"/>
                <w:szCs w:val="1"/>
                <w:color w:val="auto"/>
              </w:rPr>
            </w:pPr>
          </w:p>
        </w:tc>
      </w:tr>
      <w:tr>
        <w:trPr>
          <w:trHeight w:val="210"/>
        </w:trPr>
        <w:tc>
          <w:tcPr>
            <w:tcW w:w="8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Other operating expense (income), net</w:t>
            </w: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2,026</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189"/>
        </w:trPr>
        <w:tc>
          <w:tcPr>
            <w:tcW w:w="8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 (loss) from operations</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(3,420)</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978</w:t>
            </w:r>
          </w:p>
        </w:tc>
        <w:tc>
          <w:tcPr>
            <w:tcW w:w="0" w:type="dxa"/>
            <w:vAlign w:val="bottom"/>
          </w:tcPr>
          <w:p>
            <w:pPr>
              <w:spacing w:after="0"/>
              <w:rPr>
                <w:sz w:val="1"/>
                <w:szCs w:val="1"/>
                <w:color w:val="auto"/>
              </w:rPr>
            </w:pPr>
          </w:p>
        </w:tc>
      </w:tr>
      <w:tr>
        <w:trPr>
          <w:trHeight w:val="210"/>
        </w:trPr>
        <w:tc>
          <w:tcPr>
            <w:tcW w:w="8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Interest expense</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3,439</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2,024</w:t>
            </w:r>
          </w:p>
        </w:tc>
        <w:tc>
          <w:tcPr>
            <w:tcW w:w="0" w:type="dxa"/>
            <w:vAlign w:val="bottom"/>
          </w:tcPr>
          <w:p>
            <w:pPr>
              <w:spacing w:after="0"/>
              <w:rPr>
                <w:sz w:val="1"/>
                <w:szCs w:val="1"/>
                <w:color w:val="auto"/>
              </w:rPr>
            </w:pPr>
          </w:p>
        </w:tc>
      </w:tr>
      <w:tr>
        <w:trPr>
          <w:trHeight w:val="195"/>
        </w:trPr>
        <w:tc>
          <w:tcPr>
            <w:tcW w:w="85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Loss on extinguishment of debt and write-off of debt issuance costs</w:t>
            </w:r>
          </w:p>
        </w:tc>
        <w:tc>
          <w:tcPr>
            <w:tcW w:w="30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2,390</w:t>
            </w:r>
          </w:p>
        </w:tc>
        <w:tc>
          <w:tcPr>
            <w:tcW w:w="0" w:type="dxa"/>
            <w:vAlign w:val="bottom"/>
          </w:tcPr>
          <w:p>
            <w:pPr>
              <w:spacing w:after="0"/>
              <w:rPr>
                <w:sz w:val="1"/>
                <w:szCs w:val="1"/>
                <w:color w:val="auto"/>
              </w:rPr>
            </w:pPr>
          </w:p>
        </w:tc>
      </w:tr>
      <w:tr>
        <w:trPr>
          <w:trHeight w:val="210"/>
        </w:trPr>
        <w:tc>
          <w:tcPr>
            <w:tcW w:w="8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Derivative payments on interest rate swap</w:t>
            </w: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1,717</w:t>
            </w:r>
          </w:p>
        </w:tc>
        <w:tc>
          <w:tcPr>
            <w:tcW w:w="0" w:type="dxa"/>
            <w:vAlign w:val="bottom"/>
          </w:tcPr>
          <w:p>
            <w:pPr>
              <w:spacing w:after="0"/>
              <w:rPr>
                <w:sz w:val="1"/>
                <w:szCs w:val="1"/>
                <w:color w:val="auto"/>
              </w:rPr>
            </w:pPr>
          </w:p>
        </w:tc>
      </w:tr>
      <w:tr>
        <w:trPr>
          <w:trHeight w:val="195"/>
        </w:trPr>
        <w:tc>
          <w:tcPr>
            <w:tcW w:w="85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Loss on interest rate swap</w:t>
            </w:r>
          </w:p>
        </w:tc>
        <w:tc>
          <w:tcPr>
            <w:tcW w:w="30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2,033</w:t>
            </w:r>
          </w:p>
        </w:tc>
        <w:tc>
          <w:tcPr>
            <w:tcW w:w="0" w:type="dxa"/>
            <w:vAlign w:val="bottom"/>
          </w:tcPr>
          <w:p>
            <w:pPr>
              <w:spacing w:after="0"/>
              <w:rPr>
                <w:sz w:val="1"/>
                <w:szCs w:val="1"/>
                <w:color w:val="auto"/>
              </w:rPr>
            </w:pPr>
          </w:p>
        </w:tc>
      </w:tr>
      <w:tr>
        <w:trPr>
          <w:trHeight w:val="210"/>
        </w:trPr>
        <w:tc>
          <w:tcPr>
            <w:tcW w:w="8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Other income, net</w:t>
            </w: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(2,996)</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w:t>
            </w:r>
          </w:p>
        </w:tc>
        <w:tc>
          <w:tcPr>
            <w:tcW w:w="0" w:type="dxa"/>
            <w:vAlign w:val="bottom"/>
          </w:tcPr>
          <w:p>
            <w:pPr>
              <w:spacing w:after="0"/>
              <w:rPr>
                <w:sz w:val="1"/>
                <w:szCs w:val="1"/>
                <w:color w:val="auto"/>
              </w:rPr>
            </w:pPr>
          </w:p>
        </w:tc>
      </w:tr>
      <w:tr>
        <w:trPr>
          <w:trHeight w:val="189"/>
        </w:trPr>
        <w:tc>
          <w:tcPr>
            <w:tcW w:w="8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Loss before benefit (provision) for income taxes and share of net income from joint venture</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(3,863)</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(7,064)</w:t>
            </w:r>
          </w:p>
        </w:tc>
        <w:tc>
          <w:tcPr>
            <w:tcW w:w="0" w:type="dxa"/>
            <w:vAlign w:val="bottom"/>
          </w:tcPr>
          <w:p>
            <w:pPr>
              <w:spacing w:after="0"/>
              <w:rPr>
                <w:sz w:val="1"/>
                <w:szCs w:val="1"/>
                <w:color w:val="auto"/>
              </w:rPr>
            </w:pPr>
          </w:p>
        </w:tc>
      </w:tr>
      <w:tr>
        <w:trPr>
          <w:trHeight w:val="210"/>
        </w:trPr>
        <w:tc>
          <w:tcPr>
            <w:tcW w:w="8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Benefit (provision) for income taxes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756</w:t>
            </w:r>
          </w:p>
        </w:tc>
        <w:tc>
          <w:tcPr>
            <w:tcW w:w="0" w:type="dxa"/>
            <w:vAlign w:val="bottom"/>
          </w:tcPr>
          <w:p>
            <w:pPr>
              <w:spacing w:after="0"/>
              <w:rPr>
                <w:sz w:val="1"/>
                <w:szCs w:val="1"/>
                <w:color w:val="auto"/>
              </w:rPr>
            </w:pPr>
          </w:p>
        </w:tc>
      </w:tr>
      <w:tr>
        <w:trPr>
          <w:trHeight w:val="196"/>
        </w:trPr>
        <w:tc>
          <w:tcPr>
            <w:tcW w:w="85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4"/>
                <w:szCs w:val="14"/>
                <w:color w:val="auto"/>
              </w:rPr>
              <w:t>Share of net income from joint venture</w:t>
            </w: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2,092</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1,395</w:t>
            </w:r>
          </w:p>
        </w:tc>
        <w:tc>
          <w:tcPr>
            <w:tcW w:w="0" w:type="dxa"/>
            <w:vAlign w:val="bottom"/>
          </w:tcPr>
          <w:p>
            <w:pPr>
              <w:spacing w:after="0"/>
              <w:rPr>
                <w:sz w:val="1"/>
                <w:szCs w:val="1"/>
                <w:color w:val="auto"/>
              </w:rPr>
            </w:pPr>
          </w:p>
        </w:tc>
      </w:tr>
      <w:tr>
        <w:trPr>
          <w:trHeight w:val="203"/>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loss</w:t>
            </w: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(3,302)</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(4,913)</w:t>
            </w:r>
          </w:p>
        </w:tc>
        <w:tc>
          <w:tcPr>
            <w:tcW w:w="0" w:type="dxa"/>
            <w:vAlign w:val="bottom"/>
          </w:tcPr>
          <w:p>
            <w:pPr>
              <w:spacing w:after="0"/>
              <w:rPr>
                <w:sz w:val="1"/>
                <w:szCs w:val="1"/>
                <w:color w:val="auto"/>
              </w:rPr>
            </w:pPr>
          </w:p>
        </w:tc>
      </w:tr>
      <w:tr>
        <w:trPr>
          <w:trHeight w:val="175"/>
        </w:trPr>
        <w:tc>
          <w:tcPr>
            <w:tcW w:w="8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income (loss):</w:t>
            </w: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8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Foreign currency translation gain (loss)</w:t>
            </w:r>
          </w:p>
        </w:tc>
        <w:tc>
          <w:tcPr>
            <w:tcW w:w="30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2,600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(3,347)</w:t>
            </w:r>
          </w:p>
        </w:tc>
        <w:tc>
          <w:tcPr>
            <w:tcW w:w="0" w:type="dxa"/>
            <w:vAlign w:val="bottom"/>
          </w:tcPr>
          <w:p>
            <w:pPr>
              <w:spacing w:after="0"/>
              <w:rPr>
                <w:sz w:val="1"/>
                <w:szCs w:val="1"/>
                <w:color w:val="auto"/>
              </w:rPr>
            </w:pPr>
          </w:p>
        </w:tc>
      </w:tr>
      <w:tr>
        <w:trPr>
          <w:trHeight w:val="195"/>
        </w:trPr>
        <w:tc>
          <w:tcPr>
            <w:tcW w:w="85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Interest rate swap:</w:t>
            </w: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85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Change in fair value, net of tax</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8500" w:type="dxa"/>
            <w:vAlign w:val="bottom"/>
            <w:tcBorders>
              <w:bottom w:val="single" w:sz="8" w:color="CCEEFF"/>
            </w:tcBorders>
          </w:tcPr>
          <w:p>
            <w:pPr>
              <w:ind w:left="560"/>
              <w:spacing w:after="0"/>
              <w:rPr>
                <w:sz w:val="20"/>
                <w:szCs w:val="20"/>
                <w:color w:val="auto"/>
              </w:rPr>
            </w:pPr>
            <w:r>
              <w:rPr>
                <w:rFonts w:ascii="Times New Roman" w:cs="Times New Roman" w:eastAsia="Times New Roman" w:hAnsi="Times New Roman"/>
                <w:sz w:val="14"/>
                <w:szCs w:val="14"/>
                <w:color w:val="auto"/>
              </w:rPr>
              <w:t>Reclassification adjustment for losses included in net loss, net of tax</w:t>
            </w: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2,851</w:t>
            </w:r>
          </w:p>
        </w:tc>
        <w:tc>
          <w:tcPr>
            <w:tcW w:w="0" w:type="dxa"/>
            <w:vAlign w:val="bottom"/>
          </w:tcPr>
          <w:p>
            <w:pPr>
              <w:spacing w:after="0"/>
              <w:rPr>
                <w:sz w:val="1"/>
                <w:szCs w:val="1"/>
                <w:color w:val="auto"/>
              </w:rPr>
            </w:pPr>
          </w:p>
        </w:tc>
      </w:tr>
      <w:tr>
        <w:trPr>
          <w:trHeight w:val="202"/>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income (loss)</w:t>
            </w: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3,821</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(496)</w:t>
            </w:r>
          </w:p>
        </w:tc>
        <w:tc>
          <w:tcPr>
            <w:tcW w:w="0" w:type="dxa"/>
            <w:vAlign w:val="bottom"/>
          </w:tcPr>
          <w:p>
            <w:pPr>
              <w:spacing w:after="0"/>
              <w:rPr>
                <w:sz w:val="1"/>
                <w:szCs w:val="1"/>
                <w:color w:val="auto"/>
              </w:rPr>
            </w:pPr>
          </w:p>
        </w:tc>
      </w:tr>
      <w:tr>
        <w:trPr>
          <w:trHeight w:val="190"/>
        </w:trPr>
        <w:tc>
          <w:tcPr>
            <w:tcW w:w="85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Comprehensive income (loss)</w:t>
            </w:r>
          </w:p>
        </w:tc>
        <w:tc>
          <w:tcPr>
            <w:tcW w:w="30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519</w:t>
            </w:r>
          </w:p>
        </w:tc>
        <w:tc>
          <w:tcPr>
            <w:tcW w:w="100" w:type="dxa"/>
            <w:vAlign w:val="bottom"/>
          </w:tcPr>
          <w:p>
            <w:pPr>
              <w:spacing w:after="0"/>
              <w:rPr>
                <w:sz w:val="16"/>
                <w:szCs w:val="16"/>
                <w:color w:val="auto"/>
              </w:rPr>
            </w:pPr>
          </w:p>
        </w:tc>
        <w:tc>
          <w:tcPr>
            <w:tcW w:w="38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(5,409)</w:t>
            </w:r>
          </w:p>
        </w:tc>
        <w:tc>
          <w:tcPr>
            <w:tcW w:w="0" w:type="dxa"/>
            <w:vAlign w:val="bottom"/>
          </w:tcPr>
          <w:p>
            <w:pPr>
              <w:spacing w:after="0"/>
              <w:rPr>
                <w:sz w:val="1"/>
                <w:szCs w:val="1"/>
                <w:color w:val="auto"/>
              </w:rPr>
            </w:pPr>
          </w:p>
        </w:tc>
      </w:tr>
      <w:tr>
        <w:trPr>
          <w:trHeight w:val="20"/>
        </w:trPr>
        <w:tc>
          <w:tcPr>
            <w:tcW w:w="85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6"/>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Basic net loss per common share:</w:t>
            </w: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5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Net loss per common share</w:t>
            </w:r>
          </w:p>
        </w:tc>
        <w:tc>
          <w:tcPr>
            <w:tcW w:w="30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(0.13)</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(0.46)</w:t>
            </w:r>
          </w:p>
        </w:tc>
        <w:tc>
          <w:tcPr>
            <w:tcW w:w="0" w:type="dxa"/>
            <w:vAlign w:val="bottom"/>
          </w:tcPr>
          <w:p>
            <w:pPr>
              <w:spacing w:after="0"/>
              <w:rPr>
                <w:sz w:val="1"/>
                <w:szCs w:val="1"/>
                <w:color w:val="auto"/>
              </w:rPr>
            </w:pPr>
          </w:p>
        </w:tc>
      </w:tr>
      <w:tr>
        <w:trPr>
          <w:trHeight w:val="20"/>
        </w:trPr>
        <w:tc>
          <w:tcPr>
            <w:tcW w:w="85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8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Weighted average common shares outstanding</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44,594</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42,672</w:t>
            </w:r>
          </w:p>
        </w:tc>
        <w:tc>
          <w:tcPr>
            <w:tcW w:w="0" w:type="dxa"/>
            <w:vAlign w:val="bottom"/>
          </w:tcPr>
          <w:p>
            <w:pPr>
              <w:spacing w:after="0"/>
              <w:rPr>
                <w:sz w:val="1"/>
                <w:szCs w:val="1"/>
                <w:color w:val="auto"/>
              </w:rPr>
            </w:pPr>
          </w:p>
        </w:tc>
      </w:tr>
      <w:tr>
        <w:trPr>
          <w:trHeight w:val="196"/>
        </w:trPr>
        <w:tc>
          <w:tcPr>
            <w:tcW w:w="85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Diluted net loss per common share:</w:t>
            </w: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85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Net loss per common share</w:t>
            </w: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(0.13)</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(0.46)</w:t>
            </w:r>
          </w:p>
        </w:tc>
        <w:tc>
          <w:tcPr>
            <w:tcW w:w="0" w:type="dxa"/>
            <w:vAlign w:val="bottom"/>
          </w:tcPr>
          <w:p>
            <w:pPr>
              <w:spacing w:after="0"/>
              <w:rPr>
                <w:sz w:val="1"/>
                <w:szCs w:val="1"/>
                <w:color w:val="auto"/>
              </w:rPr>
            </w:pPr>
          </w:p>
        </w:tc>
      </w:tr>
      <w:tr>
        <w:trPr>
          <w:trHeight w:val="20"/>
        </w:trPr>
        <w:tc>
          <w:tcPr>
            <w:tcW w:w="8500" w:type="dxa"/>
            <w:vAlign w:val="bottom"/>
            <w:tcBorders>
              <w:top w:val="single" w:sz="8" w:color="CCEEFF"/>
              <w:bottom w:val="single" w:sz="8" w:color="CCEEFF"/>
            </w:tcBorders>
            <w:vMerge w:val="restart"/>
          </w:tcPr>
          <w:p>
            <w:pPr>
              <w:ind w:left="360"/>
              <w:spacing w:after="0"/>
              <w:rPr>
                <w:sz w:val="20"/>
                <w:szCs w:val="20"/>
                <w:color w:val="auto"/>
              </w:rPr>
            </w:pPr>
            <w:r>
              <w:rPr>
                <w:rFonts w:ascii="Times New Roman" w:cs="Times New Roman" w:eastAsia="Times New Roman" w:hAnsi="Times New Roman"/>
                <w:sz w:val="14"/>
                <w:szCs w:val="14"/>
                <w:color w:val="auto"/>
              </w:rPr>
              <w:t>Weighted average common shares outstanding</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5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44,594</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42,672</w:t>
            </w:r>
          </w:p>
        </w:tc>
        <w:tc>
          <w:tcPr>
            <w:tcW w:w="0" w:type="dxa"/>
            <w:vAlign w:val="bottom"/>
          </w:tcPr>
          <w:p>
            <w:pPr>
              <w:spacing w:after="0"/>
              <w:rPr>
                <w:sz w:val="1"/>
                <w:szCs w:val="1"/>
                <w:color w:val="auto"/>
              </w:rPr>
            </w:pPr>
          </w:p>
        </w:tc>
      </w:tr>
    </w:tbl>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See notes to condensed consolidated financial statements (unaudited).</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NN,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7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120" w:type="dxa"/>
            <w:vAlign w:val="bottom"/>
          </w:tcPr>
          <w:p>
            <w:pPr>
              <w:spacing w:after="0"/>
              <w:rPr>
                <w:sz w:val="16"/>
                <w:szCs w:val="16"/>
                <w:color w:val="auto"/>
              </w:rPr>
            </w:pP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0" w:type="dxa"/>
            <w:vAlign w:val="bottom"/>
          </w:tcPr>
          <w:p>
            <w:pPr>
              <w:spacing w:after="0"/>
              <w:rPr>
                <w:sz w:val="1"/>
                <w:szCs w:val="1"/>
                <w:color w:val="auto"/>
              </w:rPr>
            </w:pPr>
          </w:p>
        </w:tc>
      </w:tr>
      <w:tr>
        <w:trPr>
          <w:trHeight w:val="23"/>
        </w:trPr>
        <w:tc>
          <w:tcPr>
            <w:tcW w:w="87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87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Current assets:</w:t>
            </w: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8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20,627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28,656</w:t>
            </w:r>
          </w:p>
        </w:tc>
        <w:tc>
          <w:tcPr>
            <w:tcW w:w="0" w:type="dxa"/>
            <w:vAlign w:val="bottom"/>
          </w:tcPr>
          <w:p>
            <w:pPr>
              <w:spacing w:after="0"/>
              <w:rPr>
                <w:sz w:val="1"/>
                <w:szCs w:val="1"/>
                <w:color w:val="auto"/>
              </w:rPr>
            </w:pPr>
          </w:p>
        </w:tc>
      </w:tr>
      <w:tr>
        <w:trPr>
          <w:trHeight w:val="195"/>
        </w:trPr>
        <w:tc>
          <w:tcPr>
            <w:tcW w:w="87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Accounts receivable, net of allowances of $1,684 and $1,352 at March 31, 2022 and December 31, 2021, respectively</w:t>
            </w:r>
          </w:p>
        </w:tc>
        <w:tc>
          <w:tcPr>
            <w:tcW w:w="120" w:type="dxa"/>
            <w:vAlign w:val="bottom"/>
          </w:tcPr>
          <w:p>
            <w:pPr>
              <w:spacing w:after="0"/>
              <w:rPr>
                <w:sz w:val="16"/>
                <w:szCs w:val="16"/>
                <w:color w:val="auto"/>
              </w:rPr>
            </w:pPr>
          </w:p>
        </w:tc>
        <w:tc>
          <w:tcPr>
            <w:tcW w:w="11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89,397</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71,419</w:t>
            </w:r>
          </w:p>
        </w:tc>
        <w:tc>
          <w:tcPr>
            <w:tcW w:w="0" w:type="dxa"/>
            <w:vAlign w:val="bottom"/>
          </w:tcPr>
          <w:p>
            <w:pPr>
              <w:spacing w:after="0"/>
              <w:rPr>
                <w:sz w:val="1"/>
                <w:szCs w:val="1"/>
                <w:color w:val="auto"/>
              </w:rPr>
            </w:pPr>
          </w:p>
        </w:tc>
      </w:tr>
      <w:tr>
        <w:trPr>
          <w:trHeight w:val="210"/>
        </w:trPr>
        <w:tc>
          <w:tcPr>
            <w:tcW w:w="8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Inventories</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81,239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75,027</w:t>
            </w:r>
          </w:p>
        </w:tc>
        <w:tc>
          <w:tcPr>
            <w:tcW w:w="0" w:type="dxa"/>
            <w:vAlign w:val="bottom"/>
          </w:tcPr>
          <w:p>
            <w:pPr>
              <w:spacing w:after="0"/>
              <w:rPr>
                <w:sz w:val="1"/>
                <w:szCs w:val="1"/>
                <w:color w:val="auto"/>
              </w:rPr>
            </w:pPr>
          </w:p>
        </w:tc>
      </w:tr>
      <w:tr>
        <w:trPr>
          <w:trHeight w:val="195"/>
        </w:trPr>
        <w:tc>
          <w:tcPr>
            <w:tcW w:w="87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Income tax receivable</w:t>
            </w:r>
          </w:p>
        </w:tc>
        <w:tc>
          <w:tcPr>
            <w:tcW w:w="120" w:type="dxa"/>
            <w:vAlign w:val="bottom"/>
          </w:tcPr>
          <w:p>
            <w:pPr>
              <w:spacing w:after="0"/>
              <w:rPr>
                <w:sz w:val="16"/>
                <w:szCs w:val="16"/>
                <w:color w:val="auto"/>
              </w:rPr>
            </w:pPr>
          </w:p>
        </w:tc>
        <w:tc>
          <w:tcPr>
            <w:tcW w:w="11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11,055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11,808</w:t>
            </w:r>
          </w:p>
        </w:tc>
        <w:tc>
          <w:tcPr>
            <w:tcW w:w="0" w:type="dxa"/>
            <w:vAlign w:val="bottom"/>
          </w:tcPr>
          <w:p>
            <w:pPr>
              <w:spacing w:after="0"/>
              <w:rPr>
                <w:sz w:val="1"/>
                <w:szCs w:val="1"/>
                <w:color w:val="auto"/>
              </w:rPr>
            </w:pPr>
          </w:p>
        </w:tc>
      </w:tr>
      <w:tr>
        <w:trPr>
          <w:trHeight w:val="210"/>
        </w:trPr>
        <w:tc>
          <w:tcPr>
            <w:tcW w:w="8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Other current assets</w:t>
            </w: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14,989</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9,372</w:t>
            </w:r>
          </w:p>
        </w:tc>
        <w:tc>
          <w:tcPr>
            <w:tcW w:w="0" w:type="dxa"/>
            <w:vAlign w:val="bottom"/>
          </w:tcPr>
          <w:p>
            <w:pPr>
              <w:spacing w:after="0"/>
              <w:rPr>
                <w:sz w:val="1"/>
                <w:szCs w:val="1"/>
                <w:color w:val="auto"/>
              </w:rPr>
            </w:pPr>
          </w:p>
        </w:tc>
      </w:tr>
      <w:tr>
        <w:trPr>
          <w:trHeight w:val="189"/>
        </w:trPr>
        <w:tc>
          <w:tcPr>
            <w:tcW w:w="872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Total current assets</w:t>
            </w:r>
          </w:p>
        </w:tc>
        <w:tc>
          <w:tcPr>
            <w:tcW w:w="120" w:type="dxa"/>
            <w:vAlign w:val="bottom"/>
          </w:tcPr>
          <w:p>
            <w:pPr>
              <w:spacing w:after="0"/>
              <w:rPr>
                <w:sz w:val="16"/>
                <w:szCs w:val="16"/>
                <w:color w:val="auto"/>
              </w:rPr>
            </w:pPr>
          </w:p>
        </w:tc>
        <w:tc>
          <w:tcPr>
            <w:tcW w:w="11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217,307</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196,282</w:t>
            </w:r>
          </w:p>
        </w:tc>
        <w:tc>
          <w:tcPr>
            <w:tcW w:w="0" w:type="dxa"/>
            <w:vAlign w:val="bottom"/>
          </w:tcPr>
          <w:p>
            <w:pPr>
              <w:spacing w:after="0"/>
              <w:rPr>
                <w:sz w:val="1"/>
                <w:szCs w:val="1"/>
                <w:color w:val="auto"/>
              </w:rPr>
            </w:pPr>
          </w:p>
        </w:tc>
      </w:tr>
      <w:tr>
        <w:trPr>
          <w:trHeight w:val="146"/>
        </w:trPr>
        <w:tc>
          <w:tcPr>
            <w:tcW w:w="8720" w:type="dxa"/>
            <w:vAlign w:val="bottom"/>
            <w:shd w:val="clear" w:color="auto" w:fill="CCEEFF"/>
          </w:tcPr>
          <w:p>
            <w:pPr>
              <w:ind w:left="180"/>
              <w:spacing w:after="0" w:line="147" w:lineRule="exact"/>
              <w:rPr>
                <w:sz w:val="20"/>
                <w:szCs w:val="20"/>
                <w:color w:val="auto"/>
              </w:rPr>
            </w:pPr>
            <w:r>
              <w:rPr>
                <w:rFonts w:ascii="Times New Roman" w:cs="Times New Roman" w:eastAsia="Times New Roman" w:hAnsi="Times New Roman"/>
                <w:sz w:val="14"/>
                <w:szCs w:val="14"/>
                <w:color w:val="auto"/>
              </w:rPr>
              <w:t>Property, plant and equipment, net of accumulated depreciation of $207,636 and $197,936 at March 31, 2022 and December 31, 2021,</w:t>
            </w:r>
          </w:p>
        </w:tc>
        <w:tc>
          <w:tcPr>
            <w:tcW w:w="120" w:type="dxa"/>
            <w:vAlign w:val="bottom"/>
            <w:shd w:val="clear" w:color="auto" w:fill="CCEEFF"/>
          </w:tcPr>
          <w:p>
            <w:pPr>
              <w:spacing w:after="0"/>
              <w:rPr>
                <w:sz w:val="12"/>
                <w:szCs w:val="12"/>
                <w:color w:val="auto"/>
              </w:rPr>
            </w:pPr>
          </w:p>
        </w:tc>
        <w:tc>
          <w:tcPr>
            <w:tcW w:w="110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208,286</w:t>
            </w: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209,105</w:t>
            </w:r>
          </w:p>
        </w:tc>
        <w:tc>
          <w:tcPr>
            <w:tcW w:w="0" w:type="dxa"/>
            <w:vAlign w:val="bottom"/>
          </w:tcPr>
          <w:p>
            <w:pPr>
              <w:spacing w:after="0"/>
              <w:rPr>
                <w:sz w:val="1"/>
                <w:szCs w:val="1"/>
                <w:color w:val="auto"/>
              </w:rPr>
            </w:pPr>
          </w:p>
        </w:tc>
      </w:tr>
      <w:tr>
        <w:trPr>
          <w:trHeight w:val="198"/>
        </w:trPr>
        <w:tc>
          <w:tcPr>
            <w:tcW w:w="8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respectively</w:t>
            </w:r>
          </w:p>
        </w:tc>
        <w:tc>
          <w:tcPr>
            <w:tcW w:w="120" w:type="dxa"/>
            <w:vAlign w:val="bottom"/>
            <w:shd w:val="clear" w:color="auto" w:fill="CCEEFF"/>
          </w:tcPr>
          <w:p>
            <w:pPr>
              <w:spacing w:after="0"/>
              <w:rPr>
                <w:sz w:val="17"/>
                <w:szCs w:val="17"/>
                <w:color w:val="auto"/>
              </w:rPr>
            </w:pPr>
          </w:p>
        </w:tc>
        <w:tc>
          <w:tcPr>
            <w:tcW w:w="11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87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Operating lease right-of-use assets</w:t>
            </w:r>
          </w:p>
        </w:tc>
        <w:tc>
          <w:tcPr>
            <w:tcW w:w="120" w:type="dxa"/>
            <w:vAlign w:val="bottom"/>
          </w:tcPr>
          <w:p>
            <w:pPr>
              <w:spacing w:after="0"/>
              <w:rPr>
                <w:sz w:val="16"/>
                <w:szCs w:val="16"/>
                <w:color w:val="auto"/>
              </w:rPr>
            </w:pPr>
          </w:p>
        </w:tc>
        <w:tc>
          <w:tcPr>
            <w:tcW w:w="11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46,771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46,443</w:t>
            </w:r>
          </w:p>
        </w:tc>
        <w:tc>
          <w:tcPr>
            <w:tcW w:w="0" w:type="dxa"/>
            <w:vAlign w:val="bottom"/>
          </w:tcPr>
          <w:p>
            <w:pPr>
              <w:spacing w:after="0"/>
              <w:rPr>
                <w:sz w:val="1"/>
                <w:szCs w:val="1"/>
                <w:color w:val="auto"/>
              </w:rPr>
            </w:pPr>
          </w:p>
        </w:tc>
      </w:tr>
      <w:tr>
        <w:trPr>
          <w:trHeight w:val="210"/>
        </w:trPr>
        <w:tc>
          <w:tcPr>
            <w:tcW w:w="8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Intangible assets, net</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85,131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88,718</w:t>
            </w:r>
          </w:p>
        </w:tc>
        <w:tc>
          <w:tcPr>
            <w:tcW w:w="0" w:type="dxa"/>
            <w:vAlign w:val="bottom"/>
          </w:tcPr>
          <w:p>
            <w:pPr>
              <w:spacing w:after="0"/>
              <w:rPr>
                <w:sz w:val="1"/>
                <w:szCs w:val="1"/>
                <w:color w:val="auto"/>
              </w:rPr>
            </w:pPr>
          </w:p>
        </w:tc>
      </w:tr>
      <w:tr>
        <w:trPr>
          <w:trHeight w:val="195"/>
        </w:trPr>
        <w:tc>
          <w:tcPr>
            <w:tcW w:w="87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Investment in joint venture</w:t>
            </w:r>
          </w:p>
        </w:tc>
        <w:tc>
          <w:tcPr>
            <w:tcW w:w="120" w:type="dxa"/>
            <w:vAlign w:val="bottom"/>
          </w:tcPr>
          <w:p>
            <w:pPr>
              <w:spacing w:after="0"/>
              <w:rPr>
                <w:sz w:val="16"/>
                <w:szCs w:val="16"/>
                <w:color w:val="auto"/>
              </w:rPr>
            </w:pPr>
          </w:p>
        </w:tc>
        <w:tc>
          <w:tcPr>
            <w:tcW w:w="11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32,177</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34,045</w:t>
            </w:r>
          </w:p>
        </w:tc>
        <w:tc>
          <w:tcPr>
            <w:tcW w:w="0" w:type="dxa"/>
            <w:vAlign w:val="bottom"/>
          </w:tcPr>
          <w:p>
            <w:pPr>
              <w:spacing w:after="0"/>
              <w:rPr>
                <w:sz w:val="1"/>
                <w:szCs w:val="1"/>
                <w:color w:val="auto"/>
              </w:rPr>
            </w:pPr>
          </w:p>
        </w:tc>
      </w:tr>
      <w:tr>
        <w:trPr>
          <w:trHeight w:val="210"/>
        </w:trPr>
        <w:tc>
          <w:tcPr>
            <w:tcW w:w="8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Deferred tax assets</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313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314</w:t>
            </w:r>
          </w:p>
        </w:tc>
        <w:tc>
          <w:tcPr>
            <w:tcW w:w="0" w:type="dxa"/>
            <w:vAlign w:val="bottom"/>
          </w:tcPr>
          <w:p>
            <w:pPr>
              <w:spacing w:after="0"/>
              <w:rPr>
                <w:sz w:val="1"/>
                <w:szCs w:val="1"/>
                <w:color w:val="auto"/>
              </w:rPr>
            </w:pPr>
          </w:p>
        </w:tc>
      </w:tr>
      <w:tr>
        <w:trPr>
          <w:trHeight w:val="196"/>
        </w:trPr>
        <w:tc>
          <w:tcPr>
            <w:tcW w:w="87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Other non-current assets</w:t>
            </w:r>
          </w:p>
        </w:tc>
        <w:tc>
          <w:tcPr>
            <w:tcW w:w="1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5,863</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4,194</w:t>
            </w:r>
          </w:p>
        </w:tc>
        <w:tc>
          <w:tcPr>
            <w:tcW w:w="0" w:type="dxa"/>
            <w:vAlign w:val="bottom"/>
          </w:tcPr>
          <w:p>
            <w:pPr>
              <w:spacing w:after="0"/>
              <w:rPr>
                <w:sz w:val="1"/>
                <w:szCs w:val="1"/>
                <w:color w:val="auto"/>
              </w:rPr>
            </w:pPr>
          </w:p>
        </w:tc>
      </w:tr>
      <w:tr>
        <w:trPr>
          <w:trHeight w:val="221"/>
        </w:trPr>
        <w:tc>
          <w:tcPr>
            <w:tcW w:w="8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assets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595,848</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579,101</w:t>
            </w:r>
          </w:p>
        </w:tc>
        <w:tc>
          <w:tcPr>
            <w:tcW w:w="0" w:type="dxa"/>
            <w:vAlign w:val="bottom"/>
          </w:tcPr>
          <w:p>
            <w:pPr>
              <w:spacing w:after="0"/>
              <w:rPr>
                <w:sz w:val="1"/>
                <w:szCs w:val="1"/>
                <w:color w:val="auto"/>
              </w:rPr>
            </w:pPr>
          </w:p>
        </w:tc>
      </w:tr>
      <w:tr>
        <w:trPr>
          <w:trHeight w:val="20"/>
        </w:trPr>
        <w:tc>
          <w:tcPr>
            <w:tcW w:w="87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 Preferred Stock, and Stockholders’ Equity</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87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8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Current liabilities:</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87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Accounts payable</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48,906</w:t>
            </w:r>
          </w:p>
        </w:tc>
        <w:tc>
          <w:tcPr>
            <w:tcW w:w="100" w:type="dxa"/>
            <w:vAlign w:val="bottom"/>
          </w:tcPr>
          <w:p>
            <w:pPr>
              <w:spacing w:after="0"/>
              <w:rPr>
                <w:sz w:val="16"/>
                <w:szCs w:val="16"/>
                <w:color w:val="auto"/>
              </w:rPr>
            </w:pPr>
          </w:p>
        </w:tc>
        <w:tc>
          <w:tcPr>
            <w:tcW w:w="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36,710</w:t>
            </w:r>
          </w:p>
        </w:tc>
        <w:tc>
          <w:tcPr>
            <w:tcW w:w="0" w:type="dxa"/>
            <w:vAlign w:val="bottom"/>
          </w:tcPr>
          <w:p>
            <w:pPr>
              <w:spacing w:after="0"/>
              <w:rPr>
                <w:sz w:val="1"/>
                <w:szCs w:val="1"/>
                <w:color w:val="auto"/>
              </w:rPr>
            </w:pPr>
          </w:p>
        </w:tc>
      </w:tr>
      <w:tr>
        <w:trPr>
          <w:trHeight w:val="210"/>
        </w:trPr>
        <w:tc>
          <w:tcPr>
            <w:tcW w:w="8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Accrued salaries, wages and benefits</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20,695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17,739</w:t>
            </w:r>
          </w:p>
        </w:tc>
        <w:tc>
          <w:tcPr>
            <w:tcW w:w="0" w:type="dxa"/>
            <w:vAlign w:val="bottom"/>
          </w:tcPr>
          <w:p>
            <w:pPr>
              <w:spacing w:after="0"/>
              <w:rPr>
                <w:sz w:val="1"/>
                <w:szCs w:val="1"/>
                <w:color w:val="auto"/>
              </w:rPr>
            </w:pPr>
          </w:p>
        </w:tc>
      </w:tr>
      <w:tr>
        <w:trPr>
          <w:trHeight w:val="195"/>
        </w:trPr>
        <w:tc>
          <w:tcPr>
            <w:tcW w:w="87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Income tax payable</w:t>
            </w:r>
          </w:p>
        </w:tc>
        <w:tc>
          <w:tcPr>
            <w:tcW w:w="120" w:type="dxa"/>
            <w:vAlign w:val="bottom"/>
          </w:tcPr>
          <w:p>
            <w:pPr>
              <w:spacing w:after="0"/>
              <w:rPr>
                <w:sz w:val="16"/>
                <w:szCs w:val="16"/>
                <w:color w:val="auto"/>
              </w:rPr>
            </w:pPr>
          </w:p>
        </w:tc>
        <w:tc>
          <w:tcPr>
            <w:tcW w:w="11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676</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2,072</w:t>
            </w:r>
          </w:p>
        </w:tc>
        <w:tc>
          <w:tcPr>
            <w:tcW w:w="0" w:type="dxa"/>
            <w:vAlign w:val="bottom"/>
          </w:tcPr>
          <w:p>
            <w:pPr>
              <w:spacing w:after="0"/>
              <w:rPr>
                <w:sz w:val="1"/>
                <w:szCs w:val="1"/>
                <w:color w:val="auto"/>
              </w:rPr>
            </w:pPr>
          </w:p>
        </w:tc>
      </w:tr>
      <w:tr>
        <w:trPr>
          <w:trHeight w:val="210"/>
        </w:trPr>
        <w:tc>
          <w:tcPr>
            <w:tcW w:w="8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Current maturities of long-term debt</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3,138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3,074</w:t>
            </w:r>
          </w:p>
        </w:tc>
        <w:tc>
          <w:tcPr>
            <w:tcW w:w="0" w:type="dxa"/>
            <w:vAlign w:val="bottom"/>
          </w:tcPr>
          <w:p>
            <w:pPr>
              <w:spacing w:after="0"/>
              <w:rPr>
                <w:sz w:val="1"/>
                <w:szCs w:val="1"/>
                <w:color w:val="auto"/>
              </w:rPr>
            </w:pPr>
          </w:p>
        </w:tc>
      </w:tr>
      <w:tr>
        <w:trPr>
          <w:trHeight w:val="195"/>
        </w:trPr>
        <w:tc>
          <w:tcPr>
            <w:tcW w:w="87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Current portion of operating lease liabilities</w:t>
            </w:r>
          </w:p>
        </w:tc>
        <w:tc>
          <w:tcPr>
            <w:tcW w:w="120" w:type="dxa"/>
            <w:vAlign w:val="bottom"/>
          </w:tcPr>
          <w:p>
            <w:pPr>
              <w:spacing w:after="0"/>
              <w:rPr>
                <w:sz w:val="16"/>
                <w:szCs w:val="16"/>
                <w:color w:val="auto"/>
              </w:rPr>
            </w:pPr>
          </w:p>
        </w:tc>
        <w:tc>
          <w:tcPr>
            <w:tcW w:w="11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4,962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5,704</w:t>
            </w:r>
          </w:p>
        </w:tc>
        <w:tc>
          <w:tcPr>
            <w:tcW w:w="0" w:type="dxa"/>
            <w:vAlign w:val="bottom"/>
          </w:tcPr>
          <w:p>
            <w:pPr>
              <w:spacing w:after="0"/>
              <w:rPr>
                <w:sz w:val="1"/>
                <w:szCs w:val="1"/>
                <w:color w:val="auto"/>
              </w:rPr>
            </w:pPr>
          </w:p>
        </w:tc>
      </w:tr>
      <w:tr>
        <w:trPr>
          <w:trHeight w:val="210"/>
        </w:trPr>
        <w:tc>
          <w:tcPr>
            <w:tcW w:w="8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Other current liabilities</w:t>
            </w: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13,457</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8,718</w:t>
            </w:r>
          </w:p>
        </w:tc>
        <w:tc>
          <w:tcPr>
            <w:tcW w:w="0" w:type="dxa"/>
            <w:vAlign w:val="bottom"/>
          </w:tcPr>
          <w:p>
            <w:pPr>
              <w:spacing w:after="0"/>
              <w:rPr>
                <w:sz w:val="1"/>
                <w:szCs w:val="1"/>
                <w:color w:val="auto"/>
              </w:rPr>
            </w:pPr>
          </w:p>
        </w:tc>
      </w:tr>
      <w:tr>
        <w:trPr>
          <w:trHeight w:val="189"/>
        </w:trPr>
        <w:tc>
          <w:tcPr>
            <w:tcW w:w="872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120" w:type="dxa"/>
            <w:vAlign w:val="bottom"/>
          </w:tcPr>
          <w:p>
            <w:pPr>
              <w:spacing w:after="0"/>
              <w:rPr>
                <w:sz w:val="16"/>
                <w:szCs w:val="16"/>
                <w:color w:val="auto"/>
              </w:rPr>
            </w:pPr>
          </w:p>
        </w:tc>
        <w:tc>
          <w:tcPr>
            <w:tcW w:w="11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91,834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74,017</w:t>
            </w:r>
          </w:p>
        </w:tc>
        <w:tc>
          <w:tcPr>
            <w:tcW w:w="0" w:type="dxa"/>
            <w:vAlign w:val="bottom"/>
          </w:tcPr>
          <w:p>
            <w:pPr>
              <w:spacing w:after="0"/>
              <w:rPr>
                <w:sz w:val="1"/>
                <w:szCs w:val="1"/>
                <w:color w:val="auto"/>
              </w:rPr>
            </w:pPr>
          </w:p>
        </w:tc>
      </w:tr>
      <w:tr>
        <w:trPr>
          <w:trHeight w:val="210"/>
        </w:trPr>
        <w:tc>
          <w:tcPr>
            <w:tcW w:w="8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Deferred tax liabilities</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7,920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7,456</w:t>
            </w:r>
          </w:p>
        </w:tc>
        <w:tc>
          <w:tcPr>
            <w:tcW w:w="0" w:type="dxa"/>
            <w:vAlign w:val="bottom"/>
          </w:tcPr>
          <w:p>
            <w:pPr>
              <w:spacing w:after="0"/>
              <w:rPr>
                <w:sz w:val="1"/>
                <w:szCs w:val="1"/>
                <w:color w:val="auto"/>
              </w:rPr>
            </w:pPr>
          </w:p>
        </w:tc>
      </w:tr>
      <w:tr>
        <w:trPr>
          <w:trHeight w:val="195"/>
        </w:trPr>
        <w:tc>
          <w:tcPr>
            <w:tcW w:w="87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Long-term debt, net of current portion</w:t>
            </w:r>
          </w:p>
        </w:tc>
        <w:tc>
          <w:tcPr>
            <w:tcW w:w="120" w:type="dxa"/>
            <w:vAlign w:val="bottom"/>
          </w:tcPr>
          <w:p>
            <w:pPr>
              <w:spacing w:after="0"/>
              <w:rPr>
                <w:sz w:val="16"/>
                <w:szCs w:val="16"/>
                <w:color w:val="auto"/>
              </w:rPr>
            </w:pPr>
          </w:p>
        </w:tc>
        <w:tc>
          <w:tcPr>
            <w:tcW w:w="11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150,400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151,052</w:t>
            </w:r>
          </w:p>
        </w:tc>
        <w:tc>
          <w:tcPr>
            <w:tcW w:w="0" w:type="dxa"/>
            <w:vAlign w:val="bottom"/>
          </w:tcPr>
          <w:p>
            <w:pPr>
              <w:spacing w:after="0"/>
              <w:rPr>
                <w:sz w:val="1"/>
                <w:szCs w:val="1"/>
                <w:color w:val="auto"/>
              </w:rPr>
            </w:pPr>
          </w:p>
        </w:tc>
      </w:tr>
      <w:tr>
        <w:trPr>
          <w:trHeight w:val="210"/>
        </w:trPr>
        <w:tc>
          <w:tcPr>
            <w:tcW w:w="8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Operating lease liabilities, net of current portion</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51,597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51,295</w:t>
            </w:r>
          </w:p>
        </w:tc>
        <w:tc>
          <w:tcPr>
            <w:tcW w:w="0" w:type="dxa"/>
            <w:vAlign w:val="bottom"/>
          </w:tcPr>
          <w:p>
            <w:pPr>
              <w:spacing w:after="0"/>
              <w:rPr>
                <w:sz w:val="1"/>
                <w:szCs w:val="1"/>
                <w:color w:val="auto"/>
              </w:rPr>
            </w:pPr>
          </w:p>
        </w:tc>
      </w:tr>
      <w:tr>
        <w:trPr>
          <w:trHeight w:val="196"/>
        </w:trPr>
        <w:tc>
          <w:tcPr>
            <w:tcW w:w="87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Other non-current liabilities</w:t>
            </w:r>
          </w:p>
        </w:tc>
        <w:tc>
          <w:tcPr>
            <w:tcW w:w="1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14,724</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17,289</w:t>
            </w:r>
          </w:p>
        </w:tc>
        <w:tc>
          <w:tcPr>
            <w:tcW w:w="0" w:type="dxa"/>
            <w:vAlign w:val="bottom"/>
          </w:tcPr>
          <w:p>
            <w:pPr>
              <w:spacing w:after="0"/>
              <w:rPr>
                <w:sz w:val="1"/>
                <w:szCs w:val="1"/>
                <w:color w:val="auto"/>
              </w:rPr>
            </w:pPr>
          </w:p>
        </w:tc>
      </w:tr>
      <w:tr>
        <w:trPr>
          <w:trHeight w:val="203"/>
        </w:trPr>
        <w:tc>
          <w:tcPr>
            <w:tcW w:w="87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Total liabilities</w:t>
            </w:r>
          </w:p>
        </w:tc>
        <w:tc>
          <w:tcPr>
            <w:tcW w:w="1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316,475</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301,109</w:t>
            </w:r>
          </w:p>
        </w:tc>
        <w:tc>
          <w:tcPr>
            <w:tcW w:w="0" w:type="dxa"/>
            <w:vAlign w:val="bottom"/>
          </w:tcPr>
          <w:p>
            <w:pPr>
              <w:spacing w:after="0"/>
              <w:rPr>
                <w:sz w:val="1"/>
                <w:szCs w:val="1"/>
                <w:color w:val="auto"/>
              </w:rPr>
            </w:pPr>
          </w:p>
        </w:tc>
      </w:tr>
      <w:tr>
        <w:trPr>
          <w:trHeight w:val="175"/>
        </w:trPr>
        <w:tc>
          <w:tcPr>
            <w:tcW w:w="87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Commitments and contingencies (Note 9)</w:t>
            </w: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6"/>
        </w:trPr>
        <w:tc>
          <w:tcPr>
            <w:tcW w:w="8720" w:type="dxa"/>
            <w:vAlign w:val="bottom"/>
            <w:shd w:val="clear" w:color="auto" w:fill="CCEEFF"/>
          </w:tcPr>
          <w:p>
            <w:pPr>
              <w:ind w:left="180"/>
              <w:spacing w:after="0" w:line="147" w:lineRule="exact"/>
              <w:rPr>
                <w:sz w:val="20"/>
                <w:szCs w:val="20"/>
                <w:color w:val="auto"/>
              </w:rPr>
            </w:pPr>
            <w:r>
              <w:rPr>
                <w:rFonts w:ascii="Times New Roman" w:cs="Times New Roman" w:eastAsia="Times New Roman" w:hAnsi="Times New Roman"/>
                <w:sz w:val="14"/>
                <w:szCs w:val="14"/>
                <w:color w:val="auto"/>
              </w:rPr>
              <w:t>Series D perpetual preferred stock - $0.01 par value per share, 65 shares authorized, issued and outstanding at March 31, 2022 and December 31,</w:t>
            </w:r>
          </w:p>
        </w:tc>
        <w:tc>
          <w:tcPr>
            <w:tcW w:w="120" w:type="dxa"/>
            <w:vAlign w:val="bottom"/>
            <w:shd w:val="clear" w:color="auto" w:fill="CCEEFF"/>
          </w:tcPr>
          <w:p>
            <w:pPr>
              <w:spacing w:after="0"/>
              <w:rPr>
                <w:sz w:val="12"/>
                <w:szCs w:val="12"/>
                <w:color w:val="auto"/>
              </w:rPr>
            </w:pPr>
          </w:p>
        </w:tc>
        <w:tc>
          <w:tcPr>
            <w:tcW w:w="110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56,345</w:t>
            </w: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53,807</w:t>
            </w:r>
          </w:p>
        </w:tc>
        <w:tc>
          <w:tcPr>
            <w:tcW w:w="0" w:type="dxa"/>
            <w:vAlign w:val="bottom"/>
          </w:tcPr>
          <w:p>
            <w:pPr>
              <w:spacing w:after="0"/>
              <w:rPr>
                <w:sz w:val="1"/>
                <w:szCs w:val="1"/>
                <w:color w:val="auto"/>
              </w:rPr>
            </w:pPr>
          </w:p>
        </w:tc>
      </w:tr>
      <w:tr>
        <w:trPr>
          <w:trHeight w:val="198"/>
        </w:trPr>
        <w:tc>
          <w:tcPr>
            <w:tcW w:w="8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2021, respectively</w:t>
            </w:r>
          </w:p>
        </w:tc>
        <w:tc>
          <w:tcPr>
            <w:tcW w:w="120" w:type="dxa"/>
            <w:vAlign w:val="bottom"/>
            <w:shd w:val="clear" w:color="auto" w:fill="CCEEFF"/>
          </w:tcPr>
          <w:p>
            <w:pPr>
              <w:spacing w:after="0"/>
              <w:rPr>
                <w:sz w:val="17"/>
                <w:szCs w:val="17"/>
                <w:color w:val="auto"/>
              </w:rPr>
            </w:pPr>
          </w:p>
        </w:tc>
        <w:tc>
          <w:tcPr>
            <w:tcW w:w="11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87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Stockholders' equity:</w:t>
            </w: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8720" w:type="dxa"/>
            <w:vAlign w:val="bottom"/>
            <w:shd w:val="clear" w:color="auto" w:fill="CCEEFF"/>
          </w:tcPr>
          <w:p>
            <w:pPr>
              <w:ind w:left="360"/>
              <w:spacing w:after="0" w:line="147" w:lineRule="exact"/>
              <w:rPr>
                <w:sz w:val="20"/>
                <w:szCs w:val="20"/>
                <w:color w:val="auto"/>
              </w:rPr>
            </w:pPr>
            <w:r>
              <w:rPr>
                <w:rFonts w:ascii="Times New Roman" w:cs="Times New Roman" w:eastAsia="Times New Roman" w:hAnsi="Times New Roman"/>
                <w:sz w:val="14"/>
                <w:szCs w:val="14"/>
                <w:color w:val="auto"/>
              </w:rPr>
              <w:t>Common stock - $0.01 par value per share, 90,000 shares authorized, 43,890 and 43,027 shares issued and outstanding at March 31, 2022 and</w:t>
            </w:r>
          </w:p>
        </w:tc>
        <w:tc>
          <w:tcPr>
            <w:tcW w:w="120" w:type="dxa"/>
            <w:vAlign w:val="bottom"/>
            <w:shd w:val="clear" w:color="auto" w:fill="CCEEFF"/>
          </w:tcPr>
          <w:p>
            <w:pPr>
              <w:spacing w:after="0"/>
              <w:rPr>
                <w:sz w:val="12"/>
                <w:szCs w:val="12"/>
                <w:color w:val="auto"/>
              </w:rPr>
            </w:pPr>
          </w:p>
        </w:tc>
        <w:tc>
          <w:tcPr>
            <w:tcW w:w="110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439</w:t>
            </w: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430</w:t>
            </w:r>
          </w:p>
        </w:tc>
        <w:tc>
          <w:tcPr>
            <w:tcW w:w="0" w:type="dxa"/>
            <w:vAlign w:val="bottom"/>
          </w:tcPr>
          <w:p>
            <w:pPr>
              <w:spacing w:after="0"/>
              <w:rPr>
                <w:sz w:val="1"/>
                <w:szCs w:val="1"/>
                <w:color w:val="auto"/>
              </w:rPr>
            </w:pPr>
          </w:p>
        </w:tc>
      </w:tr>
      <w:tr>
        <w:trPr>
          <w:trHeight w:val="198"/>
        </w:trPr>
        <w:tc>
          <w:tcPr>
            <w:tcW w:w="87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December 31, 2021, respectively</w:t>
            </w:r>
          </w:p>
        </w:tc>
        <w:tc>
          <w:tcPr>
            <w:tcW w:w="120" w:type="dxa"/>
            <w:vAlign w:val="bottom"/>
            <w:shd w:val="clear" w:color="auto" w:fill="CCEEFF"/>
          </w:tcPr>
          <w:p>
            <w:pPr>
              <w:spacing w:after="0"/>
              <w:rPr>
                <w:sz w:val="17"/>
                <w:szCs w:val="17"/>
                <w:color w:val="auto"/>
              </w:rPr>
            </w:pPr>
          </w:p>
        </w:tc>
        <w:tc>
          <w:tcPr>
            <w:tcW w:w="11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87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120" w:type="dxa"/>
            <w:vAlign w:val="bottom"/>
          </w:tcPr>
          <w:p>
            <w:pPr>
              <w:spacing w:after="0"/>
              <w:rPr>
                <w:sz w:val="16"/>
                <w:szCs w:val="16"/>
                <w:color w:val="auto"/>
              </w:rPr>
            </w:pPr>
          </w:p>
        </w:tc>
        <w:tc>
          <w:tcPr>
            <w:tcW w:w="11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473,072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474,757</w:t>
            </w:r>
          </w:p>
        </w:tc>
        <w:tc>
          <w:tcPr>
            <w:tcW w:w="0" w:type="dxa"/>
            <w:vAlign w:val="bottom"/>
          </w:tcPr>
          <w:p>
            <w:pPr>
              <w:spacing w:after="0"/>
              <w:rPr>
                <w:sz w:val="1"/>
                <w:szCs w:val="1"/>
                <w:color w:val="auto"/>
              </w:rPr>
            </w:pPr>
          </w:p>
        </w:tc>
      </w:tr>
      <w:tr>
        <w:trPr>
          <w:trHeight w:val="210"/>
        </w:trPr>
        <w:tc>
          <w:tcPr>
            <w:tcW w:w="8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Accumulated deficit</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(222,402)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(219,100)</w:t>
            </w:r>
          </w:p>
        </w:tc>
        <w:tc>
          <w:tcPr>
            <w:tcW w:w="0" w:type="dxa"/>
            <w:vAlign w:val="bottom"/>
          </w:tcPr>
          <w:p>
            <w:pPr>
              <w:spacing w:after="0"/>
              <w:rPr>
                <w:sz w:val="1"/>
                <w:szCs w:val="1"/>
                <w:color w:val="auto"/>
              </w:rPr>
            </w:pPr>
          </w:p>
        </w:tc>
      </w:tr>
      <w:tr>
        <w:trPr>
          <w:trHeight w:val="196"/>
        </w:trPr>
        <w:tc>
          <w:tcPr>
            <w:tcW w:w="87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4"/>
                <w:szCs w:val="14"/>
                <w:color w:val="auto"/>
              </w:rPr>
              <w:t>Accumulated other comprehensive loss</w:t>
            </w:r>
          </w:p>
        </w:tc>
        <w:tc>
          <w:tcPr>
            <w:tcW w:w="1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(28,081)</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(31,902)</w:t>
            </w:r>
          </w:p>
        </w:tc>
        <w:tc>
          <w:tcPr>
            <w:tcW w:w="0" w:type="dxa"/>
            <w:vAlign w:val="bottom"/>
          </w:tcPr>
          <w:p>
            <w:pPr>
              <w:spacing w:after="0"/>
              <w:rPr>
                <w:sz w:val="1"/>
                <w:szCs w:val="1"/>
                <w:color w:val="auto"/>
              </w:rPr>
            </w:pPr>
          </w:p>
        </w:tc>
      </w:tr>
      <w:tr>
        <w:trPr>
          <w:trHeight w:val="203"/>
        </w:trPr>
        <w:tc>
          <w:tcPr>
            <w:tcW w:w="87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Total stockholders’ equity</w:t>
            </w:r>
          </w:p>
        </w:tc>
        <w:tc>
          <w:tcPr>
            <w:tcW w:w="1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223,028</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224,185</w:t>
            </w:r>
          </w:p>
        </w:tc>
        <w:tc>
          <w:tcPr>
            <w:tcW w:w="0" w:type="dxa"/>
            <w:vAlign w:val="bottom"/>
          </w:tcPr>
          <w:p>
            <w:pPr>
              <w:spacing w:after="0"/>
              <w:rPr>
                <w:sz w:val="1"/>
                <w:szCs w:val="1"/>
                <w:color w:val="auto"/>
              </w:rPr>
            </w:pPr>
          </w:p>
        </w:tc>
      </w:tr>
      <w:tr>
        <w:trPr>
          <w:trHeight w:val="190"/>
        </w:trPr>
        <w:tc>
          <w:tcPr>
            <w:tcW w:w="8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liabilities, preferred stock, and stockholders’ equity</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595,848</w:t>
            </w:r>
          </w:p>
        </w:tc>
        <w:tc>
          <w:tcPr>
            <w:tcW w:w="100" w:type="dxa"/>
            <w:vAlign w:val="bottom"/>
          </w:tcPr>
          <w:p>
            <w:pPr>
              <w:spacing w:after="0"/>
              <w:rPr>
                <w:sz w:val="16"/>
                <w:szCs w:val="16"/>
                <w:color w:val="auto"/>
              </w:rPr>
            </w:pPr>
          </w:p>
        </w:tc>
        <w:tc>
          <w:tcPr>
            <w:tcW w:w="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579,101</w:t>
            </w:r>
          </w:p>
        </w:tc>
        <w:tc>
          <w:tcPr>
            <w:tcW w:w="0" w:type="dxa"/>
            <w:vAlign w:val="bottom"/>
          </w:tcPr>
          <w:p>
            <w:pPr>
              <w:spacing w:after="0"/>
              <w:rPr>
                <w:sz w:val="1"/>
                <w:szCs w:val="1"/>
                <w:color w:val="auto"/>
              </w:rPr>
            </w:pPr>
          </w:p>
        </w:tc>
      </w:tr>
      <w:tr>
        <w:trPr>
          <w:trHeight w:val="27"/>
        </w:trPr>
        <w:tc>
          <w:tcPr>
            <w:tcW w:w="87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See notes to condensed consolidated financial statements (unaudited).</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NN,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Stockholders’ Equity</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Three Months Ended March 31, 2022 and 2021</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800" w:type="dxa"/>
            <w:vAlign w:val="bottom"/>
          </w:tcPr>
          <w:p>
            <w:pPr>
              <w:spacing w:after="0"/>
              <w:rPr>
                <w:sz w:val="16"/>
                <w:szCs w:val="16"/>
                <w:color w:val="auto"/>
              </w:rPr>
            </w:pPr>
          </w:p>
        </w:tc>
        <w:tc>
          <w:tcPr>
            <w:tcW w:w="168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800" w:type="dxa"/>
            <w:vAlign w:val="bottom"/>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800" w:type="dxa"/>
            <w:vAlign w:val="bottom"/>
          </w:tcPr>
          <w:p>
            <w:pPr>
              <w:spacing w:after="0"/>
              <w:rPr>
                <w:sz w:val="11"/>
                <w:szCs w:val="11"/>
                <w:color w:val="auto"/>
              </w:rPr>
            </w:pPr>
          </w:p>
        </w:tc>
        <w:tc>
          <w:tcPr>
            <w:tcW w:w="900" w:type="dxa"/>
            <w:vAlign w:val="bottom"/>
            <w:gridSpan w:val="2"/>
          </w:tcPr>
          <w:p>
            <w:pPr>
              <w:jc w:val="center"/>
              <w:ind w:right="100"/>
              <w:spacing w:after="0" w:line="131" w:lineRule="exact"/>
              <w:rPr>
                <w:sz w:val="20"/>
                <w:szCs w:val="20"/>
                <w:color w:val="auto"/>
              </w:rPr>
            </w:pPr>
            <w:r>
              <w:rPr>
                <w:rFonts w:ascii="Times New Roman" w:cs="Times New Roman" w:eastAsia="Times New Roman" w:hAnsi="Times New Roman"/>
                <w:sz w:val="14"/>
                <w:szCs w:val="14"/>
                <w:b w:val="1"/>
                <w:bCs w:val="1"/>
                <w:color w:val="auto"/>
              </w:rPr>
              <w:t>Number</w:t>
            </w:r>
          </w:p>
        </w:tc>
        <w:tc>
          <w:tcPr>
            <w:tcW w:w="140" w:type="dxa"/>
            <w:vAlign w:val="bottom"/>
          </w:tcPr>
          <w:p>
            <w:pPr>
              <w:spacing w:after="0"/>
              <w:rPr>
                <w:sz w:val="11"/>
                <w:szCs w:val="11"/>
                <w:color w:val="auto"/>
              </w:rPr>
            </w:pPr>
          </w:p>
        </w:tc>
        <w:tc>
          <w:tcPr>
            <w:tcW w:w="6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Par</w:t>
            </w:r>
          </w:p>
        </w:tc>
        <w:tc>
          <w:tcPr>
            <w:tcW w:w="120" w:type="dxa"/>
            <w:vAlign w:val="bottom"/>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20" w:type="dxa"/>
            <w:vAlign w:val="bottom"/>
            <w:gridSpan w:val="3"/>
            <w:vMerge w:val="continue"/>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8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14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6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220" w:type="dxa"/>
            <w:vAlign w:val="bottom"/>
          </w:tcPr>
          <w:p>
            <w:pPr>
              <w:spacing w:after="0"/>
              <w:rPr>
                <w:sz w:val="12"/>
                <w:szCs w:val="12"/>
                <w:color w:val="auto"/>
              </w:rPr>
            </w:pPr>
          </w:p>
        </w:tc>
        <w:tc>
          <w:tcPr>
            <w:tcW w:w="720" w:type="dxa"/>
            <w:vAlign w:val="bottom"/>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4800" w:type="dxa"/>
            <w:vAlign w:val="bottom"/>
            <w:vMerge w:val="continue"/>
          </w:tcPr>
          <w:p>
            <w:pPr>
              <w:spacing w:after="0"/>
              <w:rPr>
                <w:sz w:val="16"/>
                <w:szCs w:val="16"/>
                <w:color w:val="auto"/>
              </w:rPr>
            </w:pPr>
          </w:p>
        </w:tc>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6"/>
                <w:szCs w:val="16"/>
                <w:color w:val="auto"/>
              </w:rPr>
            </w:pPr>
          </w:p>
        </w:tc>
        <w:tc>
          <w:tcPr>
            <w:tcW w:w="6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20" w:type="dxa"/>
            <w:vAlign w:val="bottom"/>
          </w:tcPr>
          <w:p>
            <w:pPr>
              <w:spacing w:after="0"/>
              <w:rPr>
                <w:sz w:val="16"/>
                <w:szCs w:val="16"/>
                <w:color w:val="auto"/>
              </w:rPr>
            </w:pP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60" w:type="dxa"/>
            <w:vAlign w:val="bottom"/>
          </w:tcPr>
          <w:p>
            <w:pPr>
              <w:spacing w:after="0"/>
              <w:rPr>
                <w:sz w:val="16"/>
                <w:szCs w:val="16"/>
                <w:color w:val="auto"/>
              </w:rPr>
            </w:pPr>
          </w:p>
        </w:tc>
        <w:tc>
          <w:tcPr>
            <w:tcW w:w="116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40" w:type="dxa"/>
            <w:vAlign w:val="bottom"/>
          </w:tcPr>
          <w:p>
            <w:pPr>
              <w:spacing w:after="0"/>
              <w:rPr>
                <w:sz w:val="16"/>
                <w:szCs w:val="16"/>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22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4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December 31, 2021</w:t>
            </w:r>
          </w:p>
        </w:tc>
        <w:tc>
          <w:tcPr>
            <w:tcW w:w="80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43,027</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430</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474,757</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(219,100)</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(31,902)</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224,185</w:t>
            </w:r>
          </w:p>
        </w:tc>
        <w:tc>
          <w:tcPr>
            <w:tcW w:w="0" w:type="dxa"/>
            <w:vAlign w:val="bottom"/>
          </w:tcPr>
          <w:p>
            <w:pPr>
              <w:spacing w:after="0"/>
              <w:rPr>
                <w:sz w:val="1"/>
                <w:szCs w:val="1"/>
                <w:color w:val="auto"/>
              </w:rPr>
            </w:pPr>
          </w:p>
        </w:tc>
      </w:tr>
      <w:tr>
        <w:trPr>
          <w:trHeight w:val="213"/>
        </w:trPr>
        <w:tc>
          <w:tcPr>
            <w:tcW w:w="48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Net loss</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(3,302)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(3,302)</w:t>
            </w:r>
          </w:p>
        </w:tc>
        <w:tc>
          <w:tcPr>
            <w:tcW w:w="0" w:type="dxa"/>
            <w:vAlign w:val="bottom"/>
          </w:tcPr>
          <w:p>
            <w:pPr>
              <w:spacing w:after="0"/>
              <w:rPr>
                <w:sz w:val="1"/>
                <w:szCs w:val="1"/>
                <w:color w:val="auto"/>
              </w:rPr>
            </w:pPr>
          </w:p>
        </w:tc>
      </w:tr>
      <w:tr>
        <w:trPr>
          <w:trHeight w:val="219"/>
        </w:trPr>
        <w:tc>
          <w:tcPr>
            <w:tcW w:w="4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Dividends accrued for preferred stock</w:t>
            </w: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(2,538)</w:t>
            </w:r>
          </w:p>
        </w:tc>
        <w:tc>
          <w:tcPr>
            <w:tcW w:w="0" w:type="dxa"/>
            <w:vAlign w:val="bottom"/>
          </w:tcPr>
          <w:p>
            <w:pPr>
              <w:spacing w:after="0"/>
              <w:rPr>
                <w:sz w:val="1"/>
                <w:szCs w:val="1"/>
                <w:color w:val="auto"/>
              </w:rPr>
            </w:pPr>
          </w:p>
        </w:tc>
      </w:tr>
      <w:tr>
        <w:trPr>
          <w:trHeight w:val="213"/>
        </w:trPr>
        <w:tc>
          <w:tcPr>
            <w:tcW w:w="48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Share-based compensation expense</w:t>
            </w:r>
          </w:p>
        </w:tc>
        <w:tc>
          <w:tcPr>
            <w:tcW w:w="8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893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949</w:t>
            </w:r>
          </w:p>
        </w:tc>
        <w:tc>
          <w:tcPr>
            <w:tcW w:w="0" w:type="dxa"/>
            <w:vAlign w:val="bottom"/>
          </w:tcPr>
          <w:p>
            <w:pPr>
              <w:spacing w:after="0"/>
              <w:rPr>
                <w:sz w:val="1"/>
                <w:szCs w:val="1"/>
                <w:color w:val="auto"/>
              </w:rPr>
            </w:pPr>
          </w:p>
        </w:tc>
      </w:tr>
      <w:tr>
        <w:trPr>
          <w:trHeight w:val="219"/>
        </w:trPr>
        <w:tc>
          <w:tcPr>
            <w:tcW w:w="4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Restricted shares forgiven for taxes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0" w:type="dxa"/>
            <w:vAlign w:val="bottom"/>
          </w:tcPr>
          <w:p>
            <w:pPr>
              <w:spacing w:after="0"/>
              <w:rPr>
                <w:sz w:val="1"/>
                <w:szCs w:val="1"/>
                <w:color w:val="auto"/>
              </w:rPr>
            </w:pPr>
          </w:p>
        </w:tc>
      </w:tr>
      <w:tr>
        <w:trPr>
          <w:trHeight w:val="213"/>
        </w:trPr>
        <w:tc>
          <w:tcPr>
            <w:tcW w:w="48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Change in fair value of interest rate swap, net of tax of $316</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160" w:type="dxa"/>
            <w:vAlign w:val="bottom"/>
            <w:gridSpan w:val="2"/>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1,187</w:t>
            </w:r>
          </w:p>
        </w:tc>
        <w:tc>
          <w:tcPr>
            <w:tcW w:w="0" w:type="dxa"/>
            <w:vAlign w:val="bottom"/>
          </w:tcPr>
          <w:p>
            <w:pPr>
              <w:spacing w:after="0"/>
              <w:rPr>
                <w:sz w:val="1"/>
                <w:szCs w:val="1"/>
                <w:color w:val="auto"/>
              </w:rPr>
            </w:pPr>
          </w:p>
        </w:tc>
      </w:tr>
      <w:tr>
        <w:trPr>
          <w:trHeight w:val="165"/>
        </w:trPr>
        <w:tc>
          <w:tcPr>
            <w:tcW w:w="4800" w:type="dxa"/>
            <w:vAlign w:val="bottom"/>
            <w:shd w:val="clear" w:color="auto" w:fill="CCEEFF"/>
          </w:tcPr>
          <w:p>
            <w:pPr>
              <w:ind w:left="360"/>
              <w:spacing w:after="0" w:line="165" w:lineRule="exact"/>
              <w:rPr>
                <w:sz w:val="20"/>
                <w:szCs w:val="20"/>
                <w:color w:val="auto"/>
              </w:rPr>
            </w:pPr>
            <w:r>
              <w:rPr>
                <w:rFonts w:ascii="Times New Roman" w:cs="Times New Roman" w:eastAsia="Times New Roman" w:hAnsi="Times New Roman"/>
                <w:sz w:val="16"/>
                <w:szCs w:val="16"/>
                <w:color w:val="auto"/>
              </w:rPr>
              <w:t>Reclassification of interest rate swap settlement to net loss, net of</w:t>
            </w:r>
          </w:p>
        </w:tc>
        <w:tc>
          <w:tcPr>
            <w:tcW w:w="9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6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1160" w:type="dxa"/>
            <w:vAlign w:val="bottom"/>
            <w:gridSpan w:val="2"/>
            <w:vMerge w:val="restart"/>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tax of $9</w:t>
            </w:r>
          </w:p>
        </w:tc>
        <w:tc>
          <w:tcPr>
            <w:tcW w:w="9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8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Foreign currency translation gain</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160" w:type="dxa"/>
            <w:vAlign w:val="bottom"/>
            <w:gridSpan w:val="2"/>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2,600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2,600</w:t>
            </w:r>
          </w:p>
        </w:tc>
        <w:tc>
          <w:tcPr>
            <w:tcW w:w="0" w:type="dxa"/>
            <w:vAlign w:val="bottom"/>
          </w:tcPr>
          <w:p>
            <w:pPr>
              <w:spacing w:after="0"/>
              <w:rPr>
                <w:sz w:val="1"/>
                <w:szCs w:val="1"/>
                <w:color w:val="auto"/>
              </w:rPr>
            </w:pPr>
          </w:p>
        </w:tc>
      </w:tr>
      <w:tr>
        <w:trPr>
          <w:trHeight w:val="237"/>
        </w:trPr>
        <w:tc>
          <w:tcPr>
            <w:tcW w:w="48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March 31, 2022</w:t>
            </w:r>
          </w:p>
        </w:tc>
        <w:tc>
          <w:tcPr>
            <w:tcW w:w="80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43,890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473,072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(222,402)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(28,081)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223,028</w:t>
            </w:r>
          </w:p>
        </w:tc>
        <w:tc>
          <w:tcPr>
            <w:tcW w:w="0" w:type="dxa"/>
            <w:vAlign w:val="bottom"/>
          </w:tcPr>
          <w:p>
            <w:pPr>
              <w:spacing w:after="0"/>
              <w:rPr>
                <w:sz w:val="1"/>
                <w:szCs w:val="1"/>
                <w:color w:val="auto"/>
              </w:rPr>
            </w:pP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800" w:type="dxa"/>
            <w:vAlign w:val="bottom"/>
          </w:tcPr>
          <w:p>
            <w:pPr>
              <w:spacing w:after="0"/>
              <w:rPr>
                <w:sz w:val="16"/>
                <w:szCs w:val="16"/>
                <w:color w:val="auto"/>
              </w:rPr>
            </w:pPr>
          </w:p>
        </w:tc>
        <w:tc>
          <w:tcPr>
            <w:tcW w:w="168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800" w:type="dxa"/>
            <w:vAlign w:val="bottom"/>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800" w:type="dxa"/>
            <w:vAlign w:val="bottom"/>
          </w:tcPr>
          <w:p>
            <w:pPr>
              <w:spacing w:after="0"/>
              <w:rPr>
                <w:sz w:val="11"/>
                <w:szCs w:val="11"/>
                <w:color w:val="auto"/>
              </w:rPr>
            </w:pPr>
          </w:p>
        </w:tc>
        <w:tc>
          <w:tcPr>
            <w:tcW w:w="900" w:type="dxa"/>
            <w:vAlign w:val="bottom"/>
            <w:gridSpan w:val="2"/>
          </w:tcPr>
          <w:p>
            <w:pPr>
              <w:jc w:val="center"/>
              <w:ind w:right="100"/>
              <w:spacing w:after="0" w:line="131" w:lineRule="exact"/>
              <w:rPr>
                <w:sz w:val="20"/>
                <w:szCs w:val="20"/>
                <w:color w:val="auto"/>
              </w:rPr>
            </w:pPr>
            <w:r>
              <w:rPr>
                <w:rFonts w:ascii="Times New Roman" w:cs="Times New Roman" w:eastAsia="Times New Roman" w:hAnsi="Times New Roman"/>
                <w:sz w:val="14"/>
                <w:szCs w:val="14"/>
                <w:b w:val="1"/>
                <w:bCs w:val="1"/>
                <w:color w:val="auto"/>
              </w:rPr>
              <w:t>Number</w:t>
            </w:r>
          </w:p>
        </w:tc>
        <w:tc>
          <w:tcPr>
            <w:tcW w:w="140" w:type="dxa"/>
            <w:vAlign w:val="bottom"/>
          </w:tcPr>
          <w:p>
            <w:pPr>
              <w:spacing w:after="0"/>
              <w:rPr>
                <w:sz w:val="11"/>
                <w:szCs w:val="11"/>
                <w:color w:val="auto"/>
              </w:rPr>
            </w:pPr>
          </w:p>
        </w:tc>
        <w:tc>
          <w:tcPr>
            <w:tcW w:w="6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Par</w:t>
            </w:r>
          </w:p>
        </w:tc>
        <w:tc>
          <w:tcPr>
            <w:tcW w:w="120" w:type="dxa"/>
            <w:vAlign w:val="bottom"/>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20" w:type="dxa"/>
            <w:vAlign w:val="bottom"/>
            <w:gridSpan w:val="3"/>
            <w:vMerge w:val="continue"/>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48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0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of</w:t>
            </w:r>
          </w:p>
        </w:tc>
        <w:tc>
          <w:tcPr>
            <w:tcW w:w="14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rPr>
              <w:t>paid-in</w:t>
            </w:r>
          </w:p>
        </w:tc>
        <w:tc>
          <w:tcPr>
            <w:tcW w:w="16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220" w:type="dxa"/>
            <w:vAlign w:val="bottom"/>
          </w:tcPr>
          <w:p>
            <w:pPr>
              <w:spacing w:after="0"/>
              <w:rPr>
                <w:sz w:val="12"/>
                <w:szCs w:val="12"/>
                <w:color w:val="auto"/>
              </w:rPr>
            </w:pPr>
          </w:p>
        </w:tc>
        <w:tc>
          <w:tcPr>
            <w:tcW w:w="720" w:type="dxa"/>
            <w:vAlign w:val="bottom"/>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8"/>
        </w:trPr>
        <w:tc>
          <w:tcPr>
            <w:tcW w:w="4800" w:type="dxa"/>
            <w:vAlign w:val="bottom"/>
            <w:vMerge w:val="continue"/>
          </w:tcPr>
          <w:p>
            <w:pPr>
              <w:spacing w:after="0"/>
              <w:rPr>
                <w:sz w:val="17"/>
                <w:szCs w:val="17"/>
                <w:color w:val="auto"/>
              </w:rPr>
            </w:pPr>
          </w:p>
        </w:tc>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7"/>
                <w:szCs w:val="17"/>
                <w:color w:val="auto"/>
              </w:rPr>
            </w:pPr>
          </w:p>
        </w:tc>
        <w:tc>
          <w:tcPr>
            <w:tcW w:w="6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20" w:type="dxa"/>
            <w:vAlign w:val="bottom"/>
          </w:tcPr>
          <w:p>
            <w:pPr>
              <w:spacing w:after="0"/>
              <w:rPr>
                <w:sz w:val="17"/>
                <w:szCs w:val="17"/>
                <w:color w:val="auto"/>
              </w:rPr>
            </w:pP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60" w:type="dxa"/>
            <w:vAlign w:val="bottom"/>
          </w:tcPr>
          <w:p>
            <w:pPr>
              <w:spacing w:after="0"/>
              <w:rPr>
                <w:sz w:val="17"/>
                <w:szCs w:val="17"/>
                <w:color w:val="auto"/>
              </w:rPr>
            </w:pPr>
          </w:p>
        </w:tc>
        <w:tc>
          <w:tcPr>
            <w:tcW w:w="116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40" w:type="dxa"/>
            <w:vAlign w:val="bottom"/>
          </w:tcPr>
          <w:p>
            <w:pPr>
              <w:spacing w:after="0"/>
              <w:rPr>
                <w:sz w:val="17"/>
                <w:szCs w:val="17"/>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22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4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December 31, 2020</w:t>
            </w:r>
          </w:p>
        </w:tc>
        <w:tc>
          <w:tcPr>
            <w:tcW w:w="80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42,686</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427</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493,332</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(205,875)</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(33,732)</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254,152</w:t>
            </w:r>
          </w:p>
        </w:tc>
        <w:tc>
          <w:tcPr>
            <w:tcW w:w="0" w:type="dxa"/>
            <w:vAlign w:val="bottom"/>
          </w:tcPr>
          <w:p>
            <w:pPr>
              <w:spacing w:after="0"/>
              <w:rPr>
                <w:sz w:val="1"/>
                <w:szCs w:val="1"/>
                <w:color w:val="auto"/>
              </w:rPr>
            </w:pPr>
          </w:p>
        </w:tc>
      </w:tr>
      <w:tr>
        <w:trPr>
          <w:trHeight w:val="213"/>
        </w:trPr>
        <w:tc>
          <w:tcPr>
            <w:tcW w:w="48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Net loss</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(4,913)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(4,913)</w:t>
            </w:r>
          </w:p>
        </w:tc>
        <w:tc>
          <w:tcPr>
            <w:tcW w:w="0" w:type="dxa"/>
            <w:vAlign w:val="bottom"/>
          </w:tcPr>
          <w:p>
            <w:pPr>
              <w:spacing w:after="0"/>
              <w:rPr>
                <w:sz w:val="1"/>
                <w:szCs w:val="1"/>
                <w:color w:val="auto"/>
              </w:rPr>
            </w:pPr>
          </w:p>
        </w:tc>
      </w:tr>
      <w:tr>
        <w:trPr>
          <w:trHeight w:val="219"/>
        </w:trPr>
        <w:tc>
          <w:tcPr>
            <w:tcW w:w="4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Dividends accrued for preferred stock</w:t>
            </w: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(14,529)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(14,529)</w:t>
            </w:r>
          </w:p>
        </w:tc>
        <w:tc>
          <w:tcPr>
            <w:tcW w:w="0" w:type="dxa"/>
            <w:vAlign w:val="bottom"/>
          </w:tcPr>
          <w:p>
            <w:pPr>
              <w:spacing w:after="0"/>
              <w:rPr>
                <w:sz w:val="1"/>
                <w:szCs w:val="1"/>
                <w:color w:val="auto"/>
              </w:rPr>
            </w:pPr>
          </w:p>
        </w:tc>
      </w:tr>
      <w:tr>
        <w:trPr>
          <w:trHeight w:val="213"/>
        </w:trPr>
        <w:tc>
          <w:tcPr>
            <w:tcW w:w="48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Share-based compensation expense</w:t>
            </w:r>
          </w:p>
        </w:tc>
        <w:tc>
          <w:tcPr>
            <w:tcW w:w="8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413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886</w:t>
            </w:r>
          </w:p>
        </w:tc>
        <w:tc>
          <w:tcPr>
            <w:tcW w:w="0" w:type="dxa"/>
            <w:vAlign w:val="bottom"/>
          </w:tcPr>
          <w:p>
            <w:pPr>
              <w:spacing w:after="0"/>
              <w:rPr>
                <w:sz w:val="1"/>
                <w:szCs w:val="1"/>
                <w:color w:val="auto"/>
              </w:rPr>
            </w:pPr>
          </w:p>
        </w:tc>
      </w:tr>
      <w:tr>
        <w:trPr>
          <w:trHeight w:val="219"/>
        </w:trPr>
        <w:tc>
          <w:tcPr>
            <w:tcW w:w="4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Restricted shares forgiven for taxes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(345)</w:t>
            </w:r>
          </w:p>
        </w:tc>
        <w:tc>
          <w:tcPr>
            <w:tcW w:w="0" w:type="dxa"/>
            <w:vAlign w:val="bottom"/>
          </w:tcPr>
          <w:p>
            <w:pPr>
              <w:spacing w:after="0"/>
              <w:rPr>
                <w:sz w:val="1"/>
                <w:szCs w:val="1"/>
                <w:color w:val="auto"/>
              </w:rPr>
            </w:pPr>
          </w:p>
        </w:tc>
      </w:tr>
      <w:tr>
        <w:trPr>
          <w:trHeight w:val="162"/>
        </w:trPr>
        <w:tc>
          <w:tcPr>
            <w:tcW w:w="4800" w:type="dxa"/>
            <w:vAlign w:val="bottom"/>
          </w:tcPr>
          <w:p>
            <w:pPr>
              <w:ind w:left="360"/>
              <w:spacing w:after="0" w:line="162" w:lineRule="exact"/>
              <w:rPr>
                <w:sz w:val="20"/>
                <w:szCs w:val="20"/>
                <w:color w:val="auto"/>
              </w:rPr>
            </w:pPr>
            <w:r>
              <w:rPr>
                <w:rFonts w:ascii="Times New Roman" w:cs="Times New Roman" w:eastAsia="Times New Roman" w:hAnsi="Times New Roman"/>
                <w:sz w:val="16"/>
                <w:szCs w:val="16"/>
                <w:color w:val="auto"/>
              </w:rPr>
              <w:t>Reclassification of interest rate swap settlement to net loss, net of</w:t>
            </w:r>
          </w:p>
        </w:tc>
        <w:tc>
          <w:tcPr>
            <w:tcW w:w="9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6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1160" w:type="dxa"/>
            <w:vAlign w:val="bottom"/>
            <w:gridSpan w:val="2"/>
            <w:vMerge w:val="restart"/>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2,851</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2,851</w:t>
            </w:r>
          </w:p>
        </w:tc>
        <w:tc>
          <w:tcPr>
            <w:tcW w:w="0" w:type="dxa"/>
            <w:vAlign w:val="bottom"/>
          </w:tcPr>
          <w:p>
            <w:pPr>
              <w:spacing w:after="0"/>
              <w:rPr>
                <w:sz w:val="1"/>
                <w:szCs w:val="1"/>
                <w:color w:val="auto"/>
              </w:rPr>
            </w:pPr>
          </w:p>
        </w:tc>
      </w:tr>
      <w:tr>
        <w:trPr>
          <w:trHeight w:val="213"/>
        </w:trPr>
        <w:tc>
          <w:tcPr>
            <w:tcW w:w="48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tax of $861</w:t>
            </w:r>
          </w:p>
        </w:tc>
        <w:tc>
          <w:tcPr>
            <w:tcW w:w="9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Foreign currency translation loss</w:t>
            </w: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(3,347)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(3,347)</w:t>
            </w:r>
          </w:p>
        </w:tc>
        <w:tc>
          <w:tcPr>
            <w:tcW w:w="0" w:type="dxa"/>
            <w:vAlign w:val="bottom"/>
          </w:tcPr>
          <w:p>
            <w:pPr>
              <w:spacing w:after="0"/>
              <w:rPr>
                <w:sz w:val="1"/>
                <w:szCs w:val="1"/>
                <w:color w:val="auto"/>
              </w:rPr>
            </w:pPr>
          </w:p>
        </w:tc>
      </w:tr>
      <w:tr>
        <w:trPr>
          <w:trHeight w:val="210"/>
        </w:trPr>
        <w:tc>
          <w:tcPr>
            <w:tcW w:w="4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at March 31, 2021</w:t>
            </w:r>
          </w:p>
        </w:tc>
        <w:tc>
          <w:tcPr>
            <w:tcW w:w="80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43,049</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430</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479,341</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(210,788)</w:t>
            </w: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(34,228)</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234,755</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See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NN,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20" w:type="dxa"/>
            <w:vAlign w:val="bottom"/>
            <w:gridSpan w:val="4"/>
          </w:tcPr>
          <w:p>
            <w:pPr>
              <w:jc w:val="right"/>
              <w:ind w:right="748"/>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94"/>
        </w:trPr>
        <w:tc>
          <w:tcPr>
            <w:tcW w:w="82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20" w:type="dxa"/>
            <w:vAlign w:val="bottom"/>
            <w:tcBorders>
              <w:bottom w:val="single" w:sz="8" w:color="auto"/>
            </w:tcBorders>
          </w:tcPr>
          <w:p>
            <w:pPr>
              <w:spacing w:after="0"/>
              <w:rPr>
                <w:sz w:val="16"/>
                <w:szCs w:val="16"/>
                <w:color w:val="auto"/>
              </w:rPr>
            </w:pPr>
          </w:p>
        </w:tc>
      </w:tr>
      <w:tr>
        <w:trPr>
          <w:trHeight w:val="196"/>
        </w:trPr>
        <w:tc>
          <w:tcPr>
            <w:tcW w:w="8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8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r>
      <w:tr>
        <w:trPr>
          <w:trHeight w:val="195"/>
        </w:trPr>
        <w:tc>
          <w:tcPr>
            <w:tcW w:w="82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loss</w:t>
            </w:r>
          </w:p>
        </w:tc>
        <w:tc>
          <w:tcPr>
            <w:tcW w:w="3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(3,302)</w:t>
            </w:r>
          </w:p>
        </w:tc>
        <w:tc>
          <w:tcPr>
            <w:tcW w:w="80" w:type="dxa"/>
            <w:vAlign w:val="bottom"/>
          </w:tcPr>
          <w:p>
            <w:pPr>
              <w:spacing w:after="0"/>
              <w:rPr>
                <w:sz w:val="16"/>
                <w:szCs w:val="16"/>
                <w:color w:val="auto"/>
              </w:rPr>
            </w:pPr>
          </w:p>
        </w:tc>
        <w:tc>
          <w:tcPr>
            <w:tcW w:w="420" w:type="dxa"/>
            <w:vAlign w:val="bottom"/>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(4,913)</w:t>
            </w:r>
          </w:p>
        </w:tc>
      </w:tr>
      <w:tr>
        <w:trPr>
          <w:trHeight w:val="210"/>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Adjustments to reconcile net loss to net cash provided by (used in) operating activities: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195"/>
        </w:trPr>
        <w:tc>
          <w:tcPr>
            <w:tcW w:w="828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11,429</w:t>
            </w: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11,568</w:t>
            </w:r>
          </w:p>
        </w:tc>
      </w:tr>
      <w:tr>
        <w:trPr>
          <w:trHeight w:val="210"/>
        </w:trPr>
        <w:tc>
          <w:tcPr>
            <w:tcW w:w="82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Amortization of debt issuance costs and discount</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332</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405</w:t>
            </w:r>
          </w:p>
        </w:tc>
      </w:tr>
      <w:tr>
        <w:trPr>
          <w:trHeight w:val="195"/>
        </w:trPr>
        <w:tc>
          <w:tcPr>
            <w:tcW w:w="828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Impairments of property, plant and equipment</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233</w:t>
            </w: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82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Loss on extinguishment of debt and write-off of debt issuance costs</w:t>
            </w:r>
          </w:p>
        </w:tc>
        <w:tc>
          <w:tcPr>
            <w:tcW w:w="3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2,390</w:t>
            </w:r>
          </w:p>
        </w:tc>
      </w:tr>
      <w:tr>
        <w:trPr>
          <w:trHeight w:val="195"/>
        </w:trPr>
        <w:tc>
          <w:tcPr>
            <w:tcW w:w="828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Total derivative loss (gain), net of cash settlements</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(2,543)</w:t>
            </w: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3,301</w:t>
            </w:r>
          </w:p>
        </w:tc>
      </w:tr>
      <w:tr>
        <w:trPr>
          <w:trHeight w:val="210"/>
        </w:trPr>
        <w:tc>
          <w:tcPr>
            <w:tcW w:w="82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Share of net income from joint venture, net of cash dividends received</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1,934</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(1,395)</w:t>
            </w:r>
          </w:p>
        </w:tc>
      </w:tr>
      <w:tr>
        <w:trPr>
          <w:trHeight w:val="195"/>
        </w:trPr>
        <w:tc>
          <w:tcPr>
            <w:tcW w:w="828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Compensation expense from issuance of share-based awards</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949</w:t>
            </w: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886</w:t>
            </w:r>
          </w:p>
        </w:tc>
      </w:tr>
      <w:tr>
        <w:trPr>
          <w:trHeight w:val="210"/>
        </w:trPr>
        <w:tc>
          <w:tcPr>
            <w:tcW w:w="82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Deferred income taxes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(1,605)</w:t>
            </w:r>
          </w:p>
        </w:tc>
      </w:tr>
      <w:tr>
        <w:trPr>
          <w:trHeight w:val="195"/>
        </w:trPr>
        <w:tc>
          <w:tcPr>
            <w:tcW w:w="828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Other</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(826)</w:t>
            </w: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(1,081)</w:t>
            </w:r>
          </w:p>
        </w:tc>
      </w:tr>
      <w:tr>
        <w:trPr>
          <w:trHeight w:val="210"/>
        </w:trPr>
        <w:tc>
          <w:tcPr>
            <w:tcW w:w="82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195"/>
        </w:trPr>
        <w:tc>
          <w:tcPr>
            <w:tcW w:w="8280" w:type="dxa"/>
            <w:vAlign w:val="bottom"/>
          </w:tcPr>
          <w:p>
            <w:pPr>
              <w:ind w:left="880"/>
              <w:spacing w:after="0"/>
              <w:rPr>
                <w:sz w:val="20"/>
                <w:szCs w:val="20"/>
                <w:color w:val="auto"/>
              </w:rPr>
            </w:pPr>
            <w:r>
              <w:rPr>
                <w:rFonts w:ascii="Times New Roman" w:cs="Times New Roman" w:eastAsia="Times New Roman" w:hAnsi="Times New Roman"/>
                <w:sz w:val="14"/>
                <w:szCs w:val="14"/>
                <w:color w:val="auto"/>
              </w:rPr>
              <w:t>Accounts receivable</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(17,633)</w:t>
            </w: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(6,684)</w:t>
            </w:r>
          </w:p>
        </w:tc>
      </w:tr>
      <w:tr>
        <w:trPr>
          <w:trHeight w:val="210"/>
        </w:trPr>
        <w:tc>
          <w:tcPr>
            <w:tcW w:w="828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4"/>
                <w:szCs w:val="14"/>
                <w:color w:val="auto"/>
              </w:rPr>
              <w:t>Inventories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(5,536)</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(5,589)</w:t>
            </w:r>
          </w:p>
        </w:tc>
      </w:tr>
      <w:tr>
        <w:trPr>
          <w:trHeight w:val="195"/>
        </w:trPr>
        <w:tc>
          <w:tcPr>
            <w:tcW w:w="8280" w:type="dxa"/>
            <w:vAlign w:val="bottom"/>
          </w:tcPr>
          <w:p>
            <w:pPr>
              <w:ind w:left="880"/>
              <w:spacing w:after="0"/>
              <w:rPr>
                <w:sz w:val="20"/>
                <w:szCs w:val="20"/>
                <w:color w:val="auto"/>
              </w:rPr>
            </w:pPr>
            <w:r>
              <w:rPr>
                <w:rFonts w:ascii="Times New Roman" w:cs="Times New Roman" w:eastAsia="Times New Roman" w:hAnsi="Times New Roman"/>
                <w:sz w:val="14"/>
                <w:szCs w:val="14"/>
                <w:color w:val="auto"/>
              </w:rPr>
              <w:t>Accounts payable</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11,416</w:t>
            </w: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7,094</w:t>
            </w:r>
          </w:p>
        </w:tc>
      </w:tr>
      <w:tr>
        <w:trPr>
          <w:trHeight w:val="210"/>
        </w:trPr>
        <w:tc>
          <w:tcPr>
            <w:tcW w:w="828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4"/>
                <w:szCs w:val="14"/>
                <w:color w:val="auto"/>
              </w:rPr>
              <w:t>Income taxes receivable and payable, net</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(631)</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(344)</w:t>
            </w:r>
          </w:p>
        </w:tc>
      </w:tr>
      <w:tr>
        <w:trPr>
          <w:trHeight w:val="196"/>
        </w:trPr>
        <w:tc>
          <w:tcPr>
            <w:tcW w:w="8280" w:type="dxa"/>
            <w:vAlign w:val="bottom"/>
            <w:tcBorders>
              <w:bottom w:val="single" w:sz="8" w:color="CCEEFF"/>
            </w:tcBorders>
          </w:tcPr>
          <w:p>
            <w:pPr>
              <w:ind w:left="880"/>
              <w:spacing w:after="0"/>
              <w:rPr>
                <w:sz w:val="20"/>
                <w:szCs w:val="20"/>
                <w:color w:val="auto"/>
              </w:rPr>
            </w:pPr>
            <w:r>
              <w:rPr>
                <w:rFonts w:ascii="Times New Roman" w:cs="Times New Roman" w:eastAsia="Times New Roman" w:hAnsi="Times New Roman"/>
                <w:sz w:val="14"/>
                <w:szCs w:val="14"/>
                <w:color w:val="auto"/>
              </w:rPr>
              <w:t>Other</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(1,003)</w:t>
            </w:r>
          </w:p>
        </w:tc>
        <w:tc>
          <w:tcPr>
            <w:tcW w:w="8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3,851</w:t>
            </w:r>
          </w:p>
        </w:tc>
      </w:tr>
      <w:tr>
        <w:trPr>
          <w:trHeight w:val="202"/>
        </w:trPr>
        <w:tc>
          <w:tcPr>
            <w:tcW w:w="8280" w:type="dxa"/>
            <w:vAlign w:val="bottom"/>
            <w:shd w:val="clear" w:color="auto" w:fill="CCEEFF"/>
          </w:tcPr>
          <w:p>
            <w:pPr>
              <w:ind w:left="1200"/>
              <w:spacing w:after="0"/>
              <w:rPr>
                <w:sz w:val="20"/>
                <w:szCs w:val="20"/>
                <w:color w:val="auto"/>
              </w:rPr>
            </w:pPr>
            <w:r>
              <w:rPr>
                <w:rFonts w:ascii="Times New Roman" w:cs="Times New Roman" w:eastAsia="Times New Roman" w:hAnsi="Times New Roman"/>
                <w:sz w:val="14"/>
                <w:szCs w:val="14"/>
                <w:color w:val="auto"/>
              </w:rPr>
              <w:t>Net cash provided by (used in) operating activities</w:t>
            </w: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(5,223)</w:t>
            </w:r>
          </w:p>
        </w:tc>
        <w:tc>
          <w:tcPr>
            <w:tcW w:w="8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7,884</w:t>
            </w:r>
          </w:p>
        </w:tc>
      </w:tr>
      <w:tr>
        <w:trPr>
          <w:trHeight w:val="176"/>
        </w:trPr>
        <w:tc>
          <w:tcPr>
            <w:tcW w:w="82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209"/>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Acquisition of property, plant and equipment</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(4,262)</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(5,468)</w:t>
            </w:r>
          </w:p>
        </w:tc>
      </w:tr>
      <w:tr>
        <w:trPr>
          <w:trHeight w:val="195"/>
        </w:trPr>
        <w:tc>
          <w:tcPr>
            <w:tcW w:w="82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Proceeds from sale of property, plant, and equipment</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r>
      <w:tr>
        <w:trPr>
          <w:trHeight w:val="210"/>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Cash settlements of interest rate swap</w:t>
            </w:r>
          </w:p>
        </w:tc>
        <w:tc>
          <w:tcPr>
            <w:tcW w:w="3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(15,420)</w:t>
            </w:r>
          </w:p>
        </w:tc>
      </w:tr>
      <w:tr>
        <w:trPr>
          <w:trHeight w:val="190"/>
        </w:trPr>
        <w:tc>
          <w:tcPr>
            <w:tcW w:w="8280" w:type="dxa"/>
            <w:vAlign w:val="bottom"/>
            <w:tcBorders>
              <w:bottom w:val="single" w:sz="8" w:color="CCEEFF"/>
            </w:tcBorders>
          </w:tcPr>
          <w:p>
            <w:pPr>
              <w:ind w:left="120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(4,226)</w:t>
            </w:r>
          </w:p>
        </w:tc>
        <w:tc>
          <w:tcPr>
            <w:tcW w:w="80" w:type="dxa"/>
            <w:vAlign w:val="bottom"/>
            <w:tcBorders>
              <w:bottom w:val="single" w:sz="8" w:color="CCEEFF"/>
            </w:tcBorders>
          </w:tcPr>
          <w:p>
            <w:pPr>
              <w:spacing w:after="0"/>
              <w:rPr>
                <w:sz w:val="16"/>
                <w:szCs w:val="16"/>
                <w:color w:val="auto"/>
              </w:rPr>
            </w:pPr>
          </w:p>
        </w:tc>
        <w:tc>
          <w:tcPr>
            <w:tcW w:w="42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(20,877)</w:t>
            </w:r>
          </w:p>
        </w:tc>
      </w:tr>
      <w:tr>
        <w:trPr>
          <w:trHeight w:val="18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r>
      <w:tr>
        <w:trPr>
          <w:trHeight w:val="195"/>
        </w:trPr>
        <w:tc>
          <w:tcPr>
            <w:tcW w:w="82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Cash paid for debt issuance costs</w:t>
            </w:r>
          </w:p>
        </w:tc>
        <w:tc>
          <w:tcPr>
            <w:tcW w:w="340" w:type="dxa"/>
            <w:vAlign w:val="bottom"/>
          </w:tcPr>
          <w:p>
            <w:pPr>
              <w:spacing w:after="0"/>
              <w:rPr>
                <w:sz w:val="16"/>
                <w:szCs w:val="16"/>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(6,856)</w:t>
            </w:r>
          </w:p>
        </w:tc>
      </w:tr>
      <w:tr>
        <w:trPr>
          <w:trHeight w:val="210"/>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Proceeds from issuance of preferred stock</w:t>
            </w:r>
          </w:p>
        </w:tc>
        <w:tc>
          <w:tcPr>
            <w:tcW w:w="3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61,918</w:t>
            </w:r>
          </w:p>
        </w:tc>
      </w:tr>
      <w:tr>
        <w:trPr>
          <w:trHeight w:val="195"/>
        </w:trPr>
        <w:tc>
          <w:tcPr>
            <w:tcW w:w="82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Redemption of preferred stock</w:t>
            </w:r>
          </w:p>
        </w:tc>
        <w:tc>
          <w:tcPr>
            <w:tcW w:w="340" w:type="dxa"/>
            <w:vAlign w:val="bottom"/>
          </w:tcPr>
          <w:p>
            <w:pPr>
              <w:spacing w:after="0"/>
              <w:rPr>
                <w:sz w:val="16"/>
                <w:szCs w:val="16"/>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(122,434)</w:t>
            </w:r>
          </w:p>
        </w:tc>
      </w:tr>
      <w:tr>
        <w:trPr>
          <w:trHeight w:val="210"/>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Proceeds from long-term debt</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8,000</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150,000</w:t>
            </w:r>
          </w:p>
        </w:tc>
      </w:tr>
      <w:tr>
        <w:trPr>
          <w:trHeight w:val="195"/>
        </w:trPr>
        <w:tc>
          <w:tcPr>
            <w:tcW w:w="82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Repayments of long-term debt</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(8,729)</w:t>
            </w: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(70,721)</w:t>
            </w:r>
          </w:p>
        </w:tc>
      </w:tr>
      <w:tr>
        <w:trPr>
          <w:trHeight w:val="210"/>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Repayments of short-term debt, net</w:t>
            </w:r>
          </w:p>
        </w:tc>
        <w:tc>
          <w:tcPr>
            <w:tcW w:w="3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(1,090)</w:t>
            </w:r>
          </w:p>
        </w:tc>
      </w:tr>
      <w:tr>
        <w:trPr>
          <w:trHeight w:val="196"/>
        </w:trPr>
        <w:tc>
          <w:tcPr>
            <w:tcW w:w="82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Other</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(787)</w:t>
            </w:r>
          </w:p>
        </w:tc>
        <w:tc>
          <w:tcPr>
            <w:tcW w:w="8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(1,189)</w:t>
            </w:r>
          </w:p>
        </w:tc>
      </w:tr>
      <w:tr>
        <w:trPr>
          <w:trHeight w:val="203"/>
        </w:trPr>
        <w:tc>
          <w:tcPr>
            <w:tcW w:w="8280" w:type="dxa"/>
            <w:vAlign w:val="bottom"/>
            <w:shd w:val="clear" w:color="auto" w:fill="CCEEFF"/>
          </w:tcPr>
          <w:p>
            <w:pPr>
              <w:ind w:left="1200"/>
              <w:spacing w:after="0"/>
              <w:rPr>
                <w:sz w:val="20"/>
                <w:szCs w:val="20"/>
                <w:color w:val="auto"/>
              </w:rPr>
            </w:pPr>
            <w:r>
              <w:rPr>
                <w:rFonts w:ascii="Times New Roman" w:cs="Times New Roman" w:eastAsia="Times New Roman" w:hAnsi="Times New Roman"/>
                <w:sz w:val="14"/>
                <w:szCs w:val="14"/>
                <w:color w:val="auto"/>
              </w:rPr>
              <w:t>Net cash provided by (used in) financing activities</w:t>
            </w: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(1,516)</w:t>
            </w:r>
          </w:p>
        </w:tc>
        <w:tc>
          <w:tcPr>
            <w:tcW w:w="8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9,628</w:t>
            </w:r>
          </w:p>
        </w:tc>
      </w:tr>
      <w:tr>
        <w:trPr>
          <w:trHeight w:val="189"/>
        </w:trPr>
        <w:tc>
          <w:tcPr>
            <w:tcW w:w="82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Effect of exchange rate changes on cash flows</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2,936</w:t>
            </w: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(1,740)</w:t>
            </w:r>
          </w:p>
        </w:tc>
      </w:tr>
      <w:tr>
        <w:trPr>
          <w:trHeight w:val="210"/>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Net change in cash and cash equivalents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(8,029)</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(5,105)</w:t>
            </w:r>
          </w:p>
        </w:tc>
      </w:tr>
      <w:tr>
        <w:trPr>
          <w:trHeight w:val="196"/>
        </w:trPr>
        <w:tc>
          <w:tcPr>
            <w:tcW w:w="82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Cash and cash equivalents at beginning of period</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28,656</w:t>
            </w:r>
          </w:p>
        </w:tc>
        <w:tc>
          <w:tcPr>
            <w:tcW w:w="8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48,138</w:t>
            </w:r>
          </w:p>
        </w:tc>
      </w:tr>
      <w:tr>
        <w:trPr>
          <w:trHeight w:val="221"/>
        </w:trPr>
        <w:tc>
          <w:tcPr>
            <w:tcW w:w="82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Cash and cash equivalents at end of period</w:t>
            </w: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20,627</w:t>
            </w:r>
          </w:p>
        </w:tc>
        <w:tc>
          <w:tcPr>
            <w:tcW w:w="8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43,033</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See notes to condensed consolidated financial statements (unaudited).</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NN, Inc.</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March 31, 2022</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Interim Financial Statements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Nature of Business</w:t>
      </w:r>
    </w:p>
    <w:p>
      <w:pPr>
        <w:spacing w:after="0" w:line="11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NN, Inc. is a global diversified industrial company that combines advanced engineering and production capabilities with in-depth materials science expertise to design and manufacture high-precision components and assemblies primarily for the automotive, general industrial, electrical, aerospace, defense, and medical markets. As used in this Quarterly Report on Form 10-Q (this “Quarterly Report”), the terms “NN,” the “Company,” “we,” “our,” or “us” refer to NN, Inc., and its subsidiaries.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of Presentation</w:t>
      </w:r>
    </w:p>
    <w:p>
      <w:pPr>
        <w:spacing w:after="0" w:line="11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have not been audited. The Condensed Consolidated Balance Sheet as of December 31, 2021, was derived from the audited consolidated financial statements included in our Annual Report on Form 10-K for the year ended December 31, 2021 (the “2021 Annual Report”), which we filed with the U.S. Securities and Exchange Commission (the “SEC”) on March 11, 2022. In management’s opinion, the accompanying unaudited condensed consolidated financial statements reflect all adjustments necessary to fairly state our results of operations for the three months ended March 31, 2022 and 2021; financial position as of March 31, 2022 and December 31, 2021; and cash flows for the three months ended March 31, 2022 and 2021, on a basis consistent with our audited consolidated financial statements. These adjustments are of a normal recurring nature and are, in the opinion of management, necessary to state fairly the Company’s financial position and operating results for the interim periods. Certain prior period amounts have been reclassified to conform to the current year’s presentation.</w:t>
      </w:r>
    </w:p>
    <w:p>
      <w:pPr>
        <w:spacing w:after="0" w:line="84"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Certain information and footnote disclosures normally included in the consolidated financial statements prepared in accordance with accounting principles generally accepted in the United States (“U.S. GAAP”) have been condensed or omitted from the unaudited condensed consolidated financial statements presented in this Quarterly Report. These unaudited condensed consolidated financial statements should be read in conjunction with our audited consolidated financial statements and accompanying notes included in the 2021 Annual Report. The results for the three months ended March 31, 2022, are not necessarily indicative of results for the year ending December 31, 2022, or any other future periods.</w:t>
      </w:r>
    </w:p>
    <w:p>
      <w:pPr>
        <w:spacing w:after="0" w:line="75" w:lineRule="exact"/>
        <w:rPr>
          <w:sz w:val="20"/>
          <w:szCs w:val="20"/>
          <w:color w:val="auto"/>
        </w:rPr>
      </w:pPr>
    </w:p>
    <w:p>
      <w:pPr>
        <w:ind w:right="860"/>
        <w:spacing w:after="0" w:line="282" w:lineRule="auto"/>
        <w:rPr>
          <w:sz w:val="20"/>
          <w:szCs w:val="20"/>
          <w:color w:val="auto"/>
        </w:rPr>
      </w:pPr>
      <w:r>
        <w:rPr>
          <w:rFonts w:ascii="Times New Roman" w:cs="Times New Roman" w:eastAsia="Times New Roman" w:hAnsi="Times New Roman"/>
          <w:sz w:val="18"/>
          <w:szCs w:val="18"/>
          <w:color w:val="auto"/>
        </w:rPr>
        <w:t>Except for per share data or as otherwise indicated, all U.S. dollar amounts and share counts presented in the tables in these Notes to Condensed Consolidated Financial Statements are in thousands.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Standards Recently Adopted</w:t>
      </w:r>
    </w:p>
    <w:p>
      <w:pPr>
        <w:spacing w:after="0" w:line="171"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7"/>
          <w:szCs w:val="17"/>
          <w:color w:val="auto"/>
        </w:rPr>
        <w:t xml:space="preserve">In August 2020, the FASB issued ASU 2020-06, </w:t>
      </w:r>
      <w:r>
        <w:rPr>
          <w:rFonts w:ascii="Times New Roman" w:cs="Times New Roman" w:eastAsia="Times New Roman" w:hAnsi="Times New Roman"/>
          <w:sz w:val="17"/>
          <w:szCs w:val="17"/>
          <w:i w:val="1"/>
          <w:iCs w:val="1"/>
          <w:color w:val="auto"/>
        </w:rPr>
        <w:t>Accounting for Convertible Instruments and Contracts in an Entity’s Own Equity</w:t>
      </w:r>
      <w:r>
        <w:rPr>
          <w:rFonts w:ascii="Times New Roman" w:cs="Times New Roman" w:eastAsia="Times New Roman" w:hAnsi="Times New Roman"/>
          <w:sz w:val="17"/>
          <w:szCs w:val="17"/>
          <w:color w:val="auto"/>
        </w:rPr>
        <w:t xml:space="preserve"> (“ASU 2020-06”), which simplifies the accounting for certain financial instruments with characteristics of liabilities and equity. Specifically, ASU 2020-06 simplifies accounting for convertible instruments by removing major separation models required under current U.S. GAAP. In addition, ASU 2020-06 removes certain settlement conditions that are required for equity contracts to qualify for the derivative scope exception, which will permit more equity contracts to qualify for the exception. Further, for the diluted earnings-per-share calculation, the new guidance requires entities to use the if-converted method for all convertible instruments and generally requires entities to include the effect of share settlement for instruments that may be settled in cash or shares, among other things. The adoption of ASU 2020-06 effective January 1, 2022 did not have a material impact on our consolidated financial statements and related disclosures.</w:t>
      </w:r>
    </w:p>
    <w:p>
      <w:pPr>
        <w:spacing w:after="0" w:line="63"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 xml:space="preserve">In May 2021, the FASB issued ASU 2021-04, </w:t>
      </w:r>
      <w:r>
        <w:rPr>
          <w:rFonts w:ascii="Times New Roman" w:cs="Times New Roman" w:eastAsia="Times New Roman" w:hAnsi="Times New Roman"/>
          <w:sz w:val="18"/>
          <w:szCs w:val="18"/>
          <w:i w:val="1"/>
          <w:iCs w:val="1"/>
          <w:color w:val="auto"/>
        </w:rPr>
        <w:t>Issuer’s Accounting for Certain Modifications or Exchanges of Freestanding Equity-Classified Written Call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Options </w:t>
      </w:r>
      <w:r>
        <w:rPr>
          <w:rFonts w:ascii="Times New Roman" w:cs="Times New Roman" w:eastAsia="Times New Roman" w:hAnsi="Times New Roman"/>
          <w:sz w:val="18"/>
          <w:szCs w:val="18"/>
          <w:color w:val="auto"/>
        </w:rPr>
        <w:t>(“ASU 2021-04”), which clarifies the accounting for modifications or exchanges of freestanding equity-classified written call options that remain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equity classified after modification or exchange. Specifically, ASU 2021-04 requires the issuer to treat a modification of an equity-classified warrant as an exchange of the original warrant. The difference between the fair value of the modified warrant and the fair value of the warrant immediately before modification is then recognized as an issuance cost or discount of the related transaction. Since we do not have any equity-classified written call options that would be subject to this guidance, the adoption of ASU 2021-04 did not have any impact on our consolidated financial statements and related disclosures during the three months ended March 31, 2022.</w:t>
      </w: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Standards Not Yet Adopted</w:t>
      </w:r>
    </w:p>
    <w:p>
      <w:pPr>
        <w:spacing w:after="0" w:line="117"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 xml:space="preserve">In November 2021, the FASB issued ASU 2021-10, </w:t>
      </w:r>
      <w:r>
        <w:rPr>
          <w:rFonts w:ascii="Times New Roman" w:cs="Times New Roman" w:eastAsia="Times New Roman" w:hAnsi="Times New Roman"/>
          <w:sz w:val="18"/>
          <w:szCs w:val="18"/>
          <w:i w:val="1"/>
          <w:iCs w:val="1"/>
          <w:color w:val="auto"/>
        </w:rPr>
        <w:t>Government Assistance (Topic 832): Disclosures by Business Entities about Government Assistance</w:t>
      </w:r>
      <w:r>
        <w:rPr>
          <w:rFonts w:ascii="Times New Roman" w:cs="Times New Roman" w:eastAsia="Times New Roman" w:hAnsi="Times New Roman"/>
          <w:sz w:val="18"/>
          <w:szCs w:val="18"/>
          <w:color w:val="auto"/>
        </w:rPr>
        <w:t xml:space="preserve"> (“ASU 2021-10”), which requires business entities to provide certain annual disclosures when they have received government assistance and use a grant or contribution accounting model by analogy to other accounting guidance. Such disclosures include the nature of the transactions, significant terms and conditions, accounting policies, and affected financial statement line items. ASU 2021-10 may be applied either prospectively or retrospectively. We are in the process of assessing the impact ASU 2021-10 may have on our annual disclosures for the year ending December 31, 2022.</w:t>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Segment Information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business is aggregated into the following two reportable segments:</w:t>
      </w:r>
    </w:p>
    <w:p>
      <w:pPr>
        <w:spacing w:after="0" w:line="117"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Mobile Solutions, which is focused on growth in the automotive and general industrial end markets;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Power Solutions, which is focused on growth in the electrical, general industrial, automotive, aerospace, defense, and medical end markets.</w:t>
      </w:r>
    </w:p>
    <w:p>
      <w:pPr>
        <w:spacing w:after="0" w:line="117"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These divisions are considered our two operating segments as each engages in business activities for which it earns revenues and incurs expenses, discrete financial information is available for each, and this is the level at which the chief operating decision maker reviews discrete financial information for purposes of allocating resources and assessing performance.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present results of operations by reportable segment.</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2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9"/>
              </w:rPr>
              <w:t>Mobile</w:t>
            </w:r>
          </w:p>
        </w:tc>
        <w:tc>
          <w:tcPr>
            <w:tcW w:w="220" w:type="dxa"/>
            <w:vAlign w:val="bottom"/>
          </w:tcPr>
          <w:p>
            <w:pPr>
              <w:spacing w:after="0"/>
              <w:rPr>
                <w:sz w:val="13"/>
                <w:szCs w:val="13"/>
                <w:color w:val="auto"/>
              </w:rPr>
            </w:pPr>
          </w:p>
        </w:tc>
        <w:tc>
          <w:tcPr>
            <w:tcW w:w="112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Power</w:t>
            </w:r>
          </w:p>
        </w:tc>
        <w:tc>
          <w:tcPr>
            <w:tcW w:w="160" w:type="dxa"/>
            <w:vAlign w:val="bottom"/>
          </w:tcPr>
          <w:p>
            <w:pPr>
              <w:spacing w:after="0"/>
              <w:rPr>
                <w:sz w:val="13"/>
                <w:szCs w:val="13"/>
                <w:color w:val="auto"/>
              </w:rPr>
            </w:pPr>
          </w:p>
        </w:tc>
        <w:tc>
          <w:tcPr>
            <w:tcW w:w="1160" w:type="dxa"/>
            <w:vAlign w:val="bottom"/>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jc w:val="center"/>
              <w:ind w:right="58"/>
              <w:spacing w:after="0" w:line="146" w:lineRule="exact"/>
              <w:rPr>
                <w:sz w:val="20"/>
                <w:szCs w:val="20"/>
                <w:color w:val="auto"/>
              </w:rPr>
            </w:pPr>
            <w:r>
              <w:rPr>
                <w:rFonts w:ascii="Times New Roman" w:cs="Times New Roman" w:eastAsia="Times New Roman" w:hAnsi="Times New Roman"/>
                <w:sz w:val="14"/>
                <w:szCs w:val="14"/>
                <w:b w:val="1"/>
                <w:bCs w:val="1"/>
                <w:color w:val="auto"/>
                <w:w w:val="97"/>
              </w:rPr>
              <w:t>and</w:t>
            </w: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vMerge w:val="restart"/>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220" w:type="dxa"/>
            <w:vAlign w:val="bottom"/>
          </w:tcPr>
          <w:p>
            <w:pPr>
              <w:spacing w:after="0"/>
              <w:rPr>
                <w:sz w:val="17"/>
                <w:szCs w:val="17"/>
                <w:color w:val="auto"/>
              </w:rPr>
            </w:pP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160" w:type="dxa"/>
            <w:vAlign w:val="bottom"/>
          </w:tcPr>
          <w:p>
            <w:pPr>
              <w:spacing w:after="0"/>
              <w:rPr>
                <w:sz w:val="17"/>
                <w:szCs w:val="17"/>
                <w:color w:val="auto"/>
              </w:rPr>
            </w:pPr>
          </w:p>
        </w:tc>
        <w:tc>
          <w:tcPr>
            <w:tcW w:w="1160" w:type="dxa"/>
            <w:vAlign w:val="bottom"/>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Consolidations</w:t>
            </w: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20" w:type="dxa"/>
            <w:vAlign w:val="bottom"/>
            <w:tcBorders>
              <w:top w:val="single" w:sz="8" w:color="CCEEFF"/>
            </w:tcBorders>
            <w:shd w:val="clear" w:color="auto" w:fill="CCEEFF"/>
          </w:tcPr>
          <w:p>
            <w:pPr>
              <w:spacing w:after="0"/>
              <w:rPr>
                <w:sz w:val="14"/>
                <w:szCs w:val="14"/>
                <w:color w:val="auto"/>
              </w:rPr>
            </w:pPr>
          </w:p>
        </w:tc>
        <w:tc>
          <w:tcPr>
            <w:tcW w:w="5260" w:type="dxa"/>
            <w:vAlign w:val="bottom"/>
            <w:tcBorders>
              <w:top w:val="single" w:sz="8" w:color="CCEEFF"/>
            </w:tcBorders>
            <w:gridSpan w:val="2"/>
            <w:shd w:val="clear" w:color="auto" w:fill="CCEEFF"/>
          </w:tcPr>
          <w:p>
            <w:pPr>
              <w:spacing w:after="0" w:line="134" w:lineRule="exact"/>
              <w:rPr>
                <w:sz w:val="20"/>
                <w:szCs w:val="20"/>
                <w:color w:val="auto"/>
              </w:rPr>
            </w:pPr>
            <w:r>
              <w:rPr>
                <w:rFonts w:ascii="Times New Roman" w:cs="Times New Roman" w:eastAsia="Times New Roman" w:hAnsi="Times New Roman"/>
                <w:sz w:val="14"/>
                <w:szCs w:val="14"/>
                <w:b w:val="1"/>
                <w:bCs w:val="1"/>
                <w:color w:val="auto"/>
              </w:rPr>
              <w:t>Three Months Ended March 31, 2022</w:t>
            </w:r>
          </w:p>
        </w:tc>
        <w:tc>
          <w:tcPr>
            <w:tcW w:w="22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1160" w:type="dxa"/>
            <w:vAlign w:val="bottom"/>
            <w:tcBorders>
              <w:top w:val="single" w:sz="8" w:color="auto"/>
            </w:tcBorders>
            <w:shd w:val="clear" w:color="auto" w:fill="CCEEFF"/>
          </w:tcPr>
          <w:p>
            <w:pPr>
              <w:spacing w:after="0"/>
              <w:rPr>
                <w:sz w:val="14"/>
                <w:szCs w:val="14"/>
                <w:color w:val="auto"/>
              </w:rPr>
            </w:pPr>
          </w:p>
        </w:tc>
        <w:tc>
          <w:tcPr>
            <w:tcW w:w="64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23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Net sales</w:t>
            </w:r>
          </w:p>
        </w:tc>
        <w:tc>
          <w:tcPr>
            <w:tcW w:w="296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76,070</w:t>
            </w:r>
          </w:p>
        </w:tc>
        <w:tc>
          <w:tcPr>
            <w:tcW w:w="12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52,011</w:t>
            </w:r>
          </w:p>
        </w:tc>
        <w:tc>
          <w:tcPr>
            <w:tcW w:w="10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640" w:type="dxa"/>
            <w:vAlign w:val="bottom"/>
            <w:tcBorders>
              <w:top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(a)</w:t>
            </w:r>
          </w:p>
        </w:tc>
        <w:tc>
          <w:tcPr>
            <w:tcW w:w="300" w:type="dxa"/>
            <w:vAlign w:val="bottom"/>
            <w:tcBorders>
              <w:top w:val="single" w:sz="8" w:color="CCEEFF"/>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128,067</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(5,753)</w:t>
            </w:r>
          </w:p>
        </w:tc>
        <w:tc>
          <w:tcPr>
            <w:tcW w:w="6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(3,439)</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Loss from operations before income taxes and share of net income from joint venture</w:t>
            </w: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(3,863)</w:t>
            </w: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52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Three Months Ended March 31, 2021</w:t>
            </w: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0" w:type="dxa"/>
            <w:vAlign w:val="bottom"/>
            <w:tcBorders>
              <w:top w:val="single" w:sz="8" w:color="CCEEFF"/>
            </w:tcBorders>
          </w:tcPr>
          <w:p>
            <w:pPr>
              <w:spacing w:after="0"/>
              <w:rPr>
                <w:sz w:val="19"/>
                <w:szCs w:val="19"/>
                <w:color w:val="auto"/>
              </w:rPr>
            </w:pPr>
          </w:p>
        </w:tc>
        <w:tc>
          <w:tcPr>
            <w:tcW w:w="23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Net sales</w:t>
            </w:r>
          </w:p>
        </w:tc>
        <w:tc>
          <w:tcPr>
            <w:tcW w:w="296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77,776</w:t>
            </w:r>
          </w:p>
        </w:tc>
        <w:tc>
          <w:tcPr>
            <w:tcW w:w="12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49,075</w:t>
            </w:r>
          </w:p>
        </w:tc>
        <w:tc>
          <w:tcPr>
            <w:tcW w:w="10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640" w:type="dxa"/>
            <w:vAlign w:val="bottom"/>
            <w:tcBorders>
              <w:top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(a)</w:t>
            </w:r>
          </w:p>
        </w:tc>
        <w:tc>
          <w:tcPr>
            <w:tcW w:w="300" w:type="dxa"/>
            <w:vAlign w:val="bottom"/>
            <w:tcBorders>
              <w:top w:val="single" w:sz="8" w:color="CCEEFF"/>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126,804</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(7,544)</w:t>
            </w:r>
          </w:p>
        </w:tc>
        <w:tc>
          <w:tcPr>
            <w:tcW w:w="6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(6,018)</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6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Loss from operations before income taxes and share of net income from joint venture</w:t>
            </w: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(7,064)</w:t>
            </w: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w:t>
      </w:r>
    </w:p>
    <w:p>
      <w:pPr>
        <w:spacing w:after="0" w:line="5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Includes elimination of intersegment transactions occurring during the ordinary course of business.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Inventories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Inventories are comprised of the following amounts: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160" w:type="dxa"/>
            <w:vAlign w:val="bottom"/>
          </w:tcPr>
          <w:p>
            <w:pPr>
              <w:spacing w:after="0"/>
              <w:rPr>
                <w:sz w:val="16"/>
                <w:szCs w:val="16"/>
                <w:color w:val="auto"/>
              </w:rPr>
            </w:pPr>
          </w:p>
        </w:tc>
        <w:tc>
          <w:tcPr>
            <w:tcW w:w="1480" w:type="dxa"/>
            <w:vAlign w:val="bottom"/>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3"/>
        </w:trPr>
        <w:tc>
          <w:tcPr>
            <w:tcW w:w="78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23"/>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31,108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27,221</w:t>
            </w:r>
          </w:p>
        </w:tc>
      </w:tr>
      <w:tr>
        <w:trPr>
          <w:trHeight w:val="230"/>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 in process</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28,857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24,960</w:t>
            </w:r>
          </w:p>
        </w:tc>
      </w:tr>
      <w:tr>
        <w:trPr>
          <w:trHeight w:val="230"/>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21,274</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22,846</w:t>
            </w:r>
          </w:p>
        </w:tc>
      </w:tr>
      <w:tr>
        <w:trPr>
          <w:trHeight w:val="223"/>
        </w:trPr>
        <w:tc>
          <w:tcPr>
            <w:tcW w:w="7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inventories</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81,239</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75,027</w:t>
            </w:r>
          </w:p>
        </w:tc>
      </w:tr>
      <w:tr>
        <w:trPr>
          <w:trHeight w:val="20"/>
        </w:trPr>
        <w:tc>
          <w:tcPr>
            <w:tcW w:w="78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Intangible Assets, Net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changes in the carrying amount of intangible assets, net, by reportable segment.</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6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Mobile</w:t>
            </w:r>
          </w:p>
        </w:tc>
        <w:tc>
          <w:tcPr>
            <w:tcW w:w="300" w:type="dxa"/>
            <w:vAlign w:val="bottom"/>
          </w:tcPr>
          <w:p>
            <w:pPr>
              <w:spacing w:after="0"/>
              <w:rPr>
                <w:sz w:val="13"/>
                <w:szCs w:val="13"/>
                <w:color w:val="auto"/>
              </w:rPr>
            </w:pPr>
          </w:p>
        </w:tc>
        <w:tc>
          <w:tcPr>
            <w:tcW w:w="138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Power</w:t>
            </w:r>
          </w:p>
        </w:tc>
        <w:tc>
          <w:tcPr>
            <w:tcW w:w="360" w:type="dxa"/>
            <w:vAlign w:val="bottom"/>
          </w:tcPr>
          <w:p>
            <w:pPr>
              <w:spacing w:after="0"/>
              <w:rPr>
                <w:sz w:val="13"/>
                <w:szCs w:val="13"/>
                <w:color w:val="auto"/>
              </w:rPr>
            </w:pPr>
          </w:p>
        </w:tc>
        <w:tc>
          <w:tcPr>
            <w:tcW w:w="1200" w:type="dxa"/>
            <w:vAlign w:val="bottom"/>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6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6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300" w:type="dxa"/>
            <w:vAlign w:val="bottom"/>
          </w:tcPr>
          <w:p>
            <w:pPr>
              <w:spacing w:after="0"/>
              <w:rPr>
                <w:sz w:val="17"/>
                <w:szCs w:val="17"/>
                <w:color w:val="auto"/>
              </w:rPr>
            </w:pPr>
          </w:p>
        </w:tc>
        <w:tc>
          <w:tcPr>
            <w:tcW w:w="138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360" w:type="dxa"/>
            <w:vAlign w:val="bottom"/>
          </w:tcPr>
          <w:p>
            <w:pPr>
              <w:spacing w:after="0"/>
              <w:rPr>
                <w:sz w:val="17"/>
                <w:szCs w:val="17"/>
                <w:color w:val="auto"/>
              </w:rPr>
            </w:pPr>
          </w:p>
        </w:tc>
        <w:tc>
          <w:tcPr>
            <w:tcW w:w="12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2021</w:t>
            </w: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25,709</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63,009</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88,718</w:t>
            </w:r>
          </w:p>
        </w:tc>
        <w:tc>
          <w:tcPr>
            <w:tcW w:w="0" w:type="dxa"/>
            <w:vAlign w:val="bottom"/>
          </w:tcPr>
          <w:p>
            <w:pPr>
              <w:spacing w:after="0"/>
              <w:rPr>
                <w:sz w:val="1"/>
                <w:szCs w:val="1"/>
                <w:color w:val="auto"/>
              </w:rPr>
            </w:pPr>
          </w:p>
        </w:tc>
      </w:tr>
      <w:tr>
        <w:trPr>
          <w:trHeight w:val="230"/>
        </w:trPr>
        <w:tc>
          <w:tcPr>
            <w:tcW w:w="6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Amortization</w:t>
            </w: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8"/>
                <w:szCs w:val="18"/>
                <w:color w:val="auto"/>
                <w:w w:val="98"/>
              </w:rPr>
              <w:t>(2,749)</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(3,587)</w:t>
            </w:r>
          </w:p>
        </w:tc>
        <w:tc>
          <w:tcPr>
            <w:tcW w:w="0" w:type="dxa"/>
            <w:vAlign w:val="bottom"/>
          </w:tcPr>
          <w:p>
            <w:pPr>
              <w:spacing w:after="0"/>
              <w:rPr>
                <w:sz w:val="1"/>
                <w:szCs w:val="1"/>
                <w:color w:val="auto"/>
              </w:rPr>
            </w:pPr>
          </w:p>
        </w:tc>
      </w:tr>
      <w:tr>
        <w:trPr>
          <w:trHeight w:val="248"/>
        </w:trPr>
        <w:tc>
          <w:tcPr>
            <w:tcW w:w="6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March 31, 2022</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24,871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60,260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85,131</w:t>
            </w:r>
          </w:p>
        </w:tc>
        <w:tc>
          <w:tcPr>
            <w:tcW w:w="0" w:type="dxa"/>
            <w:vAlign w:val="bottom"/>
          </w:tcPr>
          <w:p>
            <w:pPr>
              <w:spacing w:after="0"/>
              <w:rPr>
                <w:sz w:val="1"/>
                <w:szCs w:val="1"/>
                <w:color w:val="auto"/>
              </w:rPr>
            </w:pPr>
          </w:p>
        </w:tc>
      </w:tr>
      <w:tr>
        <w:trPr>
          <w:trHeight w:val="20"/>
        </w:trPr>
        <w:tc>
          <w:tcPr>
            <w:tcW w:w="63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7"/>
          <w:szCs w:val="17"/>
          <w:color w:val="auto"/>
        </w:rPr>
        <w:t>Intangible assets are reviewed for impairment when changes in circumstances indicate the carrying value of those assets may not be recoverable. At March 31, 2022, our market capitalization declined to a level that was less than the net book value of our stockholders’ equity. The decline in market capitalization was a triggering event that caused us to perform an impairment analysis on our long-lived assets as of March 31, 2022. Based on our analysis, the carrying values of the long-lived assets were recoverable and no impairment charge was recorded during the three months ended March 31, 2022.</w:t>
      </w: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Investment in Joint Venture</w:t>
      </w:r>
    </w:p>
    <w:p>
      <w:pPr>
        <w:spacing w:after="0" w:line="121"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We own a 49% investment in Wuxi Weifu Autocam Precision Machinery Company, Ltd. (the “JV”), a joint venture located in Wuxi, China. The JV is jointly controlled and managed, and we account for it under the equity method.</w:t>
      </w:r>
    </w:p>
    <w:p>
      <w:pPr>
        <w:sectPr>
          <w:pgSz w:w="11900" w:h="16838" w:orient="portrait"/>
          <w:cols w:equalWidth="0" w:num="1">
            <w:col w:w="11240"/>
          </w:cols>
          <w:pgMar w:left="320" w:top="121" w:right="339" w:bottom="1440" w:gutter="0" w:footer="0" w:header="0"/>
        </w:sectPr>
      </w:pP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shows changes in our investment in the JV.</w:t>
      </w:r>
    </w:p>
    <w:p>
      <w:pPr>
        <w:spacing w:after="0" w:line="1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Balance as of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15175" cy="1454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15175" cy="145415"/>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Share of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15175" cy="146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15175"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Dividends paid by joint venture</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Foreign currency translation gain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15175"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15175" cy="1714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Balance as of March 31, 2022</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Income Taxes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5" w:lineRule="exact"/>
        <w:rPr>
          <w:sz w:val="20"/>
          <w:szCs w:val="20"/>
          <w:color w:val="auto"/>
        </w:rPr>
      </w:pPr>
    </w:p>
    <w:p>
      <w:pPr>
        <w:ind w:left="1060" w:hanging="1056"/>
        <w:spacing w:after="0"/>
        <w:tabs>
          <w:tab w:leader="none" w:pos="10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34,045</w:t>
      </w:r>
    </w:p>
    <w:p>
      <w:pPr>
        <w:spacing w:after="0" w:line="27" w:lineRule="exact"/>
        <w:rPr>
          <w:rFonts w:ascii="Times New Roman" w:cs="Times New Roman" w:eastAsia="Times New Roman" w:hAnsi="Times New Roman"/>
          <w:sz w:val="18"/>
          <w:szCs w:val="18"/>
          <w:color w:val="auto"/>
        </w:rPr>
      </w:pPr>
    </w:p>
    <w:p>
      <w:pPr>
        <w:ind w:left="11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2,092</w:t>
      </w:r>
    </w:p>
    <w:p>
      <w:pPr>
        <w:spacing w:after="0" w:line="23"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(4,026)</w:t>
      </w:r>
    </w:p>
    <w:p>
      <w:pPr>
        <w:spacing w:after="0" w:line="23"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66</w:t>
      </w:r>
    </w:p>
    <w:p>
      <w:pPr>
        <w:spacing w:after="0" w:line="31" w:lineRule="exact"/>
        <w:rPr>
          <w:sz w:val="20"/>
          <w:szCs w:val="20"/>
          <w:color w:val="auto"/>
        </w:rPr>
      </w:pPr>
    </w:p>
    <w:p>
      <w:pPr>
        <w:ind w:left="1060" w:hanging="1056"/>
        <w:spacing w:after="0"/>
        <w:tabs>
          <w:tab w:leader="none" w:pos="10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32,177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43180</wp:posOffset>
            </wp:positionV>
            <wp:extent cx="104584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045845" cy="8255"/>
                    </a:xfrm>
                    <a:prstGeom prst="rect">
                      <a:avLst/>
                    </a:prstGeom>
                    <a:noFill/>
                  </pic:spPr>
                </pic:pic>
              </a:graphicData>
            </a:graphic>
          </wp:anchor>
        </w:drawing>
      </w:r>
    </w:p>
    <w:p>
      <w:pPr>
        <w:spacing w:after="0" w:line="1048" w:lineRule="exact"/>
        <w:rPr>
          <w:sz w:val="20"/>
          <w:szCs w:val="20"/>
          <w:color w:val="auto"/>
        </w:rPr>
      </w:pPr>
    </w:p>
    <w:p>
      <w:pPr>
        <w:sectPr>
          <w:pgSz w:w="11900" w:h="16838" w:orient="portrait"/>
          <w:cols w:equalWidth="0" w:num="2">
            <w:col w:w="8860" w:space="720"/>
            <w:col w:w="1660"/>
          </w:cols>
          <w:pgMar w:left="320" w:top="121" w:right="339" w:bottom="1440" w:gutter="0" w:footer="0" w:header="0"/>
          <w:type w:val="continuous"/>
        </w:sectPr>
      </w:pPr>
    </w:p>
    <w:p>
      <w:pPr>
        <w:ind w:right="80"/>
        <w:spacing w:after="0" w:line="258" w:lineRule="auto"/>
        <w:rPr>
          <w:sz w:val="20"/>
          <w:szCs w:val="20"/>
          <w:color w:val="auto"/>
        </w:rPr>
      </w:pPr>
      <w:r>
        <w:rPr>
          <w:rFonts w:ascii="Times New Roman" w:cs="Times New Roman" w:eastAsia="Times New Roman" w:hAnsi="Times New Roman"/>
          <w:sz w:val="18"/>
          <w:szCs w:val="18"/>
          <w:color w:val="auto"/>
        </w:rPr>
        <w:t>Our effective tax rate was (39.6)% and 10.7% for the three months ended March 31, 2022 and 2021, respectively. The effective tax rate for the three months ended March 31, 2022, differs from the U.S. federal statutory tax rate of 21% primarily due to the accrual of tax on non-permanently reinvested unremitted earnings of foreign subsidiaries and by limitation on the amount of tax benefit recorded for loss carryforwards in certain jurisdictions where we believe it is more likely than not that a portion of the future tax benefit may not be realized. In addition, the effective tax rate was unfavorably impacted by U.S. tax on the earnings of foreign subsidiaries under the global intangible low-taxed income regime.</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Debt</w:t>
      </w:r>
    </w:p>
    <w:p>
      <w:pPr>
        <w:spacing w:after="0" w:line="121"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On March 22, 2021, we entered into a new $150.0 million term loan facility (the “Term Loan Facility”) and a new $50.0 million asset backed credit facility (the “ABL Facility”). The following table presents debt balances as of March 31, 2022 and December 31, 2021.</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160" w:type="dxa"/>
            <w:vAlign w:val="bottom"/>
          </w:tcPr>
          <w:p>
            <w:pPr>
              <w:spacing w:after="0"/>
              <w:rPr>
                <w:sz w:val="16"/>
                <w:szCs w:val="16"/>
                <w:color w:val="auto"/>
              </w:rPr>
            </w:pPr>
          </w:p>
        </w:tc>
        <w:tc>
          <w:tcPr>
            <w:tcW w:w="148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3"/>
        </w:trPr>
        <w:tc>
          <w:tcPr>
            <w:tcW w:w="78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23"/>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Term Loan Facility</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148,500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148,875</w:t>
            </w:r>
          </w:p>
        </w:tc>
      </w:tr>
      <w:tr>
        <w:trPr>
          <w:trHeight w:val="229"/>
        </w:trPr>
        <w:tc>
          <w:tcPr>
            <w:tcW w:w="7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International lines of credit and other loans</w:t>
            </w: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10,302</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10,930</w:t>
            </w:r>
          </w:p>
        </w:tc>
      </w:tr>
      <w:tr>
        <w:trPr>
          <w:trHeight w:val="223"/>
        </w:trPr>
        <w:tc>
          <w:tcPr>
            <w:tcW w:w="7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principal</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158,802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159,805</w:t>
            </w:r>
          </w:p>
        </w:tc>
      </w:tr>
      <w:tr>
        <w:trPr>
          <w:trHeight w:val="230"/>
        </w:trPr>
        <w:tc>
          <w:tcPr>
            <w:tcW w:w="7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Less-current maturities of long-term debt</w:t>
            </w: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3,138</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3,074</w:t>
            </w:r>
          </w:p>
        </w:tc>
      </w:tr>
      <w:tr>
        <w:trPr>
          <w:trHeight w:val="223"/>
        </w:trPr>
        <w:tc>
          <w:tcPr>
            <w:tcW w:w="7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Principal, net of current portion</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155,664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156,731</w:t>
            </w:r>
          </w:p>
        </w:tc>
      </w:tr>
      <w:tr>
        <w:trPr>
          <w:trHeight w:val="229"/>
        </w:trPr>
        <w:tc>
          <w:tcPr>
            <w:tcW w:w="7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Less-unamortized debt issuance costs and discount (1)</w:t>
            </w: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5,264</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5,679</w:t>
            </w:r>
          </w:p>
        </w:tc>
      </w:tr>
      <w:tr>
        <w:trPr>
          <w:trHeight w:val="248"/>
        </w:trPr>
        <w:tc>
          <w:tcPr>
            <w:tcW w:w="78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Long-term debt, net of current portion</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150,400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151,052</w:t>
            </w: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w:t>
      </w:r>
    </w:p>
    <w:p>
      <w:pPr>
        <w:sectPr>
          <w:pgSz w:w="11900" w:h="16838" w:orient="portrait"/>
          <w:cols w:equalWidth="0" w:num="1">
            <w:col w:w="11240"/>
          </w:cols>
          <w:pgMar w:left="320" w:top="121" w:right="339" w:bottom="1440" w:gutter="0" w:footer="0" w:header="0"/>
          <w:type w:val="continuous"/>
        </w:sect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900" w:right="280" w:hanging="244"/>
        <w:spacing w:after="0" w:line="282" w:lineRule="auto"/>
        <w:tabs>
          <w:tab w:leader="none" w:pos="912"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this amount, costs of $0.7 million and $0.7 million related to the ABL Facility were recorded in other non-current assets as of March 31, 2022 and December 31, 2021, respectively.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Term Loan Facility</w:t>
      </w:r>
    </w:p>
    <w:p>
      <w:pPr>
        <w:spacing w:after="0" w:line="11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Outstanding borrowings under the Term Loan Facility bear interest at either 1) one-month LIBOR (subject to a 1.000% floor) plus an applicable margin of 6.875% or 2) the greater of various benchmark rates plus an applicable margin of 5.875%. At March 31, 2022, the Term Loan Facility bore interest, based on one-month LIBOR, at 7.875%. We have an interest rate swap that changes the one-month LIBOR to a fixed rate of 1.291% on $60.0 million of the outstanding balance of the Term Loan Facility.</w:t>
      </w:r>
    </w:p>
    <w:p>
      <w:pPr>
        <w:spacing w:after="0" w:line="72"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Term Loan Facility requires quarterly principal payments of $0.4 million with the remaining unpaid principal amount due on the final maturity date of September 22, 2026. The Term Loan Facility is collateralized by all of our assets. The Term Loan Facility has a first lien on all assets other than accounts receivable and inventory and has a second lien on accounts receivable and inventory. On March 3, 2022, we amended our Term Loan Facility, which increases the quarterly maximum consolidated net leverage ratio. We were in compliance with all requirements under the Term Loan Facility as of March 31, 2022.</w:t>
      </w:r>
    </w:p>
    <w:p>
      <w:pPr>
        <w:spacing w:after="0" w:line="75"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The Term Loan Facility was issued at a $3.8 million discount and we capitalized an additional $2.8 million in new debt issuance costs. These costs are recorded as a direct reduction to the carrying amount of the associated long-term debt and amortized over the term of the debt.</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ABL Facility</w:t>
      </w:r>
    </w:p>
    <w:p>
      <w:pPr>
        <w:spacing w:after="0" w:line="119"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The ABL Facility provides for a senior secured revolving credit facility in the amount of $50.0 million, of which $30.0 million is available in the form of letters of credit and $5.0 million is available for the issuance of short-term swingline loans. The availability of credit under the ABL Facility is limited by a borrowing base calculation derived from accounts receivable and inventory held in the United States. Outstanding borrowings under the ABL Facility bear interest on a variable rate structure plus an interest rate spread that is based on the average amount of aggregate revolving commitment available. The variable borrowing rate is either 1) LIBOR plus an applicable margin of 1.75% or 2.00%, depending on availability, or 2) the greater of the federal funds rate or prime, plus an applicable margin of 0.75% or 1.00%, depending on availability. We may elect whether to use one-month, three-month, or six-month LIBOR, subject to a 0.50% floor. Interest payments are due monthly on borrowings that utilize one-month LIBOR and quarterly on borrowings that utilize three-month or six-month LIBOR. At March 31, 2022, using one-month LIBOR plus a 1.75% spread, the weighted average interest rate on outstanding borrowings under the ABL Facility would have been 2.25% if there had been any balance outstanding. We pay a commitment fee of 0.375% for unused capacity under the ABL Facility and a 1.875% fee on the amount of letters of credit outstanding. The final maturity date of the ABL Facility is March 22, 2026.</w:t>
      </w:r>
    </w:p>
    <w:p>
      <w:pPr>
        <w:spacing w:after="0" w:line="84"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As of March 31, 2022, we had no outstanding borrowings under the ABL Facility, $11.1 million of outstanding letters of credit, and $37.8 million available for future borrowings under the ABL Facility. The ABL Facility has a first lien on accounts receivable and inventory. We were in compliance with all requirements under the ABL Facility as of March 31, 2022.</w:t>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Leases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contains supplemental cash flow information related to leases.</w:t>
      </w:r>
    </w:p>
    <w:p>
      <w:pPr>
        <w:spacing w:after="0" w:line="151" w:lineRule="exact"/>
        <w:rPr>
          <w:sz w:val="20"/>
          <w:szCs w:val="20"/>
          <w:color w:val="auto"/>
        </w:rPr>
      </w:pPr>
    </w:p>
    <w:p>
      <w:pPr>
        <w:jc w:val="center"/>
        <w:ind w:left="822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822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8240" w:type="dxa"/>
            <w:vAlign w:val="bottom"/>
            <w:tcBorders>
              <w:bottom w:val="single" w:sz="8" w:color="CCEEFF"/>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4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6"/>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9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30"/>
        </w:trPr>
        <w:tc>
          <w:tcPr>
            <w:tcW w:w="8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cash flows used in finance leases</w:t>
            </w:r>
          </w:p>
        </w:tc>
        <w:tc>
          <w:tcPr>
            <w:tcW w:w="900" w:type="dxa"/>
            <w:vAlign w:val="bottom"/>
          </w:tcPr>
          <w:p>
            <w:pPr>
              <w:jc w:val="right"/>
              <w:ind w:right="699"/>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2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30"/>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Operating cash flows used in operating leases</w:t>
            </w:r>
          </w:p>
        </w:tc>
        <w:tc>
          <w:tcPr>
            <w:tcW w:w="9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4,103</w:t>
            </w:r>
          </w:p>
        </w:tc>
      </w:tr>
      <w:tr>
        <w:trPr>
          <w:trHeight w:val="230"/>
        </w:trPr>
        <w:tc>
          <w:tcPr>
            <w:tcW w:w="8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Financing cash flows used in finance leases</w:t>
            </w:r>
          </w:p>
        </w:tc>
        <w:tc>
          <w:tcPr>
            <w:tcW w:w="9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846</w:t>
            </w: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Right-of-use assets obtained in exchange for new finance lease liabilities</w:t>
            </w:r>
          </w:p>
        </w:tc>
        <w:tc>
          <w:tcPr>
            <w:tcW w:w="9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34"/>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Right-of-use assets obtained in exchange for new operating lease liabilities (1)</w:t>
            </w:r>
          </w:p>
        </w:tc>
        <w:tc>
          <w:tcPr>
            <w:tcW w:w="9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1,305</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w:t>
      </w:r>
    </w:p>
    <w:p>
      <w:pPr>
        <w:spacing w:after="0" w:line="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 Includes new leases, renewals, and modifications.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Commitments and Contingencies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Brazil ICMS Tax Matter</w:t>
      </w:r>
    </w:p>
    <w:p>
      <w:pPr>
        <w:spacing w:after="0" w:line="11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Prior to the acquisition of Autocam Corporation (“Autocam”) in 2014, Autocam’s Brazilian subsidiary (“Autocam Brazil”) received notification from the Brazilian tax authority regarding ICMS (state value added tax) tax credits claimed on intermediary materials (e.g., tooling and perishable items) used in the manufacturing process. The Brazilian tax authority notification disallowed state ICMS tax credits claimed on intermediary materials based on the argument that these items are not intrinsically related to the manufacturing processes. Autocam Brazil filed an administrative defense with the Brazilian tax authority arguing, among other matters, that it should qualify for an ICMS tax credit, contending that the intermediary materials are directly related to the manufacturing process.</w:t>
      </w:r>
    </w:p>
    <w:p>
      <w:pPr>
        <w:spacing w:after="0" w:line="7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believe that we have substantial legal and factual defenses, and we plan to defend our interests in this matter vigorously. The matter encompasses several lawsuits filed with the Brazilian courts requesting declaratory actions that no tax is due or seeking a stay of execution on the collection of the tax. In 2018, we obtained a favorable decision in one of the declaratory actions for which the period for appeal has expired. We have filed actions in each court requesting dismissal of the matter based on the earlier court action. In May 2020, we received an unfavorable decision in one of the lawsuits, and as a result have recorded a liability to the Brazilian tax authorities and a receivable from the former shareholders of Autocam for the same amount. Although we anticipate a favorable resolution to the remaining matters, we can provide no assurances that we will be successful in achieving dismissal of all pending cases. The U.S. dollar amount that would be owed in the event of an unfavorable decision is subject to interest, penalties, and currency impacts and therefore is dependent on the timing of the decision. For the remaining open lawsuits, we currently believe the cumulative potential liability in the event of unfavorable decisions on all matters will be less than $5.0 million, inclusive of interest and penalties.</w:t>
      </w:r>
    </w:p>
    <w:p>
      <w:pPr>
        <w:spacing w:after="0" w:line="80" w:lineRule="exact"/>
        <w:rPr>
          <w:sz w:val="20"/>
          <w:szCs w:val="20"/>
          <w:color w:val="auto"/>
        </w:rPr>
      </w:pPr>
    </w:p>
    <w:p>
      <w:pPr>
        <w:jc w:val="both"/>
        <w:ind w:right="160"/>
        <w:spacing w:after="0" w:line="261" w:lineRule="auto"/>
        <w:rPr>
          <w:sz w:val="20"/>
          <w:szCs w:val="20"/>
          <w:color w:val="auto"/>
        </w:rPr>
      </w:pPr>
      <w:r>
        <w:rPr>
          <w:rFonts w:ascii="Times New Roman" w:cs="Times New Roman" w:eastAsia="Times New Roman" w:hAnsi="Times New Roman"/>
          <w:sz w:val="18"/>
          <w:szCs w:val="18"/>
          <w:color w:val="auto"/>
        </w:rPr>
        <w:t>We are entitled to indemnification from the former shareholders of Autocam, subject to the limitations and procedures set forth in the agreement and plan of merger relating to the Autocam acquisition. Management believes the indemnification would include amounts owed for the tax, interest, and penalties related to this matter. Accordingly, we do not expect to incur a loss related to this matter even in the event of an unfavorable decision and, therefore, have not accrued an amount for the remaining matters as of March 31, 2022.</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Securities Offering Matter</w:t>
      </w:r>
    </w:p>
    <w:p>
      <w:pPr>
        <w:spacing w:after="0" w:line="11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On November 1, 2019, Erie County Employees’ Retirement System, on behalf of a purported class of plaintiffs, filed a complaint in the Supreme Court of the State of New York, County of New York, against us, certain of our current and former officers and directors, and each of the underwriters involved in our public offering and sale of 14.4 million shares of our common stock pursuant to a preliminary prospectus supplement, dated September 10, 2018, a final prospectus supplement, dated September 13, 2018, and a base prospectus, dated April 19, 2017, relating to our effective shelf registration statement on Form S-3 (File No. 333-216737) (the “Offering”), which complaint was amended on January 24, 2020. The complaint alleges violations of Sections 11, 12(a)(2), and 15 of the Securities Act of 1933 in connection with the Offering. The plaintiffs seek to represent a class of stockholders who purchased shares of our common stock in the Offering. The complaint seeks unspecified monetary damages and other relief. We believe the complaint and allegations to be without merit and intend to vigorously defend ourself against these actions. We are unable at this time to determine whether the outcome of the litigation would have a material impact on our financial position, results of operations, or cash flows.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Legal Matters</w:t>
      </w:r>
    </w:p>
    <w:p>
      <w:pPr>
        <w:spacing w:after="0" w:line="119"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8"/>
          <w:szCs w:val="18"/>
          <w:color w:val="auto"/>
        </w:rPr>
        <w:t>On April 25, 2022, we reached an agreement to settle breach of contract claims brought by a former customer regarding the sale of products by us in 2016. Under the agreement, we will pay $1.8 million to the customer in specified installments through July 2023. Since the $1.8 million settlement was related to claims made against us prior to March 31, 2022, it was recognized during the three months ended March 31, 2022 and is included in the Other operating expense (income), net line in the Condensed Consolidated Statements of Operations and Comprehensive Income (Loss).</w:t>
      </w:r>
    </w:p>
    <w:p>
      <w:pPr>
        <w:spacing w:after="0" w:line="69"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All other legal proceedings are of an ordinary and routine nature and are incidental to our operations. Management believes that such proceedings should not, individually or in the aggregate, have a material adverse effect on our business, financial condition, results of operations, or cash flows. In making that determination, we analyze the facts and circumstances of each case at least quarterly in consultation with our attorneys and determine a range of reasonably possible outcomes.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Preferred Stock and Stockholders' Equity</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Series D Perpetual Preferred Stock</w:t>
      </w:r>
    </w:p>
    <w:p>
      <w:pPr>
        <w:spacing w:after="0" w:line="11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On March 22, 2021, we completed a private placement of 65 thousand shares of newly designated Series D Perpetual Preferred Stock, with a par value of $0.01 per share (the “Series D Preferred Stock”), at a price of $1,000 per share, together with detachable warrants (the “2021 Warrants”) to purchase up to 1.9 million shares of our common stock at an exercise price of $0.01 per share. The Series D Preferred Stock has an initial liquidation preference of $1,000 per share and is redeemable at our option in cash at a redemption price equal to the liquidation preference then in effect. Series D Preferred Stock shares earn cash dividends at a rate of 10.0% per year, payable quarterly in arrears, accruing whether or not earned or declared. If no cash dividend is paid, then the liquidation preference per share effective on the dividend date increases by 12.0% per year. On March 22, 2026, the cash dividend rate and in-kind dividend rate increase by 2.5% per year. Cash dividends are required beginning on September 30, 2027.</w:t>
      </w:r>
    </w:p>
    <w:p>
      <w:pPr>
        <w:spacing w:after="0" w:line="81"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Series D Preferred Stock is classified as mezzanine equity, between liabilities and stockholders’ equity, because certain features of the Series D Preferred Stock could require redemption of the Series D Preferred Stock upon a change of control event that is considered not solely within our control. For initial recognition, the Series D Preferred Stock was recognized at a discounted value, net of issuance costs and allocation to warrants and a bifurcated embedded derivative. The aggregate discount is amortized as a deemed dividend through March 22, 2026, which is the date the dividend rate begins to increase by 2.5% per year. Deemed dividends adjust retained earnings (or in the absence of retained earnings, additional paid-in capital).</w:t>
      </w:r>
    </w:p>
    <w:p>
      <w:pPr>
        <w:spacing w:after="0" w:line="73" w:lineRule="exact"/>
        <w:rPr>
          <w:sz w:val="20"/>
          <w:szCs w:val="20"/>
          <w:color w:val="auto"/>
        </w:rPr>
      </w:pPr>
    </w:p>
    <w:p>
      <w:pPr>
        <w:ind w:right="280"/>
        <w:spacing w:after="0" w:line="284" w:lineRule="auto"/>
        <w:rPr>
          <w:sz w:val="20"/>
          <w:szCs w:val="20"/>
          <w:color w:val="auto"/>
        </w:rPr>
      </w:pPr>
      <w:r>
        <w:rPr>
          <w:rFonts w:ascii="Times New Roman" w:cs="Times New Roman" w:eastAsia="Times New Roman" w:hAnsi="Times New Roman"/>
          <w:sz w:val="18"/>
          <w:szCs w:val="18"/>
          <w:color w:val="auto"/>
        </w:rPr>
        <w:t xml:space="preserve">In accordance with ASC 815-15, </w:t>
      </w:r>
      <w:r>
        <w:rPr>
          <w:rFonts w:ascii="Times New Roman" w:cs="Times New Roman" w:eastAsia="Times New Roman" w:hAnsi="Times New Roman"/>
          <w:sz w:val="18"/>
          <w:szCs w:val="18"/>
          <w:i w:val="1"/>
          <w:iCs w:val="1"/>
          <w:color w:val="auto"/>
        </w:rPr>
        <w:t>Derivatives and Hedging - Embedded Derivatives,</w:t>
      </w:r>
      <w:r>
        <w:rPr>
          <w:rFonts w:ascii="Times New Roman" w:cs="Times New Roman" w:eastAsia="Times New Roman" w:hAnsi="Times New Roman"/>
          <w:sz w:val="18"/>
          <w:szCs w:val="18"/>
          <w:color w:val="auto"/>
        </w:rPr>
        <w:t xml:space="preserve"> certain features of the Series D Preferred Stock were bifurcated and accounted for as derivatives separately. Note 15 discusses the accounting for these features.</w:t>
      </w:r>
    </w:p>
    <w:p>
      <w:pPr>
        <w:spacing w:after="0" w:line="5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As of March 31, 2022, the carrying value of the Series D Preferred Stock shares was $56.3 million, which included $9.7 million of accumulated unpaid and deemed dividends. The following table presents the change in the Series D Preferred Stock carrying value during the three months ended March 31, 2022.</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Beginning balance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1543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Accrual of in-kind 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Amortization</w:t>
      </w:r>
    </w:p>
    <w:p>
      <w:pPr>
        <w:spacing w:after="0" w:line="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Ending balance</w:t>
      </w:r>
    </w:p>
    <w:p>
      <w:pPr>
        <w:spacing w:after="0" w:line="20" w:lineRule="exact"/>
        <w:rPr>
          <w:sz w:val="20"/>
          <w:szCs w:val="20"/>
          <w:color w:val="auto"/>
        </w:rPr>
      </w:pPr>
      <w:r>
        <w:rPr>
          <w:sz w:val="20"/>
          <w:szCs w:val="20"/>
          <w:color w:val="auto"/>
        </w:rPr>
        <w:br w:type="column"/>
      </w:r>
    </w:p>
    <w:p>
      <w:pPr>
        <w:spacing w:after="0" w:line="68" w:lineRule="exact"/>
        <w:rPr>
          <w:sz w:val="20"/>
          <w:szCs w:val="20"/>
          <w:color w:val="auto"/>
        </w:rPr>
      </w:pPr>
    </w:p>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March 31, 2022</w:t>
      </w:r>
    </w:p>
    <w:p>
      <w:pPr>
        <w:spacing w:after="0" w:line="30" w:lineRule="exact"/>
        <w:rPr>
          <w:sz w:val="20"/>
          <w:szCs w:val="20"/>
          <w:color w:val="auto"/>
        </w:rPr>
      </w:pPr>
    </w:p>
    <w:p>
      <w:pPr>
        <w:ind w:left="1285" w:hanging="1285"/>
        <w:spacing w:after="0"/>
        <w:tabs>
          <w:tab w:leader="none" w:pos="1285"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53,807</w:t>
      </w:r>
    </w:p>
    <w:p>
      <w:pPr>
        <w:spacing w:after="0" w:line="38" w:lineRule="exact"/>
        <w:rPr>
          <w:rFonts w:ascii="Times New Roman" w:cs="Times New Roman" w:eastAsia="Times New Roman" w:hAnsi="Times New Roman"/>
          <w:sz w:val="17"/>
          <w:szCs w:val="17"/>
          <w:color w:val="auto"/>
        </w:rPr>
      </w:pPr>
    </w:p>
    <w:p>
      <w:pPr>
        <w:ind w:left="1365"/>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2,142</w:t>
      </w:r>
    </w:p>
    <w:p>
      <w:pPr>
        <w:spacing w:after="0" w:line="34" w:lineRule="exact"/>
        <w:rPr>
          <w:rFonts w:ascii="Times New Roman" w:cs="Times New Roman" w:eastAsia="Times New Roman" w:hAnsi="Times New Roman"/>
          <w:sz w:val="17"/>
          <w:szCs w:val="17"/>
          <w:color w:val="auto"/>
        </w:rPr>
      </w:pPr>
    </w:p>
    <w:p>
      <w:pPr>
        <w:ind w:left="1505"/>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21590</wp:posOffset>
            </wp:positionV>
            <wp:extent cx="118300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183005" cy="8890"/>
                    </a:xfrm>
                    <a:prstGeom prst="rect">
                      <a:avLst/>
                    </a:prstGeom>
                    <a:noFill/>
                  </pic:spPr>
                </pic:pic>
              </a:graphicData>
            </a:graphic>
          </wp:anchor>
        </w:drawing>
      </w:r>
    </w:p>
    <w:p>
      <w:pPr>
        <w:spacing w:after="0" w:line="23" w:lineRule="exact"/>
        <w:rPr>
          <w:sz w:val="20"/>
          <w:szCs w:val="20"/>
          <w:color w:val="auto"/>
        </w:rPr>
      </w:pPr>
    </w:p>
    <w:p>
      <w:pPr>
        <w:ind w:left="1285" w:hanging="1285"/>
        <w:spacing w:after="0"/>
        <w:tabs>
          <w:tab w:leader="none" w:pos="1285"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56,345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24765</wp:posOffset>
            </wp:positionV>
            <wp:extent cx="118300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183005" cy="825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50165</wp:posOffset>
            </wp:positionV>
            <wp:extent cx="118300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183005" cy="8255"/>
                    </a:xfrm>
                    <a:prstGeom prst="rect">
                      <a:avLst/>
                    </a:prstGeom>
                    <a:noFill/>
                  </pic:spPr>
                </pic:pic>
              </a:graphicData>
            </a:graphic>
          </wp:anchor>
        </w:drawing>
      </w:r>
    </w:p>
    <w:p>
      <w:pPr>
        <w:spacing w:after="0" w:line="238" w:lineRule="exact"/>
        <w:rPr>
          <w:sz w:val="20"/>
          <w:szCs w:val="20"/>
          <w:color w:val="auto"/>
        </w:rPr>
      </w:pPr>
    </w:p>
    <w:p>
      <w:pPr>
        <w:sectPr>
          <w:pgSz w:w="11900" w:h="16838" w:orient="portrait"/>
          <w:cols w:equalWidth="0" w:num="2">
            <w:col w:w="8675" w:space="720"/>
            <w:col w:w="1845"/>
          </w:cols>
          <w:pgMar w:left="320" w:top="121" w:right="339" w:bottom="1440" w:gutter="0" w:footer="0" w:header="0"/>
          <w:type w:val="continuous"/>
        </w:sect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Revenue from Contracts with Customers</w:t>
      </w:r>
    </w:p>
    <w:p>
      <w:pPr>
        <w:spacing w:after="0" w:line="121" w:lineRule="exact"/>
        <w:rPr>
          <w:sz w:val="20"/>
          <w:szCs w:val="20"/>
          <w:color w:val="auto"/>
        </w:rPr>
      </w:pPr>
    </w:p>
    <w:p>
      <w:pPr>
        <w:ind w:right="200"/>
        <w:spacing w:after="0" w:line="263" w:lineRule="auto"/>
        <w:rPr>
          <w:sz w:val="20"/>
          <w:szCs w:val="20"/>
          <w:color w:val="auto"/>
        </w:rPr>
      </w:pPr>
      <w:r>
        <w:rPr>
          <w:rFonts w:ascii="Times New Roman" w:cs="Times New Roman" w:eastAsia="Times New Roman" w:hAnsi="Times New Roman"/>
          <w:sz w:val="18"/>
          <w:szCs w:val="18"/>
          <w:color w:val="auto"/>
        </w:rPr>
        <w:t>Revenue is recognized when control of the good or service is transferred to the customer either at a point in time or, in limited circumstances, as our services are rendered over time. Revenue is measured as the amount of consideration we expect to receive in exchange for transferring goods or services. The following tables summarize revenue by customer geographical region.</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Three Months Ended March 31, 2022</w:t>
            </w: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3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5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Mobile</w:t>
            </w:r>
          </w:p>
        </w:tc>
        <w:tc>
          <w:tcPr>
            <w:tcW w:w="220" w:type="dxa"/>
            <w:vAlign w:val="bottom"/>
          </w:tcPr>
          <w:p>
            <w:pPr>
              <w:spacing w:after="0"/>
              <w:rPr>
                <w:sz w:val="11"/>
                <w:szCs w:val="11"/>
                <w:color w:val="auto"/>
              </w:rPr>
            </w:pPr>
          </w:p>
        </w:tc>
        <w:tc>
          <w:tcPr>
            <w:tcW w:w="128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Power</w:t>
            </w:r>
          </w:p>
        </w:tc>
        <w:tc>
          <w:tcPr>
            <w:tcW w:w="200" w:type="dxa"/>
            <w:vAlign w:val="bottom"/>
          </w:tcPr>
          <w:p>
            <w:pPr>
              <w:spacing w:after="0"/>
              <w:rPr>
                <w:sz w:val="11"/>
                <w:szCs w:val="11"/>
                <w:color w:val="auto"/>
              </w:rPr>
            </w:pPr>
          </w:p>
        </w:tc>
        <w:tc>
          <w:tcPr>
            <w:tcW w:w="1320" w:type="dxa"/>
            <w:vAlign w:val="bottom"/>
            <w:gridSpan w:val="2"/>
          </w:tcPr>
          <w:p>
            <w:pPr>
              <w:jc w:val="center"/>
              <w:ind w:right="300"/>
              <w:spacing w:after="0" w:line="129" w:lineRule="exact"/>
              <w:rPr>
                <w:sz w:val="20"/>
                <w:szCs w:val="20"/>
                <w:color w:val="auto"/>
              </w:rPr>
            </w:pPr>
            <w:r>
              <w:rPr>
                <w:rFonts w:ascii="Times New Roman" w:cs="Times New Roman" w:eastAsia="Times New Roman" w:hAnsi="Times New Roman"/>
                <w:sz w:val="14"/>
                <w:szCs w:val="14"/>
                <w:b w:val="1"/>
                <w:bCs w:val="1"/>
                <w:color w:val="auto"/>
              </w:rPr>
              <w:t>Intersegment</w:t>
            </w:r>
          </w:p>
        </w:tc>
        <w:tc>
          <w:tcPr>
            <w:tcW w:w="3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w w:val="98"/>
              </w:rPr>
              <w:t>Sales</w:t>
            </w:r>
          </w:p>
        </w:tc>
        <w:tc>
          <w:tcPr>
            <w:tcW w:w="320" w:type="dxa"/>
            <w:vAlign w:val="bottom"/>
          </w:tcPr>
          <w:p>
            <w:pPr>
              <w:spacing w:after="0"/>
              <w:rPr>
                <w:sz w:val="12"/>
                <w:szCs w:val="12"/>
                <w:color w:val="auto"/>
              </w:rPr>
            </w:pPr>
          </w:p>
        </w:tc>
        <w:tc>
          <w:tcPr>
            <w:tcW w:w="1080" w:type="dxa"/>
            <w:vAlign w:val="bottom"/>
            <w:vMerge w:val="restart"/>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5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220" w:type="dxa"/>
            <w:vAlign w:val="bottom"/>
          </w:tcPr>
          <w:p>
            <w:pPr>
              <w:spacing w:after="0"/>
              <w:rPr>
                <w:sz w:val="17"/>
                <w:szCs w:val="17"/>
                <w:color w:val="auto"/>
              </w:rPr>
            </w:pPr>
          </w:p>
        </w:tc>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200" w:type="dxa"/>
            <w:vAlign w:val="bottom"/>
          </w:tcPr>
          <w:p>
            <w:pPr>
              <w:spacing w:after="0"/>
              <w:rPr>
                <w:sz w:val="17"/>
                <w:szCs w:val="17"/>
                <w:color w:val="auto"/>
              </w:rPr>
            </w:pP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320" w:type="dxa"/>
            <w:vAlign w:val="bottom"/>
          </w:tcPr>
          <w:p>
            <w:pPr>
              <w:spacing w:after="0"/>
              <w:rPr>
                <w:sz w:val="17"/>
                <w:szCs w:val="17"/>
                <w:color w:val="auto"/>
              </w:rPr>
            </w:pPr>
          </w:p>
        </w:tc>
        <w:tc>
          <w:tcPr>
            <w:tcW w:w="10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 and Puerto Rico</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37,810</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40,486</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jc w:val="center"/>
              <w:ind w:left="775"/>
              <w:spacing w:after="0"/>
              <w:rPr>
                <w:sz w:val="20"/>
                <w:szCs w:val="20"/>
                <w:color w:val="auto"/>
              </w:rPr>
            </w:pPr>
            <w:r>
              <w:rPr>
                <w:rFonts w:ascii="Times New Roman" w:cs="Times New Roman" w:eastAsia="Times New Roman" w:hAnsi="Times New Roman"/>
                <w:sz w:val="18"/>
                <w:szCs w:val="18"/>
                <w:color w:val="auto"/>
                <w:w w:val="99"/>
              </w:rPr>
              <w:t>(14)</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78,282</w:t>
            </w:r>
          </w:p>
        </w:tc>
        <w:tc>
          <w:tcPr>
            <w:tcW w:w="0" w:type="dxa"/>
            <w:vAlign w:val="bottom"/>
          </w:tcPr>
          <w:p>
            <w:pPr>
              <w:spacing w:after="0"/>
              <w:rPr>
                <w:sz w:val="1"/>
                <w:szCs w:val="1"/>
                <w:color w:val="auto"/>
              </w:rPr>
            </w:pPr>
          </w:p>
        </w:tc>
      </w:tr>
      <w:tr>
        <w:trPr>
          <w:trHeight w:val="230"/>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12,552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jc w:val="center"/>
              <w:ind w:left="695"/>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13,796</w:t>
            </w:r>
          </w:p>
        </w:tc>
        <w:tc>
          <w:tcPr>
            <w:tcW w:w="0" w:type="dxa"/>
            <w:vAlign w:val="bottom"/>
          </w:tcPr>
          <w:p>
            <w:pPr>
              <w:spacing w:after="0"/>
              <w:rPr>
                <w:sz w:val="1"/>
                <w:szCs w:val="1"/>
                <w:color w:val="auto"/>
              </w:rPr>
            </w:pPr>
          </w:p>
        </w:tc>
      </w:tr>
      <w:tr>
        <w:trPr>
          <w:trHeight w:val="229"/>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Brazil</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10,720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center"/>
              <w:ind w:left="695"/>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11,065</w:t>
            </w:r>
          </w:p>
        </w:tc>
        <w:tc>
          <w:tcPr>
            <w:tcW w:w="0" w:type="dxa"/>
            <w:vAlign w:val="bottom"/>
          </w:tcPr>
          <w:p>
            <w:pPr>
              <w:spacing w:after="0"/>
              <w:rPr>
                <w:sz w:val="1"/>
                <w:szCs w:val="1"/>
                <w:color w:val="auto"/>
              </w:rPr>
            </w:pPr>
          </w:p>
        </w:tc>
      </w:tr>
      <w:tr>
        <w:trPr>
          <w:trHeight w:val="230"/>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Mexico</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jc w:val="center"/>
              <w:ind w:left="695"/>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9,805</w:t>
            </w:r>
          </w:p>
        </w:tc>
        <w:tc>
          <w:tcPr>
            <w:tcW w:w="0" w:type="dxa"/>
            <w:vAlign w:val="bottom"/>
          </w:tcPr>
          <w:p>
            <w:pPr>
              <w:spacing w:after="0"/>
              <w:rPr>
                <w:sz w:val="1"/>
                <w:szCs w:val="1"/>
                <w:color w:val="auto"/>
              </w:rPr>
            </w:pPr>
          </w:p>
        </w:tc>
      </w:tr>
      <w:tr>
        <w:trPr>
          <w:trHeight w:val="230"/>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Germany</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center"/>
              <w:ind w:left="695"/>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1,345</w:t>
            </w:r>
          </w:p>
        </w:tc>
        <w:tc>
          <w:tcPr>
            <w:tcW w:w="0" w:type="dxa"/>
            <w:vAlign w:val="bottom"/>
          </w:tcPr>
          <w:p>
            <w:pPr>
              <w:spacing w:after="0"/>
              <w:rPr>
                <w:sz w:val="1"/>
                <w:szCs w:val="1"/>
                <w:color w:val="auto"/>
              </w:rPr>
            </w:pPr>
          </w:p>
        </w:tc>
      </w:tr>
      <w:tr>
        <w:trPr>
          <w:trHeight w:val="230"/>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Poland</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jc w:val="center"/>
              <w:ind w:left="695"/>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1,344</w:t>
            </w:r>
          </w:p>
        </w:tc>
        <w:tc>
          <w:tcPr>
            <w:tcW w:w="0" w:type="dxa"/>
            <w:vAlign w:val="bottom"/>
          </w:tcPr>
          <w:p>
            <w:pPr>
              <w:spacing w:after="0"/>
              <w:rPr>
                <w:sz w:val="1"/>
                <w:szCs w:val="1"/>
                <w:color w:val="auto"/>
              </w:rPr>
            </w:pPr>
          </w:p>
        </w:tc>
      </w:tr>
      <w:tr>
        <w:trPr>
          <w:trHeight w:val="229"/>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center"/>
              <w:ind w:left="695"/>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12,430</w:t>
            </w:r>
          </w:p>
        </w:tc>
        <w:tc>
          <w:tcPr>
            <w:tcW w:w="0" w:type="dxa"/>
            <w:vAlign w:val="bottom"/>
          </w:tcPr>
          <w:p>
            <w:pPr>
              <w:spacing w:after="0"/>
              <w:rPr>
                <w:sz w:val="1"/>
                <w:szCs w:val="1"/>
                <w:color w:val="auto"/>
              </w:rPr>
            </w:pPr>
          </w:p>
        </w:tc>
      </w:tr>
      <w:tr>
        <w:trPr>
          <w:trHeight w:val="223"/>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net sales</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76,070</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52,011</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center"/>
              <w:ind w:left="775"/>
              <w:spacing w:after="0"/>
              <w:rPr>
                <w:sz w:val="20"/>
                <w:szCs w:val="20"/>
                <w:color w:val="auto"/>
              </w:rPr>
            </w:pPr>
            <w:r>
              <w:rPr>
                <w:rFonts w:ascii="Times New Roman" w:cs="Times New Roman" w:eastAsia="Times New Roman" w:hAnsi="Times New Roman"/>
                <w:sz w:val="18"/>
                <w:szCs w:val="18"/>
                <w:color w:val="auto"/>
                <w:w w:val="99"/>
              </w:rPr>
              <w:t>(14)</w:t>
            </w:r>
          </w:p>
        </w:tc>
        <w:tc>
          <w:tcPr>
            <w:tcW w:w="1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128,067</w:t>
            </w: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44"/>
        </w:trPr>
        <w:tc>
          <w:tcPr>
            <w:tcW w:w="5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jc w:val="right"/>
              <w:ind w:right="913"/>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3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Three Months Ended March 31, 2021</w:t>
            </w: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3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5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Mobile</w:t>
            </w:r>
          </w:p>
        </w:tc>
        <w:tc>
          <w:tcPr>
            <w:tcW w:w="220" w:type="dxa"/>
            <w:vAlign w:val="bottom"/>
          </w:tcPr>
          <w:p>
            <w:pPr>
              <w:spacing w:after="0"/>
              <w:rPr>
                <w:sz w:val="11"/>
                <w:szCs w:val="11"/>
                <w:color w:val="auto"/>
              </w:rPr>
            </w:pPr>
          </w:p>
        </w:tc>
        <w:tc>
          <w:tcPr>
            <w:tcW w:w="128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Power</w:t>
            </w:r>
          </w:p>
        </w:tc>
        <w:tc>
          <w:tcPr>
            <w:tcW w:w="200" w:type="dxa"/>
            <w:vAlign w:val="bottom"/>
          </w:tcPr>
          <w:p>
            <w:pPr>
              <w:spacing w:after="0"/>
              <w:rPr>
                <w:sz w:val="11"/>
                <w:szCs w:val="11"/>
                <w:color w:val="auto"/>
              </w:rPr>
            </w:pPr>
          </w:p>
        </w:tc>
        <w:tc>
          <w:tcPr>
            <w:tcW w:w="1320" w:type="dxa"/>
            <w:vAlign w:val="bottom"/>
            <w:gridSpan w:val="2"/>
          </w:tcPr>
          <w:p>
            <w:pPr>
              <w:jc w:val="center"/>
              <w:ind w:right="300"/>
              <w:spacing w:after="0" w:line="131" w:lineRule="exact"/>
              <w:rPr>
                <w:sz w:val="20"/>
                <w:szCs w:val="20"/>
                <w:color w:val="auto"/>
              </w:rPr>
            </w:pPr>
            <w:r>
              <w:rPr>
                <w:rFonts w:ascii="Times New Roman" w:cs="Times New Roman" w:eastAsia="Times New Roman" w:hAnsi="Times New Roman"/>
                <w:sz w:val="14"/>
                <w:szCs w:val="14"/>
                <w:b w:val="1"/>
                <w:bCs w:val="1"/>
                <w:color w:val="auto"/>
              </w:rPr>
              <w:t>Intersegment</w:t>
            </w:r>
          </w:p>
        </w:tc>
        <w:tc>
          <w:tcPr>
            <w:tcW w:w="3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w w:val="98"/>
              </w:rPr>
              <w:t>Sales</w:t>
            </w:r>
          </w:p>
        </w:tc>
        <w:tc>
          <w:tcPr>
            <w:tcW w:w="320" w:type="dxa"/>
            <w:vAlign w:val="bottom"/>
          </w:tcPr>
          <w:p>
            <w:pPr>
              <w:spacing w:after="0"/>
              <w:rPr>
                <w:sz w:val="12"/>
                <w:szCs w:val="12"/>
                <w:color w:val="auto"/>
              </w:rPr>
            </w:pPr>
          </w:p>
        </w:tc>
        <w:tc>
          <w:tcPr>
            <w:tcW w:w="1080" w:type="dxa"/>
            <w:vAlign w:val="bottom"/>
            <w:vMerge w:val="restart"/>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5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220" w:type="dxa"/>
            <w:vAlign w:val="bottom"/>
          </w:tcPr>
          <w:p>
            <w:pPr>
              <w:spacing w:after="0"/>
              <w:rPr>
                <w:sz w:val="16"/>
                <w:szCs w:val="16"/>
                <w:color w:val="auto"/>
              </w:rPr>
            </w:pPr>
          </w:p>
        </w:tc>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200" w:type="dxa"/>
            <w:vAlign w:val="bottom"/>
          </w:tcPr>
          <w:p>
            <w:pPr>
              <w:spacing w:after="0"/>
              <w:rPr>
                <w:sz w:val="16"/>
                <w:szCs w:val="16"/>
                <w:color w:val="auto"/>
              </w:rPr>
            </w:pP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32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5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 and Puerto Rico</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37,438</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39,806</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jc w:val="center"/>
              <w:ind w:left="775"/>
              <w:spacing w:after="0"/>
              <w:rPr>
                <w:sz w:val="20"/>
                <w:szCs w:val="20"/>
                <w:color w:val="auto"/>
              </w:rPr>
            </w:pPr>
            <w:r>
              <w:rPr>
                <w:rFonts w:ascii="Times New Roman" w:cs="Times New Roman" w:eastAsia="Times New Roman" w:hAnsi="Times New Roman"/>
                <w:sz w:val="18"/>
                <w:szCs w:val="18"/>
                <w:color w:val="auto"/>
                <w:w w:val="99"/>
              </w:rPr>
              <w:t>(47)</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77,197</w:t>
            </w:r>
          </w:p>
        </w:tc>
        <w:tc>
          <w:tcPr>
            <w:tcW w:w="0" w:type="dxa"/>
            <w:vAlign w:val="bottom"/>
          </w:tcPr>
          <w:p>
            <w:pPr>
              <w:spacing w:after="0"/>
              <w:rPr>
                <w:sz w:val="1"/>
                <w:szCs w:val="1"/>
                <w:color w:val="auto"/>
              </w:rPr>
            </w:pPr>
          </w:p>
        </w:tc>
      </w:tr>
      <w:tr>
        <w:trPr>
          <w:trHeight w:val="229"/>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14,414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jc w:val="center"/>
              <w:ind w:left="695"/>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15,920</w:t>
            </w:r>
          </w:p>
        </w:tc>
        <w:tc>
          <w:tcPr>
            <w:tcW w:w="0" w:type="dxa"/>
            <w:vAlign w:val="bottom"/>
          </w:tcPr>
          <w:p>
            <w:pPr>
              <w:spacing w:after="0"/>
              <w:rPr>
                <w:sz w:val="1"/>
                <w:szCs w:val="1"/>
                <w:color w:val="auto"/>
              </w:rPr>
            </w:pPr>
          </w:p>
        </w:tc>
      </w:tr>
      <w:tr>
        <w:trPr>
          <w:trHeight w:val="230"/>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Brazil</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center"/>
              <w:ind w:left="695"/>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9,860</w:t>
            </w:r>
          </w:p>
        </w:tc>
        <w:tc>
          <w:tcPr>
            <w:tcW w:w="0" w:type="dxa"/>
            <w:vAlign w:val="bottom"/>
          </w:tcPr>
          <w:p>
            <w:pPr>
              <w:spacing w:after="0"/>
              <w:rPr>
                <w:sz w:val="1"/>
                <w:szCs w:val="1"/>
                <w:color w:val="auto"/>
              </w:rPr>
            </w:pPr>
          </w:p>
        </w:tc>
      </w:tr>
      <w:tr>
        <w:trPr>
          <w:trHeight w:val="229"/>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Mexico</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jc w:val="center"/>
              <w:ind w:left="695"/>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8,412</w:t>
            </w:r>
          </w:p>
        </w:tc>
        <w:tc>
          <w:tcPr>
            <w:tcW w:w="0" w:type="dxa"/>
            <w:vAlign w:val="bottom"/>
          </w:tcPr>
          <w:p>
            <w:pPr>
              <w:spacing w:after="0"/>
              <w:rPr>
                <w:sz w:val="1"/>
                <w:szCs w:val="1"/>
                <w:color w:val="auto"/>
              </w:rPr>
            </w:pPr>
          </w:p>
        </w:tc>
      </w:tr>
      <w:tr>
        <w:trPr>
          <w:trHeight w:val="230"/>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Germany</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center"/>
              <w:ind w:left="695"/>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1,931</w:t>
            </w:r>
          </w:p>
        </w:tc>
        <w:tc>
          <w:tcPr>
            <w:tcW w:w="0" w:type="dxa"/>
            <w:vAlign w:val="bottom"/>
          </w:tcPr>
          <w:p>
            <w:pPr>
              <w:spacing w:after="0"/>
              <w:rPr>
                <w:sz w:val="1"/>
                <w:szCs w:val="1"/>
                <w:color w:val="auto"/>
              </w:rPr>
            </w:pPr>
          </w:p>
        </w:tc>
      </w:tr>
      <w:tr>
        <w:trPr>
          <w:trHeight w:val="229"/>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Poland</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jc w:val="center"/>
              <w:ind w:left="695"/>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1,184</w:t>
            </w:r>
          </w:p>
        </w:tc>
        <w:tc>
          <w:tcPr>
            <w:tcW w:w="0" w:type="dxa"/>
            <w:vAlign w:val="bottom"/>
          </w:tcPr>
          <w:p>
            <w:pPr>
              <w:spacing w:after="0"/>
              <w:rPr>
                <w:sz w:val="1"/>
                <w:szCs w:val="1"/>
                <w:color w:val="auto"/>
              </w:rPr>
            </w:pPr>
          </w:p>
        </w:tc>
      </w:tr>
      <w:tr>
        <w:trPr>
          <w:trHeight w:val="229"/>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center"/>
              <w:ind w:left="695"/>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12,300</w:t>
            </w:r>
          </w:p>
        </w:tc>
        <w:tc>
          <w:tcPr>
            <w:tcW w:w="0" w:type="dxa"/>
            <w:vAlign w:val="bottom"/>
          </w:tcPr>
          <w:p>
            <w:pPr>
              <w:spacing w:after="0"/>
              <w:rPr>
                <w:sz w:val="1"/>
                <w:szCs w:val="1"/>
                <w:color w:val="auto"/>
              </w:rPr>
            </w:pPr>
          </w:p>
        </w:tc>
      </w:tr>
      <w:tr>
        <w:trPr>
          <w:trHeight w:val="223"/>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net sales</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77,776</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49,075</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center"/>
              <w:ind w:left="775"/>
              <w:spacing w:after="0"/>
              <w:rPr>
                <w:sz w:val="20"/>
                <w:szCs w:val="20"/>
                <w:color w:val="auto"/>
              </w:rPr>
            </w:pPr>
            <w:r>
              <w:rPr>
                <w:rFonts w:ascii="Times New Roman" w:cs="Times New Roman" w:eastAsia="Times New Roman" w:hAnsi="Times New Roman"/>
                <w:sz w:val="18"/>
                <w:szCs w:val="18"/>
                <w:color w:val="auto"/>
                <w:w w:val="99"/>
              </w:rPr>
              <w:t>(47)</w:t>
            </w:r>
          </w:p>
        </w:tc>
        <w:tc>
          <w:tcPr>
            <w:tcW w:w="1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126,804</w:t>
            </w: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 following tables summarize revenue by customer industry. Our products in the automotive industry include high-precision components and assemblies for electric power steering systems, electric braking, electric motors, fuel systems, emissions control, transmissions, moldings, stampings, sensors, and electrical contacts. Our products in the general industrial industry include high-precision metal and plastic components for a variety of industrial applications including diesel industrial motors, heating and cooling systems, fluid power systems, power tools, and more. While many of the industries we serve include electrical components, our products in the residential/commercial electrical industry category in the following tables include components used in smart meters, charging stations, circuit breakers, transformers, electrical contact assemblies, precision stampings, welded contact assemblies, and specification plating and surface finishing.</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Three Months Ended March 31, 2022</w:t>
            </w: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3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53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Mobile</w:t>
            </w:r>
          </w:p>
        </w:tc>
        <w:tc>
          <w:tcPr>
            <w:tcW w:w="200" w:type="dxa"/>
            <w:vAlign w:val="bottom"/>
          </w:tcPr>
          <w:p>
            <w:pPr>
              <w:spacing w:after="0"/>
              <w:rPr>
                <w:sz w:val="11"/>
                <w:szCs w:val="11"/>
                <w:color w:val="auto"/>
              </w:rPr>
            </w:pPr>
          </w:p>
        </w:tc>
        <w:tc>
          <w:tcPr>
            <w:tcW w:w="130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Power</w:t>
            </w:r>
          </w:p>
        </w:tc>
        <w:tc>
          <w:tcPr>
            <w:tcW w:w="200" w:type="dxa"/>
            <w:vAlign w:val="bottom"/>
          </w:tcPr>
          <w:p>
            <w:pPr>
              <w:spacing w:after="0"/>
              <w:rPr>
                <w:sz w:val="11"/>
                <w:szCs w:val="11"/>
                <w:color w:val="auto"/>
              </w:rPr>
            </w:pPr>
          </w:p>
        </w:tc>
        <w:tc>
          <w:tcPr>
            <w:tcW w:w="1300" w:type="dxa"/>
            <w:vAlign w:val="bottom"/>
            <w:gridSpan w:val="2"/>
          </w:tcPr>
          <w:p>
            <w:pPr>
              <w:jc w:val="center"/>
              <w:ind w:right="300"/>
              <w:spacing w:after="0" w:line="131" w:lineRule="exact"/>
              <w:rPr>
                <w:sz w:val="20"/>
                <w:szCs w:val="20"/>
                <w:color w:val="auto"/>
              </w:rPr>
            </w:pPr>
            <w:r>
              <w:rPr>
                <w:rFonts w:ascii="Times New Roman" w:cs="Times New Roman" w:eastAsia="Times New Roman" w:hAnsi="Times New Roman"/>
                <w:sz w:val="14"/>
                <w:szCs w:val="14"/>
                <w:b w:val="1"/>
                <w:bCs w:val="1"/>
                <w:color w:val="auto"/>
              </w:rPr>
              <w:t>Intersegment</w:t>
            </w:r>
          </w:p>
        </w:tc>
        <w:tc>
          <w:tcPr>
            <w:tcW w:w="3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5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gridSpan w:val="2"/>
          </w:tcPr>
          <w:p>
            <w:pPr>
              <w:jc w:val="center"/>
              <w:ind w:right="300"/>
              <w:spacing w:after="0" w:line="146" w:lineRule="exact"/>
              <w:rPr>
                <w:sz w:val="20"/>
                <w:szCs w:val="20"/>
                <w:color w:val="auto"/>
              </w:rPr>
            </w:pPr>
            <w:r>
              <w:rPr>
                <w:rFonts w:ascii="Times New Roman" w:cs="Times New Roman" w:eastAsia="Times New Roman" w:hAnsi="Times New Roman"/>
                <w:sz w:val="14"/>
                <w:szCs w:val="14"/>
                <w:b w:val="1"/>
                <w:bCs w:val="1"/>
                <w:color w:val="auto"/>
              </w:rPr>
              <w:t>Sales</w:t>
            </w:r>
          </w:p>
        </w:tc>
        <w:tc>
          <w:tcPr>
            <w:tcW w:w="340" w:type="dxa"/>
            <w:vAlign w:val="bottom"/>
          </w:tcPr>
          <w:p>
            <w:pPr>
              <w:spacing w:after="0"/>
              <w:rPr>
                <w:sz w:val="12"/>
                <w:szCs w:val="12"/>
                <w:color w:val="auto"/>
              </w:rPr>
            </w:pPr>
          </w:p>
        </w:tc>
        <w:tc>
          <w:tcPr>
            <w:tcW w:w="1060" w:type="dxa"/>
            <w:vAlign w:val="bottom"/>
            <w:vMerge w:val="restart"/>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8"/>
        </w:trPr>
        <w:tc>
          <w:tcPr>
            <w:tcW w:w="5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200" w:type="dxa"/>
            <w:vAlign w:val="bottom"/>
          </w:tcPr>
          <w:p>
            <w:pPr>
              <w:spacing w:after="0"/>
              <w:rPr>
                <w:sz w:val="17"/>
                <w:szCs w:val="17"/>
                <w:color w:val="auto"/>
              </w:rPr>
            </w:pPr>
          </w:p>
        </w:tc>
        <w:tc>
          <w:tcPr>
            <w:tcW w:w="13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200" w:type="dxa"/>
            <w:vAlign w:val="bottom"/>
          </w:tcPr>
          <w:p>
            <w:pPr>
              <w:spacing w:after="0"/>
              <w:rPr>
                <w:sz w:val="17"/>
                <w:szCs w:val="17"/>
                <w:color w:val="auto"/>
              </w:rPr>
            </w:pPr>
          </w:p>
        </w:tc>
        <w:tc>
          <w:tcPr>
            <w:tcW w:w="13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340" w:type="dxa"/>
            <w:vAlign w:val="bottom"/>
          </w:tcPr>
          <w:p>
            <w:pPr>
              <w:spacing w:after="0"/>
              <w:rPr>
                <w:sz w:val="17"/>
                <w:szCs w:val="17"/>
                <w:color w:val="auto"/>
              </w:rPr>
            </w:pPr>
          </w:p>
        </w:tc>
        <w:tc>
          <w:tcPr>
            <w:tcW w:w="1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5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Automotive</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50,596</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10,078</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center"/>
              <w:ind w:left="777"/>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60,674</w:t>
            </w:r>
          </w:p>
        </w:tc>
        <w:tc>
          <w:tcPr>
            <w:tcW w:w="0" w:type="dxa"/>
            <w:vAlign w:val="bottom"/>
          </w:tcPr>
          <w:p>
            <w:pPr>
              <w:spacing w:after="0"/>
              <w:rPr>
                <w:sz w:val="1"/>
                <w:szCs w:val="1"/>
                <w:color w:val="auto"/>
              </w:rPr>
            </w:pPr>
          </w:p>
        </w:tc>
      </w:tr>
      <w:tr>
        <w:trPr>
          <w:trHeight w:val="230"/>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Industrial</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21,805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16,335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gridSpan w:val="2"/>
          </w:tcPr>
          <w:p>
            <w:pPr>
              <w:jc w:val="center"/>
              <w:ind w:left="677"/>
              <w:spacing w:after="0"/>
              <w:rPr>
                <w:sz w:val="20"/>
                <w:szCs w:val="20"/>
                <w:color w:val="auto"/>
              </w:rPr>
            </w:pPr>
            <w:r>
              <w:rPr>
                <w:rFonts w:ascii="Times New Roman" w:cs="Times New Roman" w:eastAsia="Times New Roman" w:hAnsi="Times New Roman"/>
                <w:sz w:val="18"/>
                <w:szCs w:val="18"/>
                <w:color w:val="auto"/>
                <w:w w:val="99"/>
              </w:rPr>
              <w:t>—</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38,140</w:t>
            </w:r>
          </w:p>
        </w:tc>
        <w:tc>
          <w:tcPr>
            <w:tcW w:w="0" w:type="dxa"/>
            <w:vAlign w:val="bottom"/>
          </w:tcPr>
          <w:p>
            <w:pPr>
              <w:spacing w:after="0"/>
              <w:rPr>
                <w:sz w:val="1"/>
                <w:szCs w:val="1"/>
                <w:color w:val="auto"/>
              </w:rPr>
            </w:pPr>
          </w:p>
        </w:tc>
      </w:tr>
      <w:tr>
        <w:trPr>
          <w:trHeight w:val="230"/>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Residential/Commercial Electrical</w:t>
            </w:r>
          </w:p>
        </w:tc>
        <w:tc>
          <w:tcPr>
            <w:tcW w:w="2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17,199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center"/>
              <w:ind w:left="677"/>
              <w:spacing w:after="0"/>
              <w:rPr>
                <w:sz w:val="20"/>
                <w:szCs w:val="20"/>
                <w:color w:val="auto"/>
              </w:rPr>
            </w:pPr>
            <w:r>
              <w:rPr>
                <w:rFonts w:ascii="Times New Roman" w:cs="Times New Roman" w:eastAsia="Times New Roman" w:hAnsi="Times New Roman"/>
                <w:sz w:val="18"/>
                <w:szCs w:val="18"/>
                <w:color w:val="auto"/>
                <w:w w:val="99"/>
              </w:rPr>
              <w:t>—</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17,199</w:t>
            </w:r>
          </w:p>
        </w:tc>
        <w:tc>
          <w:tcPr>
            <w:tcW w:w="0" w:type="dxa"/>
            <w:vAlign w:val="bottom"/>
          </w:tcPr>
          <w:p>
            <w:pPr>
              <w:spacing w:after="0"/>
              <w:rPr>
                <w:sz w:val="1"/>
                <w:szCs w:val="1"/>
                <w:color w:val="auto"/>
              </w:rPr>
            </w:pPr>
          </w:p>
        </w:tc>
      </w:tr>
      <w:tr>
        <w:trPr>
          <w:trHeight w:val="229"/>
        </w:trPr>
        <w:tc>
          <w:tcPr>
            <w:tcW w:w="5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8,399</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center"/>
              <w:ind w:left="777"/>
              <w:spacing w:after="0"/>
              <w:rPr>
                <w:sz w:val="20"/>
                <w:szCs w:val="20"/>
                <w:color w:val="auto"/>
              </w:rPr>
            </w:pPr>
            <w:r>
              <w:rPr>
                <w:rFonts w:ascii="Times New Roman" w:cs="Times New Roman" w:eastAsia="Times New Roman" w:hAnsi="Times New Roman"/>
                <w:sz w:val="18"/>
                <w:szCs w:val="18"/>
                <w:color w:val="auto"/>
                <w:w w:val="99"/>
              </w:rPr>
              <w:t>(14)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12,054</w:t>
            </w:r>
          </w:p>
        </w:tc>
        <w:tc>
          <w:tcPr>
            <w:tcW w:w="0" w:type="dxa"/>
            <w:vAlign w:val="bottom"/>
          </w:tcPr>
          <w:p>
            <w:pPr>
              <w:spacing w:after="0"/>
              <w:rPr>
                <w:sz w:val="1"/>
                <w:szCs w:val="1"/>
                <w:color w:val="auto"/>
              </w:rPr>
            </w:pPr>
          </w:p>
        </w:tc>
      </w:tr>
      <w:tr>
        <w:trPr>
          <w:trHeight w:val="248"/>
        </w:trPr>
        <w:tc>
          <w:tcPr>
            <w:tcW w:w="5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sales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76,070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52,011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center"/>
              <w:ind w:left="777"/>
              <w:spacing w:after="0"/>
              <w:rPr>
                <w:sz w:val="20"/>
                <w:szCs w:val="20"/>
                <w:color w:val="auto"/>
              </w:rPr>
            </w:pPr>
            <w:r>
              <w:rPr>
                <w:rFonts w:ascii="Times New Roman" w:cs="Times New Roman" w:eastAsia="Times New Roman" w:hAnsi="Times New Roman"/>
                <w:sz w:val="18"/>
                <w:szCs w:val="18"/>
                <w:color w:val="auto"/>
                <w:w w:val="99"/>
              </w:rPr>
              <w:t>(14)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128,067</w:t>
            </w:r>
          </w:p>
        </w:tc>
        <w:tc>
          <w:tcPr>
            <w:tcW w:w="0" w:type="dxa"/>
            <w:vAlign w:val="bottom"/>
          </w:tcPr>
          <w:p>
            <w:pPr>
              <w:spacing w:after="0"/>
              <w:rPr>
                <w:sz w:val="1"/>
                <w:szCs w:val="1"/>
                <w:color w:val="auto"/>
              </w:rPr>
            </w:pPr>
          </w:p>
        </w:tc>
      </w:tr>
      <w:tr>
        <w:trPr>
          <w:trHeight w:val="20"/>
        </w:trPr>
        <w:tc>
          <w:tcPr>
            <w:tcW w:w="53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5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Three Months Ended March 31, 2021</w:t>
            </w: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53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53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Mobile</w:t>
            </w:r>
          </w:p>
        </w:tc>
        <w:tc>
          <w:tcPr>
            <w:tcW w:w="200" w:type="dxa"/>
            <w:vAlign w:val="bottom"/>
          </w:tcPr>
          <w:p>
            <w:pPr>
              <w:spacing w:after="0"/>
              <w:rPr>
                <w:sz w:val="11"/>
                <w:szCs w:val="11"/>
                <w:color w:val="auto"/>
              </w:rPr>
            </w:pPr>
          </w:p>
        </w:tc>
        <w:tc>
          <w:tcPr>
            <w:tcW w:w="130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Power</w:t>
            </w:r>
          </w:p>
        </w:tc>
        <w:tc>
          <w:tcPr>
            <w:tcW w:w="200" w:type="dxa"/>
            <w:vAlign w:val="bottom"/>
          </w:tcPr>
          <w:p>
            <w:pPr>
              <w:spacing w:after="0"/>
              <w:rPr>
                <w:sz w:val="11"/>
                <w:szCs w:val="11"/>
                <w:color w:val="auto"/>
              </w:rPr>
            </w:pPr>
          </w:p>
        </w:tc>
        <w:tc>
          <w:tcPr>
            <w:tcW w:w="1300" w:type="dxa"/>
            <w:vAlign w:val="bottom"/>
            <w:gridSpan w:val="2"/>
          </w:tcPr>
          <w:p>
            <w:pPr>
              <w:jc w:val="center"/>
              <w:ind w:right="300"/>
              <w:spacing w:after="0" w:line="131" w:lineRule="exact"/>
              <w:rPr>
                <w:sz w:val="20"/>
                <w:szCs w:val="20"/>
                <w:color w:val="auto"/>
              </w:rPr>
            </w:pPr>
            <w:r>
              <w:rPr>
                <w:rFonts w:ascii="Times New Roman" w:cs="Times New Roman" w:eastAsia="Times New Roman" w:hAnsi="Times New Roman"/>
                <w:sz w:val="14"/>
                <w:szCs w:val="14"/>
                <w:b w:val="1"/>
                <w:bCs w:val="1"/>
                <w:color w:val="auto"/>
              </w:rPr>
              <w:t>Intersegment</w:t>
            </w:r>
          </w:p>
        </w:tc>
        <w:tc>
          <w:tcPr>
            <w:tcW w:w="3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5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gridSpan w:val="2"/>
          </w:tcPr>
          <w:p>
            <w:pPr>
              <w:jc w:val="center"/>
              <w:ind w:right="300"/>
              <w:spacing w:after="0" w:line="146" w:lineRule="exact"/>
              <w:rPr>
                <w:sz w:val="20"/>
                <w:szCs w:val="20"/>
                <w:color w:val="auto"/>
              </w:rPr>
            </w:pPr>
            <w:r>
              <w:rPr>
                <w:rFonts w:ascii="Times New Roman" w:cs="Times New Roman" w:eastAsia="Times New Roman" w:hAnsi="Times New Roman"/>
                <w:sz w:val="14"/>
                <w:szCs w:val="14"/>
                <w:b w:val="1"/>
                <w:bCs w:val="1"/>
                <w:color w:val="auto"/>
              </w:rPr>
              <w:t>Sales</w:t>
            </w:r>
          </w:p>
        </w:tc>
        <w:tc>
          <w:tcPr>
            <w:tcW w:w="340" w:type="dxa"/>
            <w:vAlign w:val="bottom"/>
          </w:tcPr>
          <w:p>
            <w:pPr>
              <w:spacing w:after="0"/>
              <w:rPr>
                <w:sz w:val="12"/>
                <w:szCs w:val="12"/>
                <w:color w:val="auto"/>
              </w:rPr>
            </w:pPr>
          </w:p>
        </w:tc>
        <w:tc>
          <w:tcPr>
            <w:tcW w:w="1060" w:type="dxa"/>
            <w:vAlign w:val="bottom"/>
            <w:vMerge w:val="restart"/>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8"/>
        </w:trPr>
        <w:tc>
          <w:tcPr>
            <w:tcW w:w="5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200" w:type="dxa"/>
            <w:vAlign w:val="bottom"/>
          </w:tcPr>
          <w:p>
            <w:pPr>
              <w:spacing w:after="0"/>
              <w:rPr>
                <w:sz w:val="17"/>
                <w:szCs w:val="17"/>
                <w:color w:val="auto"/>
              </w:rPr>
            </w:pPr>
          </w:p>
        </w:tc>
        <w:tc>
          <w:tcPr>
            <w:tcW w:w="13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200" w:type="dxa"/>
            <w:vAlign w:val="bottom"/>
          </w:tcPr>
          <w:p>
            <w:pPr>
              <w:spacing w:after="0"/>
              <w:rPr>
                <w:sz w:val="17"/>
                <w:szCs w:val="17"/>
                <w:color w:val="auto"/>
              </w:rPr>
            </w:pPr>
          </w:p>
        </w:tc>
        <w:tc>
          <w:tcPr>
            <w:tcW w:w="13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340" w:type="dxa"/>
            <w:vAlign w:val="bottom"/>
          </w:tcPr>
          <w:p>
            <w:pPr>
              <w:spacing w:after="0"/>
              <w:rPr>
                <w:sz w:val="17"/>
                <w:szCs w:val="17"/>
                <w:color w:val="auto"/>
              </w:rPr>
            </w:pPr>
          </w:p>
        </w:tc>
        <w:tc>
          <w:tcPr>
            <w:tcW w:w="1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5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Automotive</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50,144</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10,425</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center"/>
              <w:ind w:left="777"/>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60,569</w:t>
            </w:r>
          </w:p>
        </w:tc>
        <w:tc>
          <w:tcPr>
            <w:tcW w:w="0" w:type="dxa"/>
            <w:vAlign w:val="bottom"/>
          </w:tcPr>
          <w:p>
            <w:pPr>
              <w:spacing w:after="0"/>
              <w:rPr>
                <w:sz w:val="1"/>
                <w:szCs w:val="1"/>
                <w:color w:val="auto"/>
              </w:rPr>
            </w:pPr>
          </w:p>
        </w:tc>
      </w:tr>
      <w:tr>
        <w:trPr>
          <w:trHeight w:val="230"/>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Industrial</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24,310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15,374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gridSpan w:val="2"/>
          </w:tcPr>
          <w:p>
            <w:pPr>
              <w:jc w:val="center"/>
              <w:ind w:left="677"/>
              <w:spacing w:after="0"/>
              <w:rPr>
                <w:sz w:val="20"/>
                <w:szCs w:val="20"/>
                <w:color w:val="auto"/>
              </w:rPr>
            </w:pPr>
            <w:r>
              <w:rPr>
                <w:rFonts w:ascii="Times New Roman" w:cs="Times New Roman" w:eastAsia="Times New Roman" w:hAnsi="Times New Roman"/>
                <w:sz w:val="18"/>
                <w:szCs w:val="18"/>
                <w:color w:val="auto"/>
                <w:w w:val="99"/>
              </w:rPr>
              <w:t>—</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39,684</w:t>
            </w:r>
          </w:p>
        </w:tc>
        <w:tc>
          <w:tcPr>
            <w:tcW w:w="0" w:type="dxa"/>
            <w:vAlign w:val="bottom"/>
          </w:tcPr>
          <w:p>
            <w:pPr>
              <w:spacing w:after="0"/>
              <w:rPr>
                <w:sz w:val="1"/>
                <w:szCs w:val="1"/>
                <w:color w:val="auto"/>
              </w:rPr>
            </w:pPr>
          </w:p>
        </w:tc>
      </w:tr>
      <w:tr>
        <w:trPr>
          <w:trHeight w:val="230"/>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Residential/Commercial Electrical</w:t>
            </w:r>
          </w:p>
        </w:tc>
        <w:tc>
          <w:tcPr>
            <w:tcW w:w="2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15,354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center"/>
              <w:ind w:left="677"/>
              <w:spacing w:after="0"/>
              <w:rPr>
                <w:sz w:val="20"/>
                <w:szCs w:val="20"/>
                <w:color w:val="auto"/>
              </w:rPr>
            </w:pPr>
            <w:r>
              <w:rPr>
                <w:rFonts w:ascii="Times New Roman" w:cs="Times New Roman" w:eastAsia="Times New Roman" w:hAnsi="Times New Roman"/>
                <w:sz w:val="18"/>
                <w:szCs w:val="18"/>
                <w:color w:val="auto"/>
                <w:w w:val="99"/>
              </w:rPr>
              <w:t>—</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15,354</w:t>
            </w:r>
          </w:p>
        </w:tc>
        <w:tc>
          <w:tcPr>
            <w:tcW w:w="0" w:type="dxa"/>
            <w:vAlign w:val="bottom"/>
          </w:tcPr>
          <w:p>
            <w:pPr>
              <w:spacing w:after="0"/>
              <w:rPr>
                <w:sz w:val="1"/>
                <w:szCs w:val="1"/>
                <w:color w:val="auto"/>
              </w:rPr>
            </w:pPr>
          </w:p>
        </w:tc>
      </w:tr>
      <w:tr>
        <w:trPr>
          <w:trHeight w:val="229"/>
        </w:trPr>
        <w:tc>
          <w:tcPr>
            <w:tcW w:w="5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7,922</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center"/>
              <w:ind w:left="777"/>
              <w:spacing w:after="0"/>
              <w:rPr>
                <w:sz w:val="20"/>
                <w:szCs w:val="20"/>
                <w:color w:val="auto"/>
              </w:rPr>
            </w:pPr>
            <w:r>
              <w:rPr>
                <w:rFonts w:ascii="Times New Roman" w:cs="Times New Roman" w:eastAsia="Times New Roman" w:hAnsi="Times New Roman"/>
                <w:sz w:val="18"/>
                <w:szCs w:val="18"/>
                <w:color w:val="auto"/>
                <w:w w:val="99"/>
              </w:rPr>
              <w:t>(47)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11,197</w:t>
            </w:r>
          </w:p>
        </w:tc>
        <w:tc>
          <w:tcPr>
            <w:tcW w:w="0" w:type="dxa"/>
            <w:vAlign w:val="bottom"/>
          </w:tcPr>
          <w:p>
            <w:pPr>
              <w:spacing w:after="0"/>
              <w:rPr>
                <w:sz w:val="1"/>
                <w:szCs w:val="1"/>
                <w:color w:val="auto"/>
              </w:rPr>
            </w:pPr>
          </w:p>
        </w:tc>
      </w:tr>
      <w:tr>
        <w:trPr>
          <w:trHeight w:val="248"/>
        </w:trPr>
        <w:tc>
          <w:tcPr>
            <w:tcW w:w="5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sales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77,776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49,075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center"/>
              <w:ind w:left="777"/>
              <w:spacing w:after="0"/>
              <w:rPr>
                <w:sz w:val="20"/>
                <w:szCs w:val="20"/>
                <w:color w:val="auto"/>
              </w:rPr>
            </w:pPr>
            <w:r>
              <w:rPr>
                <w:rFonts w:ascii="Times New Roman" w:cs="Times New Roman" w:eastAsia="Times New Roman" w:hAnsi="Times New Roman"/>
                <w:sz w:val="18"/>
                <w:szCs w:val="18"/>
                <w:color w:val="auto"/>
                <w:w w:val="99"/>
              </w:rPr>
              <w:t>(47)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126,804</w:t>
            </w:r>
          </w:p>
        </w:tc>
        <w:tc>
          <w:tcPr>
            <w:tcW w:w="0" w:type="dxa"/>
            <w:vAlign w:val="bottom"/>
          </w:tcPr>
          <w:p>
            <w:pPr>
              <w:spacing w:after="0"/>
              <w:rPr>
                <w:sz w:val="1"/>
                <w:szCs w:val="1"/>
                <w:color w:val="auto"/>
              </w:rPr>
            </w:pPr>
          </w:p>
        </w:tc>
      </w:tr>
      <w:tr>
        <w:trPr>
          <w:trHeight w:val="20"/>
        </w:trPr>
        <w:tc>
          <w:tcPr>
            <w:tcW w:w="53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Deferred Revenue</w:t>
      </w:r>
    </w:p>
    <w:p>
      <w:pPr>
        <w:spacing w:after="0" w:line="11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Deferred revenue relates to payments received in advance of performance under the contract and recognized as revenue as (or when) we perform under the contract. The balance of deferred revenue was $0.4 million and $0.5 million as of March 31, 2022 and December 31, 2021, respectively. Revenue recognized for performance obligations satisfied or partially satisfied during the three months ended March 31, 2022 included $0.3 million that was included in deferred revenue as of December 31, 2021.</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Transaction Price Allocated to Future Performance Obligations</w:t>
      </w:r>
    </w:p>
    <w:p>
      <w:pPr>
        <w:spacing w:after="0" w:line="119"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We are required to disclose the aggregate amount of transaction price that is allocated to performance obligations that have not yet been satisfied as of March 31, 2022, unless our contracts meet one of the practical expedients. Our contracts met the practical expedient for a performance obligation that is part of a contract that has an original expected duration of one year or less.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Share-Based Compensation</w:t>
      </w:r>
    </w:p>
    <w:p>
      <w:pPr>
        <w:spacing w:after="0" w:line="121" w:lineRule="exact"/>
        <w:rPr>
          <w:sz w:val="20"/>
          <w:szCs w:val="20"/>
          <w:color w:val="auto"/>
        </w:rPr>
      </w:pPr>
    </w:p>
    <w:p>
      <w:pPr>
        <w:ind w:right="700"/>
        <w:spacing w:after="0" w:line="329" w:lineRule="auto"/>
        <w:rPr>
          <w:sz w:val="20"/>
          <w:szCs w:val="20"/>
          <w:color w:val="auto"/>
        </w:rPr>
      </w:pPr>
      <w:r>
        <w:rPr>
          <w:rFonts w:ascii="Times New Roman" w:cs="Times New Roman" w:eastAsia="Times New Roman" w:hAnsi="Times New Roman"/>
          <w:sz w:val="18"/>
          <w:szCs w:val="18"/>
          <w:color w:val="auto"/>
        </w:rPr>
        <w:t>The following table lists the components of share-based compensation expense by type of award, which is recognized in the “Selling, general, and administrative expense” line in the Condensed Consolidated Statements of Operations and Comprehensive Income (Loss).</w:t>
      </w:r>
    </w:p>
    <w:p>
      <w:pPr>
        <w:spacing w:after="0" w:line="34" w:lineRule="exact"/>
        <w:rPr>
          <w:sz w:val="20"/>
          <w:szCs w:val="20"/>
          <w:color w:val="auto"/>
        </w:rPr>
      </w:pPr>
    </w:p>
    <w:p>
      <w:pPr>
        <w:jc w:val="center"/>
        <w:ind w:left="80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80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8080" w:type="dxa"/>
            <w:vAlign w:val="bottom"/>
            <w:tcBorders>
              <w:bottom w:val="single" w:sz="8" w:color="CCEEFF"/>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2022</w:t>
            </w:r>
          </w:p>
        </w:tc>
        <w:tc>
          <w:tcPr>
            <w:tcW w:w="48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9"/>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1040" w:type="dxa"/>
            <w:vAlign w:val="bottom"/>
            <w:shd w:val="clear" w:color="auto" w:fill="CCEEFF"/>
          </w:tcPr>
          <w:p>
            <w:pPr>
              <w:jc w:val="right"/>
              <w:ind w:right="856"/>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30"/>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stock</w:t>
            </w:r>
          </w:p>
        </w:tc>
        <w:tc>
          <w:tcPr>
            <w:tcW w:w="10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w:t>
            </w:r>
          </w:p>
        </w:tc>
      </w:tr>
      <w:tr>
        <w:trPr>
          <w:trHeight w:val="229"/>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Performance share units</w:t>
            </w:r>
          </w:p>
        </w:tc>
        <w:tc>
          <w:tcPr>
            <w:tcW w:w="104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w:t>
            </w:r>
          </w:p>
        </w:tc>
      </w:tr>
      <w:tr>
        <w:trPr>
          <w:trHeight w:val="223"/>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040" w:type="dxa"/>
            <w:vAlign w:val="bottom"/>
            <w:tcBorders>
              <w:bottom w:val="single" w:sz="8" w:color="auto"/>
            </w:tcBorders>
          </w:tcPr>
          <w:p>
            <w:pPr>
              <w:jc w:val="right"/>
              <w:ind w:right="856"/>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949</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886</w:t>
            </w:r>
          </w:p>
        </w:tc>
      </w:tr>
      <w:tr>
        <w:trPr>
          <w:trHeight w:val="20"/>
        </w:trPr>
        <w:tc>
          <w:tcPr>
            <w:tcW w:w="80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stock option activity for the three months ended March 31, 2022.</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20" w:type="dxa"/>
            <w:vAlign w:val="bottom"/>
          </w:tcPr>
          <w:p>
            <w:pPr>
              <w:spacing w:after="0"/>
              <w:rPr>
                <w:sz w:val="13"/>
                <w:szCs w:val="13"/>
                <w:color w:val="auto"/>
              </w:rPr>
            </w:pPr>
          </w:p>
        </w:tc>
        <w:tc>
          <w:tcPr>
            <w:tcW w:w="15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2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46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0" w:type="dxa"/>
            <w:vAlign w:val="bottom"/>
          </w:tcPr>
          <w:p>
            <w:pPr>
              <w:jc w:val="center"/>
              <w:ind w:right="140"/>
              <w:spacing w:after="0" w:line="146"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20" w:type="dxa"/>
            <w:vAlign w:val="bottom"/>
          </w:tcPr>
          <w:p>
            <w:pPr>
              <w:spacing w:after="0"/>
              <w:rPr>
                <w:sz w:val="12"/>
                <w:szCs w:val="12"/>
                <w:color w:val="auto"/>
              </w:rPr>
            </w:pPr>
          </w:p>
        </w:tc>
        <w:tc>
          <w:tcPr>
            <w:tcW w:w="1580" w:type="dxa"/>
            <w:vAlign w:val="bottom"/>
            <w:gridSpan w:val="2"/>
          </w:tcPr>
          <w:p>
            <w:pPr>
              <w:jc w:val="center"/>
              <w:ind w:right="120"/>
              <w:spacing w:after="0" w:line="146"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40" w:type="dxa"/>
            <w:vAlign w:val="bottom"/>
          </w:tcPr>
          <w:p>
            <w:pPr>
              <w:spacing w:after="0"/>
              <w:rPr>
                <w:sz w:val="12"/>
                <w:szCs w:val="12"/>
                <w:color w:val="auto"/>
              </w:rPr>
            </w:pPr>
          </w:p>
        </w:tc>
        <w:tc>
          <w:tcPr>
            <w:tcW w:w="1620" w:type="dxa"/>
            <w:vAlign w:val="bottom"/>
            <w:gridSpan w:val="2"/>
            <w:vMerge w:val="restart"/>
          </w:tcPr>
          <w:p>
            <w:pPr>
              <w:jc w:val="center"/>
              <w:ind w:right="68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37"/>
        </w:trPr>
        <w:tc>
          <w:tcPr>
            <w:tcW w:w="4620" w:type="dxa"/>
            <w:vAlign w:val="bottom"/>
          </w:tcPr>
          <w:p>
            <w:pPr>
              <w:spacing w:after="0"/>
              <w:rPr>
                <w:sz w:val="11"/>
                <w:szCs w:val="11"/>
                <w:color w:val="auto"/>
              </w:rPr>
            </w:pPr>
          </w:p>
        </w:tc>
        <w:tc>
          <w:tcPr>
            <w:tcW w:w="16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Number of Options</w:t>
            </w:r>
          </w:p>
        </w:tc>
        <w:tc>
          <w:tcPr>
            <w:tcW w:w="240" w:type="dxa"/>
            <w:vAlign w:val="bottom"/>
          </w:tcPr>
          <w:p>
            <w:pPr>
              <w:spacing w:after="0"/>
              <w:rPr>
                <w:sz w:val="11"/>
                <w:szCs w:val="11"/>
                <w:color w:val="auto"/>
              </w:rPr>
            </w:pPr>
          </w:p>
        </w:tc>
        <w:tc>
          <w:tcPr>
            <w:tcW w:w="1200" w:type="dxa"/>
            <w:vAlign w:val="bottom"/>
          </w:tcPr>
          <w:p>
            <w:pPr>
              <w:jc w:val="center"/>
              <w:ind w:right="160"/>
              <w:spacing w:after="0" w:line="137"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20" w:type="dxa"/>
            <w:vAlign w:val="bottom"/>
          </w:tcPr>
          <w:p>
            <w:pPr>
              <w:spacing w:after="0"/>
              <w:rPr>
                <w:sz w:val="11"/>
                <w:szCs w:val="11"/>
                <w:color w:val="auto"/>
              </w:rPr>
            </w:pPr>
          </w:p>
        </w:tc>
        <w:tc>
          <w:tcPr>
            <w:tcW w:w="1580" w:type="dxa"/>
            <w:vAlign w:val="bottom"/>
            <w:gridSpan w:val="2"/>
          </w:tcPr>
          <w:p>
            <w:pPr>
              <w:jc w:val="center"/>
              <w:ind w:right="120"/>
              <w:spacing w:after="0" w:line="137"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40" w:type="dxa"/>
            <w:vAlign w:val="bottom"/>
          </w:tcPr>
          <w:p>
            <w:pPr>
              <w:spacing w:after="0"/>
              <w:rPr>
                <w:sz w:val="11"/>
                <w:szCs w:val="11"/>
                <w:color w:val="auto"/>
              </w:rPr>
            </w:pPr>
          </w:p>
        </w:tc>
        <w:tc>
          <w:tcPr>
            <w:tcW w:w="16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4620" w:type="dxa"/>
            <w:vAlign w:val="bottom"/>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200" w:type="dxa"/>
            <w:vAlign w:val="bottom"/>
          </w:tcPr>
          <w:p>
            <w:pPr>
              <w:jc w:val="center"/>
              <w:ind w:right="160"/>
              <w:spacing w:after="0" w:line="146" w:lineRule="exact"/>
              <w:rPr>
                <w:sz w:val="20"/>
                <w:szCs w:val="20"/>
                <w:color w:val="auto"/>
              </w:rPr>
            </w:pPr>
            <w:r>
              <w:rPr>
                <w:rFonts w:ascii="Times New Roman" w:cs="Times New Roman" w:eastAsia="Times New Roman" w:hAnsi="Times New Roman"/>
                <w:sz w:val="14"/>
                <w:szCs w:val="14"/>
                <w:b w:val="1"/>
                <w:bCs w:val="1"/>
                <w:color w:val="auto"/>
              </w:rPr>
              <w:t>Price</w:t>
            </w:r>
          </w:p>
        </w:tc>
        <w:tc>
          <w:tcPr>
            <w:tcW w:w="120" w:type="dxa"/>
            <w:vAlign w:val="bottom"/>
          </w:tcPr>
          <w:p>
            <w:pPr>
              <w:spacing w:after="0"/>
              <w:rPr>
                <w:sz w:val="12"/>
                <w:szCs w:val="12"/>
                <w:color w:val="auto"/>
              </w:rPr>
            </w:pPr>
          </w:p>
        </w:tc>
        <w:tc>
          <w:tcPr>
            <w:tcW w:w="1580" w:type="dxa"/>
            <w:vAlign w:val="bottom"/>
            <w:gridSpan w:val="2"/>
          </w:tcPr>
          <w:p>
            <w:pPr>
              <w:jc w:val="center"/>
              <w:ind w:right="120"/>
              <w:spacing w:after="0" w:line="146"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240" w:type="dxa"/>
            <w:vAlign w:val="bottom"/>
          </w:tcPr>
          <w:p>
            <w:pPr>
              <w:spacing w:after="0"/>
              <w:rPr>
                <w:sz w:val="12"/>
                <w:szCs w:val="12"/>
                <w:color w:val="auto"/>
              </w:rPr>
            </w:pPr>
          </w:p>
        </w:tc>
        <w:tc>
          <w:tcPr>
            <w:tcW w:w="1620" w:type="dxa"/>
            <w:vAlign w:val="bottom"/>
            <w:gridSpan w:val="2"/>
          </w:tcPr>
          <w:p>
            <w:pPr>
              <w:jc w:val="center"/>
              <w:ind w:right="700"/>
              <w:spacing w:after="0" w:line="146"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98"/>
        </w:trPr>
        <w:tc>
          <w:tcPr>
            <w:tcW w:w="4620" w:type="dxa"/>
            <w:vAlign w:val="bottom"/>
          </w:tcPr>
          <w:p>
            <w:pPr>
              <w:spacing w:after="0"/>
              <w:rPr>
                <w:sz w:val="17"/>
                <w:szCs w:val="17"/>
                <w:color w:val="auto"/>
              </w:rPr>
            </w:pPr>
          </w:p>
        </w:tc>
        <w:tc>
          <w:tcPr>
            <w:tcW w:w="162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Pr>
          <w:p>
            <w:pPr>
              <w:spacing w:after="0"/>
              <w:rPr>
                <w:sz w:val="17"/>
                <w:szCs w:val="17"/>
                <w:color w:val="auto"/>
              </w:rPr>
            </w:pPr>
          </w:p>
        </w:tc>
        <w:tc>
          <w:tcPr>
            <w:tcW w:w="1200" w:type="dxa"/>
            <w:vAlign w:val="bottom"/>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20" w:type="dxa"/>
            <w:vAlign w:val="bottom"/>
          </w:tcPr>
          <w:p>
            <w:pPr>
              <w:spacing w:after="0"/>
              <w:rPr>
                <w:sz w:val="17"/>
                <w:szCs w:val="17"/>
                <w:color w:val="auto"/>
              </w:rPr>
            </w:pPr>
          </w:p>
        </w:tc>
        <w:tc>
          <w:tcPr>
            <w:tcW w:w="15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Term</w:t>
            </w:r>
          </w:p>
        </w:tc>
        <w:tc>
          <w:tcPr>
            <w:tcW w:w="240" w:type="dxa"/>
            <w:vAlign w:val="bottom"/>
          </w:tcPr>
          <w:p>
            <w:pPr>
              <w:spacing w:after="0"/>
              <w:rPr>
                <w:sz w:val="17"/>
                <w:szCs w:val="17"/>
                <w:color w:val="auto"/>
              </w:rPr>
            </w:pPr>
          </w:p>
        </w:tc>
        <w:tc>
          <w:tcPr>
            <w:tcW w:w="1620" w:type="dxa"/>
            <w:vAlign w:val="bottom"/>
            <w:gridSpan w:val="2"/>
          </w:tcPr>
          <w:p>
            <w:pPr>
              <w:jc w:val="center"/>
              <w:ind w:right="68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28"/>
        </w:trPr>
        <w:tc>
          <w:tcPr>
            <w:tcW w:w="4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January 1, 2022</w:t>
            </w:r>
          </w:p>
        </w:tc>
        <w:tc>
          <w:tcPr>
            <w:tcW w:w="1500" w:type="dxa"/>
            <w:vAlign w:val="bottom"/>
            <w:tcBorders>
              <w:top w:val="single" w:sz="8" w:color="auto"/>
            </w:tcBorders>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621</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12.24</w:t>
            </w:r>
          </w:p>
        </w:tc>
        <w:tc>
          <w:tcPr>
            <w:tcW w:w="12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44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Expired</w:t>
            </w:r>
          </w:p>
        </w:tc>
        <w:tc>
          <w:tcPr>
            <w:tcW w:w="1500" w:type="dxa"/>
            <w:vAlign w:val="bottom"/>
            <w:tcBorders>
              <w:bottom w:val="single" w:sz="8" w:color="auto"/>
            </w:tcBorders>
          </w:tcPr>
          <w:p>
            <w:pPr>
              <w:ind w:left="1180"/>
              <w:spacing w:after="0"/>
              <w:rPr>
                <w:sz w:val="20"/>
                <w:szCs w:val="20"/>
                <w:color w:val="auto"/>
              </w:rPr>
            </w:pPr>
            <w:r>
              <w:rPr>
                <w:rFonts w:ascii="Times New Roman" w:cs="Times New Roman" w:eastAsia="Times New Roman" w:hAnsi="Times New Roman"/>
                <w:sz w:val="18"/>
                <w:szCs w:val="18"/>
                <w:color w:val="auto"/>
                <w:w w:val="99"/>
              </w:rPr>
              <w:t>(71)</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9.83</w:t>
            </w:r>
          </w:p>
        </w:tc>
        <w:tc>
          <w:tcPr>
            <w:tcW w:w="120" w:type="dxa"/>
            <w:vAlign w:val="bottom"/>
            <w:tcBorders>
              <w:bottom w:val="single" w:sz="8" w:color="CCEEFF"/>
            </w:tcBorders>
          </w:tcPr>
          <w:p>
            <w:pPr>
              <w:spacing w:after="0"/>
              <w:rPr>
                <w:sz w:val="19"/>
                <w:szCs w:val="19"/>
                <w:color w:val="auto"/>
              </w:rPr>
            </w:pPr>
          </w:p>
        </w:tc>
        <w:tc>
          <w:tcPr>
            <w:tcW w:w="14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4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March 31, 2022</w:t>
            </w:r>
          </w:p>
        </w:tc>
        <w:tc>
          <w:tcPr>
            <w:tcW w:w="1500" w:type="dxa"/>
            <w:vAlign w:val="bottom"/>
            <w:tcBorders>
              <w:bottom w:val="single" w:sz="8" w:color="auto"/>
            </w:tcBorders>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550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12.55</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4.0 years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CCEEFF"/>
            </w:tcBorders>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 (1)</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Exercisable at March 31, 2022</w:t>
            </w: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620" w:type="dxa"/>
            <w:vAlign w:val="bottom"/>
            <w:vMerge w:val="continue"/>
          </w:tcPr>
          <w:p>
            <w:pPr>
              <w:spacing w:after="0"/>
              <w:rPr>
                <w:sz w:val="17"/>
                <w:szCs w:val="17"/>
                <w:color w:val="auto"/>
              </w:rPr>
            </w:pPr>
          </w:p>
        </w:tc>
        <w:tc>
          <w:tcPr>
            <w:tcW w:w="1500" w:type="dxa"/>
            <w:vAlign w:val="bottom"/>
            <w:tcBorders>
              <w:bottom w:val="single" w:sz="8" w:color="auto"/>
            </w:tcBorders>
          </w:tcPr>
          <w:p>
            <w:pPr>
              <w:ind w:left="1160"/>
              <w:spacing w:after="0" w:line="203" w:lineRule="exact"/>
              <w:rPr>
                <w:sz w:val="20"/>
                <w:szCs w:val="20"/>
                <w:color w:val="auto"/>
              </w:rPr>
            </w:pPr>
            <w:r>
              <w:rPr>
                <w:rFonts w:ascii="Times New Roman" w:cs="Times New Roman" w:eastAsia="Times New Roman" w:hAnsi="Times New Roman"/>
                <w:sz w:val="18"/>
                <w:szCs w:val="18"/>
                <w:color w:val="auto"/>
              </w:rPr>
              <w:t>523</w:t>
            </w:r>
          </w:p>
        </w:tc>
        <w:tc>
          <w:tcPr>
            <w:tcW w:w="120" w:type="dxa"/>
            <w:vAlign w:val="bottom"/>
          </w:tcPr>
          <w:p>
            <w:pPr>
              <w:spacing w:after="0"/>
              <w:rPr>
                <w:sz w:val="17"/>
                <w:szCs w:val="17"/>
                <w:color w:val="auto"/>
              </w:rPr>
            </w:pPr>
          </w:p>
        </w:tc>
        <w:tc>
          <w:tcPr>
            <w:tcW w:w="240" w:type="dxa"/>
            <w:vAlign w:val="bottom"/>
            <w:tcBorders>
              <w:bottom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12.71</w:t>
            </w:r>
          </w:p>
        </w:tc>
        <w:tc>
          <w:tcPr>
            <w:tcW w:w="120" w:type="dxa"/>
            <w:vAlign w:val="bottom"/>
          </w:tcPr>
          <w:p>
            <w:pPr>
              <w:spacing w:after="0"/>
              <w:rPr>
                <w:sz w:val="17"/>
                <w:szCs w:val="17"/>
                <w:color w:val="auto"/>
              </w:rPr>
            </w:pPr>
          </w:p>
        </w:tc>
        <w:tc>
          <w:tcPr>
            <w:tcW w:w="1580" w:type="dxa"/>
            <w:vAlign w:val="bottom"/>
            <w:gridSpan w:val="2"/>
          </w:tcPr>
          <w:p>
            <w:pPr>
              <w:ind w:left="800"/>
              <w:spacing w:after="0" w:line="203" w:lineRule="exact"/>
              <w:rPr>
                <w:sz w:val="20"/>
                <w:szCs w:val="20"/>
                <w:color w:val="auto"/>
              </w:rPr>
            </w:pPr>
            <w:r>
              <w:rPr>
                <w:rFonts w:ascii="Times New Roman" w:cs="Times New Roman" w:eastAsia="Times New Roman" w:hAnsi="Times New Roman"/>
                <w:sz w:val="18"/>
                <w:szCs w:val="18"/>
                <w:color w:val="auto"/>
              </w:rPr>
              <w:t>3.8 years</w:t>
            </w:r>
          </w:p>
        </w:tc>
        <w:tc>
          <w:tcPr>
            <w:tcW w:w="240" w:type="dxa"/>
            <w:vAlign w:val="bottom"/>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gridSpan w:val="2"/>
          </w:tcPr>
          <w:p>
            <w:pPr>
              <w:ind w:left="920"/>
              <w:spacing w:after="0" w:line="203" w:lineRule="exact"/>
              <w:rPr>
                <w:sz w:val="20"/>
                <w:szCs w:val="20"/>
                <w:color w:val="auto"/>
              </w:rPr>
            </w:pPr>
            <w:r>
              <w:rPr>
                <w:rFonts w:ascii="Times New Roman" w:cs="Times New Roman" w:eastAsia="Times New Roman" w:hAnsi="Times New Roman"/>
                <w:sz w:val="18"/>
                <w:szCs w:val="18"/>
                <w:color w:val="auto"/>
              </w:rPr>
              <w:t>— (1)</w:t>
            </w:r>
          </w:p>
        </w:tc>
        <w:tc>
          <w:tcPr>
            <w:tcW w:w="0" w:type="dxa"/>
            <w:vAlign w:val="bottom"/>
          </w:tcPr>
          <w:p>
            <w:pPr>
              <w:spacing w:after="0"/>
              <w:rPr>
                <w:sz w:val="1"/>
                <w:szCs w:val="1"/>
                <w:color w:val="auto"/>
              </w:rPr>
            </w:pPr>
          </w:p>
        </w:tc>
      </w:tr>
      <w:tr>
        <w:trPr>
          <w:trHeight w:val="21"/>
        </w:trPr>
        <w:tc>
          <w:tcPr>
            <w:tcW w:w="46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w:t>
      </w:r>
    </w:p>
    <w:p>
      <w:pPr>
        <w:spacing w:after="0" w:line="27" w:lineRule="exact"/>
        <w:rPr>
          <w:sz w:val="20"/>
          <w:szCs w:val="20"/>
          <w:color w:val="auto"/>
        </w:rPr>
      </w:pPr>
    </w:p>
    <w:p>
      <w:pPr>
        <w:ind w:left="660" w:right="40" w:hanging="328"/>
        <w:spacing w:after="0" w:line="272" w:lineRule="auto"/>
        <w:tabs>
          <w:tab w:leader="none" w:pos="65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intrinsic value is the sum of intrinsic values for each exercisable individual option grant. The intrinsic value is the amount by which the closing market price of our stock at March 31, 2022, was greater than the exercise price of any individual option grant.</w:t>
      </w: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w:t>
      </w:r>
    </w:p>
    <w:p>
      <w:pPr>
        <w:spacing w:after="0" w:line="11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During the three months ended March 31, 2022, we granted 897,000 shares of restricted stock to non-executive directors, officers and certain other key employees. The shares of restricted stock granted during the three months ended March 31, 2022, vest pro-rata generally over three years for employees and over one year for non-executive directors. We determined the fair value of the shares awarded by using the closing price of our common stock as of the date of grant. The weighted average grant date fair value of restricted stock granted in the three months ended March 31, 2022, was $3.31 per share. Total grant date fair value of restricted stock that vested in the three months ended March 31, 2022, was $1.8 million.</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status of unvested restricted stock awards as of March 31, 2022 and changes during the three months then ended.</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00" w:type="dxa"/>
            <w:vAlign w:val="bottom"/>
          </w:tcPr>
          <w:p>
            <w:pPr>
              <w:spacing w:after="0"/>
              <w:rPr>
                <w:sz w:val="13"/>
                <w:szCs w:val="13"/>
                <w:color w:val="auto"/>
              </w:rPr>
            </w:pPr>
          </w:p>
        </w:tc>
        <w:tc>
          <w:tcPr>
            <w:tcW w:w="16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Nonvested</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60" w:type="dxa"/>
            <w:vAlign w:val="bottom"/>
          </w:tcPr>
          <w:p>
            <w:pPr>
              <w:jc w:val="center"/>
              <w:ind w:right="219"/>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6"/>
        </w:trPr>
        <w:tc>
          <w:tcPr>
            <w:tcW w:w="7800" w:type="dxa"/>
            <w:vAlign w:val="bottom"/>
          </w:tcPr>
          <w:p>
            <w:pPr>
              <w:spacing w:after="0"/>
              <w:rPr>
                <w:sz w:val="12"/>
                <w:szCs w:val="12"/>
                <w:color w:val="auto"/>
              </w:rPr>
            </w:pPr>
          </w:p>
        </w:tc>
        <w:tc>
          <w:tcPr>
            <w:tcW w:w="16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60" w:type="dxa"/>
            <w:vAlign w:val="bottom"/>
          </w:tcPr>
          <w:p>
            <w:pPr>
              <w:jc w:val="center"/>
              <w:ind w:right="219"/>
              <w:spacing w:after="0" w:line="146"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35"/>
        </w:trPr>
        <w:tc>
          <w:tcPr>
            <w:tcW w:w="7800" w:type="dxa"/>
            <w:vAlign w:val="bottom"/>
          </w:tcPr>
          <w:p>
            <w:pPr>
              <w:spacing w:after="0"/>
              <w:rPr>
                <w:sz w:val="11"/>
                <w:szCs w:val="11"/>
                <w:color w:val="auto"/>
              </w:rPr>
            </w:pPr>
          </w:p>
        </w:tc>
        <w:tc>
          <w:tcPr>
            <w:tcW w:w="164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Restricted</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60" w:type="dxa"/>
            <w:vAlign w:val="bottom"/>
          </w:tcPr>
          <w:p>
            <w:pPr>
              <w:jc w:val="center"/>
              <w:ind w:right="199"/>
              <w:spacing w:after="0" w:line="135" w:lineRule="exact"/>
              <w:rPr>
                <w:sz w:val="20"/>
                <w:szCs w:val="20"/>
                <w:color w:val="auto"/>
              </w:rPr>
            </w:pPr>
            <w:r>
              <w:rPr>
                <w:rFonts w:ascii="Times New Roman" w:cs="Times New Roman" w:eastAsia="Times New Roman" w:hAnsi="Times New Roman"/>
                <w:sz w:val="14"/>
                <w:szCs w:val="14"/>
                <w:b w:val="1"/>
                <w:bCs w:val="1"/>
                <w:color w:val="auto"/>
              </w:rPr>
              <w:t>Grant-Date</w:t>
            </w:r>
          </w:p>
        </w:tc>
        <w:tc>
          <w:tcPr>
            <w:tcW w:w="0" w:type="dxa"/>
            <w:vAlign w:val="bottom"/>
          </w:tcPr>
          <w:p>
            <w:pPr>
              <w:spacing w:after="0"/>
              <w:rPr>
                <w:sz w:val="1"/>
                <w:szCs w:val="1"/>
                <w:color w:val="auto"/>
              </w:rPr>
            </w:pPr>
          </w:p>
        </w:tc>
      </w:tr>
      <w:tr>
        <w:trPr>
          <w:trHeight w:val="148"/>
        </w:trPr>
        <w:tc>
          <w:tcPr>
            <w:tcW w:w="7800" w:type="dxa"/>
            <w:vAlign w:val="bottom"/>
          </w:tcPr>
          <w:p>
            <w:pPr>
              <w:spacing w:after="0"/>
              <w:rPr>
                <w:sz w:val="12"/>
                <w:szCs w:val="12"/>
                <w:color w:val="auto"/>
              </w:rPr>
            </w:pPr>
          </w:p>
        </w:tc>
        <w:tc>
          <w:tcPr>
            <w:tcW w:w="1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60" w:type="dxa"/>
            <w:vAlign w:val="bottom"/>
          </w:tcPr>
          <w:p>
            <w:pPr>
              <w:jc w:val="center"/>
              <w:ind w:right="199"/>
              <w:spacing w:after="0" w:line="149" w:lineRule="exact"/>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198"/>
        </w:trPr>
        <w:tc>
          <w:tcPr>
            <w:tcW w:w="7800" w:type="dxa"/>
            <w:vAlign w:val="bottom"/>
            <w:tcBorders>
              <w:bottom w:val="single" w:sz="8" w:color="CCEEFF"/>
            </w:tcBorders>
          </w:tcPr>
          <w:p>
            <w:pPr>
              <w:spacing w:after="0"/>
              <w:rPr>
                <w:sz w:val="17"/>
                <w:szCs w:val="17"/>
                <w:color w:val="auto"/>
              </w:rPr>
            </w:pPr>
          </w:p>
        </w:tc>
        <w:tc>
          <w:tcPr>
            <w:tcW w:w="1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center"/>
              <w:ind w:right="199"/>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0" w:type="dxa"/>
            <w:vAlign w:val="bottom"/>
          </w:tcPr>
          <w:p>
            <w:pPr>
              <w:spacing w:after="0"/>
              <w:rPr>
                <w:sz w:val="1"/>
                <w:szCs w:val="1"/>
                <w:color w:val="auto"/>
              </w:rPr>
            </w:pPr>
          </w:p>
        </w:tc>
      </w:tr>
      <w:tr>
        <w:trPr>
          <w:trHeight w:val="228"/>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at January 1, 2022</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w:t>
            </w:r>
          </w:p>
        </w:tc>
        <w:tc>
          <w:tcPr>
            <w:tcW w:w="0" w:type="dxa"/>
            <w:vAlign w:val="bottom"/>
          </w:tcPr>
          <w:p>
            <w:pPr>
              <w:spacing w:after="0"/>
              <w:rPr>
                <w:sz w:val="1"/>
                <w:szCs w:val="1"/>
                <w:color w:val="auto"/>
              </w:rPr>
            </w:pPr>
          </w:p>
        </w:tc>
      </w:tr>
      <w:tr>
        <w:trPr>
          <w:trHeight w:val="229"/>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0" w:type="dxa"/>
            <w:vAlign w:val="bottom"/>
          </w:tcPr>
          <w:p>
            <w:pPr>
              <w:spacing w:after="0"/>
              <w:rPr>
                <w:sz w:val="1"/>
                <w:szCs w:val="1"/>
                <w:color w:val="auto"/>
              </w:rPr>
            </w:pPr>
          </w:p>
        </w:tc>
      </w:tr>
      <w:tr>
        <w:trPr>
          <w:trHeight w:val="230"/>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w:t>
            </w:r>
          </w:p>
        </w:tc>
        <w:tc>
          <w:tcPr>
            <w:tcW w:w="0" w:type="dxa"/>
            <w:vAlign w:val="bottom"/>
          </w:tcPr>
          <w:p>
            <w:pPr>
              <w:spacing w:after="0"/>
              <w:rPr>
                <w:sz w:val="1"/>
                <w:szCs w:val="1"/>
                <w:color w:val="auto"/>
              </w:rPr>
            </w:pPr>
          </w:p>
        </w:tc>
      </w:tr>
      <w:tr>
        <w:trPr>
          <w:trHeight w:val="230"/>
        </w:trPr>
        <w:tc>
          <w:tcPr>
            <w:tcW w:w="7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13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7.49</w:t>
            </w:r>
          </w:p>
        </w:tc>
        <w:tc>
          <w:tcPr>
            <w:tcW w:w="0" w:type="dxa"/>
            <w:vAlign w:val="bottom"/>
          </w:tcPr>
          <w:p>
            <w:pPr>
              <w:spacing w:after="0"/>
              <w:rPr>
                <w:sz w:val="1"/>
                <w:szCs w:val="1"/>
                <w:color w:val="auto"/>
              </w:rPr>
            </w:pPr>
          </w:p>
        </w:tc>
      </w:tr>
      <w:tr>
        <w:trPr>
          <w:trHeight w:val="248"/>
        </w:trPr>
        <w:tc>
          <w:tcPr>
            <w:tcW w:w="7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at March 31, 2022</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1,101</w:t>
            </w:r>
          </w:p>
        </w:tc>
        <w:tc>
          <w:tcPr>
            <w:tcW w:w="400" w:type="dxa"/>
            <w:vAlign w:val="bottom"/>
            <w:tcBorders>
              <w:bottom w:val="single" w:sz="8" w:color="CCEEFF"/>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0" w:type="dxa"/>
            <w:vAlign w:val="bottom"/>
          </w:tcPr>
          <w:p>
            <w:pPr>
              <w:spacing w:after="0"/>
              <w:rPr>
                <w:sz w:val="1"/>
                <w:szCs w:val="1"/>
                <w:color w:val="auto"/>
              </w:rPr>
            </w:pP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 Share Units</w:t>
      </w:r>
    </w:p>
    <w:p>
      <w:pPr>
        <w:spacing w:after="0" w:line="119"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Performance Share Units (“PSUs”) are a form of long-term incentive compensation awarded to executive officers and certain other key employees designed to directly align the interests of employees to the interests of our stockholders, and to create long-term stockholder value. Some PSUs are based on total shareholder return (“TSR Awards”), and other PSUs are based on</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340"/>
        <w:spacing w:after="0" w:line="312" w:lineRule="auto"/>
        <w:rPr>
          <w:sz w:val="20"/>
          <w:szCs w:val="20"/>
          <w:color w:val="auto"/>
        </w:rPr>
      </w:pPr>
      <w:r>
        <w:rPr>
          <w:rFonts w:ascii="Times New Roman" w:cs="Times New Roman" w:eastAsia="Times New Roman" w:hAnsi="Times New Roman"/>
          <w:sz w:val="17"/>
          <w:szCs w:val="17"/>
          <w:color w:val="auto"/>
        </w:rPr>
        <w:t>return on invested capital (“ROIC Awards”). TSR Awards granted in 2022 were made pursuant to the NN, Inc. 2019 Omnibus Incentive Plan and a Performance Share Unit Agreement (the “2019 Omnibus Agreement”). No ROIC Awards were granted during the three months ended March 31, 2022.</w:t>
      </w:r>
    </w:p>
    <w:p>
      <w:pPr>
        <w:spacing w:after="0" w:line="3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TSR Awards vest, if at all, upon our achieving a specified relative total shareholder return, which will be measured against the total shareholder return of a specified index during specified performance periods as defined in the 2019 Omnibus Agreement. The ROIC Awards vest, if at all, upon our achieving a specified average return on invested capital during the performance periods. Each performance period generally begins on January 1 of the year of grant and ends 3 years later on December 31.</w:t>
      </w:r>
    </w:p>
    <w:p>
      <w:pPr>
        <w:spacing w:after="0" w:line="7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recognize compensation expense over the performance period in which the performance and market conditions are measured. If the PSUs do not vest at the end of the performance periods, then the PSUs will expire automatically. Upon vesting, the PSUs will be settled by the issuance of shares of our common stock, subject to the award recipient’s continued employment. The actual number of shares of common stock to be issued to each award recipient at the end of the performance periods will be interpolated between a threshold and maximum payout amount based on actual performance results. No dividends will be paid on outstanding PSUs during the performance period; however, dividend equivalents will be paid based on dividends declared and the number of shares of common stock that are ultimately earned at the end of the performance periods.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goals with respect to TSR Awards granted in 2022.</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220" w:type="dxa"/>
            <w:vAlign w:val="bottom"/>
          </w:tcPr>
          <w:p>
            <w:pPr>
              <w:spacing w:after="0"/>
              <w:rPr>
                <w:sz w:val="13"/>
                <w:szCs w:val="13"/>
                <w:color w:val="auto"/>
              </w:rPr>
            </w:pPr>
          </w:p>
        </w:tc>
        <w:tc>
          <w:tcPr>
            <w:tcW w:w="24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Threshold</w:t>
            </w:r>
          </w:p>
        </w:tc>
        <w:tc>
          <w:tcPr>
            <w:tcW w:w="22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Target Performance</w:t>
            </w:r>
          </w:p>
        </w:tc>
        <w:tc>
          <w:tcPr>
            <w:tcW w:w="24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Maximum Performance</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0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TSR Awards:</w:t>
            </w:r>
          </w:p>
        </w:tc>
        <w:tc>
          <w:tcPr>
            <w:tcW w:w="2440" w:type="dxa"/>
            <w:vAlign w:val="bottom"/>
            <w:gridSpan w:val="2"/>
          </w:tcPr>
          <w:p>
            <w:pPr>
              <w:jc w:val="center"/>
              <w:ind w:right="120"/>
              <w:spacing w:after="0" w:line="146" w:lineRule="exact"/>
              <w:rPr>
                <w:sz w:val="20"/>
                <w:szCs w:val="20"/>
                <w:color w:val="auto"/>
              </w:rPr>
            </w:pPr>
            <w:r>
              <w:rPr>
                <w:rFonts w:ascii="Times New Roman" w:cs="Times New Roman" w:eastAsia="Times New Roman" w:hAnsi="Times New Roman"/>
                <w:sz w:val="14"/>
                <w:szCs w:val="14"/>
                <w:b w:val="1"/>
                <w:bCs w:val="1"/>
                <w:color w:val="auto"/>
              </w:rPr>
              <w:t>Performance</w:t>
            </w:r>
          </w:p>
        </w:tc>
        <w:tc>
          <w:tcPr>
            <w:tcW w:w="2200" w:type="dxa"/>
            <w:vAlign w:val="bottom"/>
            <w:gridSpan w:val="2"/>
            <w:vMerge w:val="continue"/>
          </w:tcPr>
          <w:p>
            <w:pPr>
              <w:spacing w:after="0"/>
              <w:rPr>
                <w:sz w:val="12"/>
                <w:szCs w:val="12"/>
                <w:color w:val="auto"/>
              </w:rPr>
            </w:pPr>
          </w:p>
        </w:tc>
        <w:tc>
          <w:tcPr>
            <w:tcW w:w="24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060" w:type="dxa"/>
            <w:vAlign w:val="bottom"/>
            <w:gridSpan w:val="2"/>
            <w:vMerge w:val="continue"/>
          </w:tcPr>
          <w:p>
            <w:pPr>
              <w:spacing w:after="0"/>
              <w:rPr>
                <w:sz w:val="12"/>
                <w:szCs w:val="12"/>
                <w:color w:val="auto"/>
              </w:rPr>
            </w:pPr>
          </w:p>
        </w:tc>
        <w:tc>
          <w:tcPr>
            <w:tcW w:w="2440" w:type="dxa"/>
            <w:vAlign w:val="bottom"/>
            <w:gridSpan w:val="2"/>
          </w:tcPr>
          <w:p>
            <w:pPr>
              <w:jc w:val="center"/>
              <w:ind w:right="120"/>
              <w:spacing w:after="0" w:line="129" w:lineRule="exact"/>
              <w:rPr>
                <w:sz w:val="20"/>
                <w:szCs w:val="20"/>
                <w:color w:val="auto"/>
              </w:rPr>
            </w:pPr>
            <w:r>
              <w:rPr>
                <w:rFonts w:ascii="Times New Roman" w:cs="Times New Roman" w:eastAsia="Times New Roman" w:hAnsi="Times New Roman"/>
                <w:sz w:val="14"/>
                <w:szCs w:val="14"/>
                <w:b w:val="1"/>
                <w:bCs w:val="1"/>
                <w:color w:val="auto"/>
              </w:rPr>
              <w:t>(25% of Shares)</w:t>
            </w:r>
          </w:p>
        </w:tc>
        <w:tc>
          <w:tcPr>
            <w:tcW w:w="2200" w:type="dxa"/>
            <w:vAlign w:val="bottom"/>
            <w:gridSpan w:val="2"/>
          </w:tcPr>
          <w:p>
            <w:pPr>
              <w:jc w:val="center"/>
              <w:ind w:right="100"/>
              <w:spacing w:after="0" w:line="129" w:lineRule="exact"/>
              <w:rPr>
                <w:sz w:val="20"/>
                <w:szCs w:val="20"/>
                <w:color w:val="auto"/>
              </w:rPr>
            </w:pPr>
            <w:r>
              <w:rPr>
                <w:rFonts w:ascii="Times New Roman" w:cs="Times New Roman" w:eastAsia="Times New Roman" w:hAnsi="Times New Roman"/>
                <w:sz w:val="14"/>
                <w:szCs w:val="14"/>
                <w:b w:val="1"/>
                <w:bCs w:val="1"/>
                <w:color w:val="auto"/>
              </w:rPr>
              <w:t>(100% of Shares)</w:t>
            </w:r>
          </w:p>
        </w:tc>
        <w:tc>
          <w:tcPr>
            <w:tcW w:w="246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(150% of Shares)</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840" w:type="dxa"/>
            <w:vAlign w:val="bottom"/>
            <w:tcBorders>
              <w:top w:val="single" w:sz="8" w:color="auto"/>
              <w:bottom w:val="single" w:sz="8" w:color="CCEEFF"/>
            </w:tcBorders>
          </w:tcPr>
          <w:p>
            <w:pPr>
              <w:spacing w:after="0"/>
              <w:rPr>
                <w:sz w:val="2"/>
                <w:szCs w:val="2"/>
                <w:color w:val="auto"/>
              </w:rPr>
            </w:pPr>
          </w:p>
        </w:tc>
        <w:tc>
          <w:tcPr>
            <w:tcW w:w="3220" w:type="dxa"/>
            <w:vAlign w:val="bottom"/>
            <w:tcBorders>
              <w:bottom w:val="single" w:sz="8" w:color="CCEEFF"/>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 grants</w:t>
            </w:r>
          </w:p>
        </w:tc>
        <w:tc>
          <w:tcPr>
            <w:tcW w:w="2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25th Percentile</w:t>
            </w:r>
          </w:p>
        </w:tc>
        <w:tc>
          <w:tcPr>
            <w:tcW w:w="120" w:type="dxa"/>
            <w:vAlign w:val="bottom"/>
            <w:shd w:val="clear" w:color="auto" w:fill="CCEEFF"/>
          </w:tcPr>
          <w:p>
            <w:pPr>
              <w:spacing w:after="0"/>
              <w:rPr>
                <w:sz w:val="19"/>
                <w:szCs w:val="19"/>
                <w:color w:val="auto"/>
              </w:rPr>
            </w:pPr>
          </w:p>
        </w:tc>
        <w:tc>
          <w:tcPr>
            <w:tcW w:w="2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55th Percentile</w:t>
            </w:r>
          </w:p>
        </w:tc>
        <w:tc>
          <w:tcPr>
            <w:tcW w:w="100" w:type="dxa"/>
            <w:vAlign w:val="bottom"/>
            <w:shd w:val="clear" w:color="auto" w:fill="CCEEFF"/>
          </w:tcPr>
          <w:p>
            <w:pPr>
              <w:spacing w:after="0"/>
              <w:rPr>
                <w:sz w:val="19"/>
                <w:szCs w:val="19"/>
                <w:color w:val="auto"/>
              </w:rPr>
            </w:pPr>
          </w:p>
        </w:tc>
        <w:tc>
          <w:tcPr>
            <w:tcW w:w="2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75th Percentile</w:t>
            </w:r>
          </w:p>
        </w:tc>
        <w:tc>
          <w:tcPr>
            <w:tcW w:w="0" w:type="dxa"/>
            <w:vAlign w:val="bottom"/>
          </w:tcPr>
          <w:p>
            <w:pPr>
              <w:spacing w:after="0"/>
              <w:rPr>
                <w:sz w:val="1"/>
                <w:szCs w:val="1"/>
                <w:color w:val="auto"/>
              </w:rPr>
            </w:pPr>
          </w:p>
        </w:tc>
      </w:tr>
    </w:tbl>
    <w:p>
      <w:pPr>
        <w:spacing w:after="0" w:line="292"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 xml:space="preserve">We estimate the grant date fair value of TSR Awards using the Monte Carlo simulation model, as the total shareholder return metric is considered a market condition under ASC Topic 718, </w:t>
      </w:r>
      <w:r>
        <w:rPr>
          <w:rFonts w:ascii="Times New Roman" w:cs="Times New Roman" w:eastAsia="Times New Roman" w:hAnsi="Times New Roman"/>
          <w:sz w:val="18"/>
          <w:szCs w:val="18"/>
          <w:i w:val="1"/>
          <w:iCs w:val="1"/>
          <w:color w:val="auto"/>
        </w:rPr>
        <w:t>Compensation – stock compensation</w:t>
      </w:r>
      <w:r>
        <w:rPr>
          <w:rFonts w:ascii="Times New Roman" w:cs="Times New Roman" w:eastAsia="Times New Roman" w:hAnsi="Times New Roman"/>
          <w:sz w:val="18"/>
          <w:szCs w:val="18"/>
          <w:color w:val="auto"/>
        </w:rPr>
        <w:t>.</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status of unvested PSUs as of March 31, 2022 and changes during the three months then ended.</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360" w:type="dxa"/>
            <w:vAlign w:val="bottom"/>
          </w:tcPr>
          <w:p>
            <w:pPr>
              <w:spacing w:after="0"/>
              <w:rPr>
                <w:sz w:val="16"/>
                <w:szCs w:val="16"/>
                <w:color w:val="auto"/>
              </w:rPr>
            </w:pPr>
          </w:p>
        </w:tc>
        <w:tc>
          <w:tcPr>
            <w:tcW w:w="2960" w:type="dxa"/>
            <w:vAlign w:val="bottom"/>
            <w:gridSpan w:val="4"/>
          </w:tcPr>
          <w:p>
            <w:pPr>
              <w:jc w:val="right"/>
              <w:ind w:right="465"/>
              <w:spacing w:after="0"/>
              <w:rPr>
                <w:sz w:val="20"/>
                <w:szCs w:val="20"/>
                <w:color w:val="auto"/>
              </w:rPr>
            </w:pPr>
            <w:r>
              <w:rPr>
                <w:rFonts w:ascii="Times New Roman" w:cs="Times New Roman" w:eastAsia="Times New Roman" w:hAnsi="Times New Roman"/>
                <w:sz w:val="14"/>
                <w:szCs w:val="14"/>
                <w:b w:val="1"/>
                <w:bCs w:val="1"/>
                <w:color w:val="auto"/>
              </w:rPr>
              <w:t>Nonvested TSR Awards</w:t>
            </w: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380" w:type="dxa"/>
            <w:vAlign w:val="bottom"/>
            <w:gridSpan w:val="4"/>
          </w:tcPr>
          <w:p>
            <w:pPr>
              <w:jc w:val="right"/>
              <w:ind w:right="841"/>
              <w:spacing w:after="0"/>
              <w:rPr>
                <w:sz w:val="20"/>
                <w:szCs w:val="20"/>
                <w:color w:val="auto"/>
              </w:rPr>
            </w:pPr>
            <w:r>
              <w:rPr>
                <w:rFonts w:ascii="Times New Roman" w:cs="Times New Roman" w:eastAsia="Times New Roman" w:hAnsi="Times New Roman"/>
                <w:sz w:val="14"/>
                <w:szCs w:val="14"/>
                <w:b w:val="1"/>
                <w:bCs w:val="1"/>
                <w:color w:val="auto"/>
              </w:rPr>
              <w:t>Nonvested ROIC Awards</w:t>
            </w:r>
          </w:p>
        </w:tc>
        <w:tc>
          <w:tcPr>
            <w:tcW w:w="0" w:type="dxa"/>
            <w:vAlign w:val="bottom"/>
          </w:tcPr>
          <w:p>
            <w:pPr>
              <w:spacing w:after="0"/>
              <w:rPr>
                <w:sz w:val="1"/>
                <w:szCs w:val="1"/>
                <w:color w:val="auto"/>
              </w:rPr>
            </w:pPr>
          </w:p>
        </w:tc>
      </w:tr>
      <w:tr>
        <w:trPr>
          <w:trHeight w:val="23"/>
        </w:trPr>
        <w:tc>
          <w:tcPr>
            <w:tcW w:w="436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3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tcPr>
          <w:p>
            <w:pPr>
              <w:jc w:val="center"/>
              <w:ind w:left="365"/>
              <w:spacing w:after="0" w:line="131"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40" w:type="dxa"/>
            <w:vAlign w:val="bottom"/>
          </w:tcPr>
          <w:p>
            <w:pPr>
              <w:jc w:val="center"/>
              <w:ind w:right="201"/>
              <w:spacing w:after="0" w:line="131"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43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jc w:val="center"/>
              <w:ind w:left="365"/>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40" w:type="dxa"/>
            <w:vAlign w:val="bottom"/>
          </w:tcPr>
          <w:p>
            <w:pPr>
              <w:jc w:val="center"/>
              <w:ind w:right="201"/>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6"/>
        </w:trPr>
        <w:tc>
          <w:tcPr>
            <w:tcW w:w="4360" w:type="dxa"/>
            <w:vAlign w:val="bottom"/>
          </w:tcPr>
          <w:p>
            <w:pPr>
              <w:spacing w:after="0"/>
              <w:rPr>
                <w:sz w:val="12"/>
                <w:szCs w:val="12"/>
                <w:color w:val="auto"/>
              </w:rPr>
            </w:pPr>
          </w:p>
        </w:tc>
        <w:tc>
          <w:tcPr>
            <w:tcW w:w="1280" w:type="dxa"/>
            <w:vAlign w:val="bottom"/>
            <w:vMerge w:val="restart"/>
          </w:tcPr>
          <w:p>
            <w:pPr>
              <w:jc w:val="center"/>
              <w:ind w:left="30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jc w:val="center"/>
              <w:ind w:left="365"/>
              <w:spacing w:after="0" w:line="146" w:lineRule="exact"/>
              <w:rPr>
                <w:sz w:val="20"/>
                <w:szCs w:val="20"/>
                <w:color w:val="auto"/>
              </w:rPr>
            </w:pPr>
            <w:r>
              <w:rPr>
                <w:rFonts w:ascii="Times New Roman" w:cs="Times New Roman" w:eastAsia="Times New Roman" w:hAnsi="Times New Roman"/>
                <w:sz w:val="14"/>
                <w:szCs w:val="14"/>
                <w:b w:val="1"/>
                <w:bCs w:val="1"/>
                <w:color w:val="auto"/>
              </w:rPr>
              <w:t>Grant-Date</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40" w:type="dxa"/>
            <w:vAlign w:val="bottom"/>
            <w:vMerge w:val="restart"/>
          </w:tcPr>
          <w:p>
            <w:pPr>
              <w:jc w:val="right"/>
              <w:ind w:right="539"/>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40" w:type="dxa"/>
            <w:vAlign w:val="bottom"/>
          </w:tcPr>
          <w:p>
            <w:pPr>
              <w:jc w:val="center"/>
              <w:ind w:right="221"/>
              <w:spacing w:after="0" w:line="146" w:lineRule="exact"/>
              <w:rPr>
                <w:sz w:val="20"/>
                <w:szCs w:val="20"/>
                <w:color w:val="auto"/>
              </w:rPr>
            </w:pPr>
            <w:r>
              <w:rPr>
                <w:rFonts w:ascii="Times New Roman" w:cs="Times New Roman" w:eastAsia="Times New Roman" w:hAnsi="Times New Roman"/>
                <w:sz w:val="14"/>
                <w:szCs w:val="14"/>
                <w:b w:val="1"/>
                <w:bCs w:val="1"/>
                <w:color w:val="auto"/>
              </w:rPr>
              <w:t>Grant-Date</w:t>
            </w:r>
          </w:p>
        </w:tc>
        <w:tc>
          <w:tcPr>
            <w:tcW w:w="0" w:type="dxa"/>
            <w:vAlign w:val="bottom"/>
          </w:tcPr>
          <w:p>
            <w:pPr>
              <w:spacing w:after="0"/>
              <w:rPr>
                <w:sz w:val="1"/>
                <w:szCs w:val="1"/>
                <w:color w:val="auto"/>
              </w:rPr>
            </w:pPr>
          </w:p>
        </w:tc>
      </w:tr>
      <w:tr>
        <w:trPr>
          <w:trHeight w:val="137"/>
        </w:trPr>
        <w:tc>
          <w:tcPr>
            <w:tcW w:w="4360" w:type="dxa"/>
            <w:vAlign w:val="bottom"/>
          </w:tcPr>
          <w:p>
            <w:pPr>
              <w:spacing w:after="0"/>
              <w:rPr>
                <w:sz w:val="11"/>
                <w:szCs w:val="11"/>
                <w:color w:val="auto"/>
              </w:rPr>
            </w:pPr>
          </w:p>
        </w:tc>
        <w:tc>
          <w:tcPr>
            <w:tcW w:w="1280" w:type="dxa"/>
            <w:vAlign w:val="bottom"/>
            <w:vMerge w:val="continue"/>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tcPr>
          <w:p>
            <w:pPr>
              <w:jc w:val="center"/>
              <w:ind w:left="345"/>
              <w:spacing w:after="0" w:line="137" w:lineRule="exact"/>
              <w:rPr>
                <w:sz w:val="20"/>
                <w:szCs w:val="20"/>
                <w:color w:val="auto"/>
              </w:rPr>
            </w:pPr>
            <w:r>
              <w:rPr>
                <w:rFonts w:ascii="Times New Roman" w:cs="Times New Roman" w:eastAsia="Times New Roman" w:hAnsi="Times New Roman"/>
                <w:sz w:val="14"/>
                <w:szCs w:val="14"/>
                <w:b w:val="1"/>
                <w:bCs w:val="1"/>
                <w:color w:val="auto"/>
                <w:w w:val="99"/>
              </w:rPr>
              <w:t>Fair Value</w:t>
            </w: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40" w:type="dxa"/>
            <w:vAlign w:val="bottom"/>
          </w:tcPr>
          <w:p>
            <w:pPr>
              <w:jc w:val="center"/>
              <w:ind w:right="221"/>
              <w:spacing w:after="0" w:line="137" w:lineRule="exact"/>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195"/>
        </w:trPr>
        <w:tc>
          <w:tcPr>
            <w:tcW w:w="436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tcPr>
          <w:p>
            <w:pPr>
              <w:jc w:val="center"/>
              <w:ind w:left="288"/>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center"/>
              <w:ind w:left="365"/>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4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64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221"/>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0" w:type="dxa"/>
            <w:vAlign w:val="bottom"/>
          </w:tcPr>
          <w:p>
            <w:pPr>
              <w:spacing w:after="0"/>
              <w:rPr>
                <w:sz w:val="1"/>
                <w:szCs w:val="1"/>
                <w:color w:val="auto"/>
              </w:rPr>
            </w:pPr>
          </w:p>
        </w:tc>
      </w:tr>
      <w:tr>
        <w:trPr>
          <w:trHeight w:val="228"/>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January 1, 2022</w:t>
            </w:r>
          </w:p>
        </w:tc>
        <w:tc>
          <w:tcPr>
            <w:tcW w:w="128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025"/>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w:t>
            </w: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8.14</w:t>
            </w:r>
          </w:p>
        </w:tc>
        <w:tc>
          <w:tcPr>
            <w:tcW w:w="0" w:type="dxa"/>
            <w:vAlign w:val="bottom"/>
          </w:tcPr>
          <w:p>
            <w:pPr>
              <w:spacing w:after="0"/>
              <w:rPr>
                <w:sz w:val="1"/>
                <w:szCs w:val="1"/>
                <w:color w:val="auto"/>
              </w:rPr>
            </w:pPr>
          </w:p>
        </w:tc>
      </w:tr>
      <w:tr>
        <w:trPr>
          <w:trHeight w:val="230"/>
        </w:trPr>
        <w:tc>
          <w:tcPr>
            <w:tcW w:w="5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43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March 31, 2022</w:t>
            </w:r>
          </w:p>
        </w:tc>
        <w:tc>
          <w:tcPr>
            <w:tcW w:w="1280" w:type="dxa"/>
            <w:vAlign w:val="bottom"/>
            <w:tcBorders>
              <w:top w:val="single" w:sz="8" w:color="auto"/>
              <w:bottom w:val="single" w:sz="8" w:color="auto"/>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w:t>
            </w:r>
          </w:p>
        </w:tc>
        <w:tc>
          <w:tcPr>
            <w:tcW w:w="1320" w:type="dxa"/>
            <w:vAlign w:val="bottom"/>
            <w:tcBorders>
              <w:top w:val="single" w:sz="8" w:color="CCEEFF"/>
              <w:bottom w:val="single" w:sz="8" w:color="CCEEFF"/>
            </w:tcBorders>
            <w:gridSpan w:val="2"/>
            <w:shd w:val="clear" w:color="auto" w:fill="CCEEFF"/>
          </w:tcPr>
          <w:p>
            <w:pPr>
              <w:jc w:val="right"/>
              <w:ind w:right="1025"/>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400" w:type="dxa"/>
            <w:vAlign w:val="bottom"/>
            <w:tcBorders>
              <w:top w:val="single" w:sz="8" w:color="CCEEFF"/>
              <w:bottom w:val="single" w:sz="8" w:color="CCEEFF"/>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CCEEFF"/>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8.14</w:t>
            </w: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Accumulated Other Comprehensive Income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present the components of accumulated other comprehensive income (loss) (“AOCI”).</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60" w:type="dxa"/>
            <w:vAlign w:val="bottom"/>
          </w:tcPr>
          <w:p>
            <w:pPr>
              <w:spacing w:after="0"/>
              <w:rPr>
                <w:sz w:val="13"/>
                <w:szCs w:val="13"/>
                <w:color w:val="auto"/>
              </w:rPr>
            </w:pPr>
          </w:p>
        </w:tc>
        <w:tc>
          <w:tcPr>
            <w:tcW w:w="142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Foreign Currency</w:t>
            </w:r>
          </w:p>
        </w:tc>
        <w:tc>
          <w:tcPr>
            <w:tcW w:w="142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Interest rate swap</w:t>
            </w:r>
          </w:p>
        </w:tc>
        <w:tc>
          <w:tcPr>
            <w:tcW w:w="120" w:type="dxa"/>
            <w:vAlign w:val="bottom"/>
          </w:tcPr>
          <w:p>
            <w:pPr>
              <w:spacing w:after="0"/>
              <w:rPr>
                <w:sz w:val="13"/>
                <w:szCs w:val="13"/>
                <w:color w:val="auto"/>
              </w:rPr>
            </w:pPr>
          </w:p>
        </w:tc>
        <w:tc>
          <w:tcPr>
            <w:tcW w:w="13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Income taxes (1)</w:t>
            </w:r>
          </w:p>
        </w:tc>
        <w:tc>
          <w:tcPr>
            <w:tcW w:w="300" w:type="dxa"/>
            <w:vAlign w:val="bottom"/>
          </w:tcPr>
          <w:p>
            <w:pPr>
              <w:spacing w:after="0"/>
              <w:rPr>
                <w:sz w:val="13"/>
                <w:szCs w:val="13"/>
                <w:color w:val="auto"/>
              </w:rPr>
            </w:pPr>
          </w:p>
        </w:tc>
        <w:tc>
          <w:tcPr>
            <w:tcW w:w="1020" w:type="dxa"/>
            <w:vAlign w:val="bottom"/>
            <w:vMerge w:val="restart"/>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5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Translation</w:t>
            </w:r>
          </w:p>
        </w:tc>
        <w:tc>
          <w:tcPr>
            <w:tcW w:w="142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5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2021</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(32,016)</w:t>
            </w: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ind w:right="234"/>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(31,902)</w:t>
            </w:r>
          </w:p>
        </w:tc>
        <w:tc>
          <w:tcPr>
            <w:tcW w:w="0" w:type="dxa"/>
            <w:vAlign w:val="bottom"/>
          </w:tcPr>
          <w:p>
            <w:pPr>
              <w:spacing w:after="0"/>
              <w:rPr>
                <w:sz w:val="1"/>
                <w:szCs w:val="1"/>
                <w:color w:val="auto"/>
              </w:rPr>
            </w:pPr>
          </w:p>
        </w:tc>
      </w:tr>
      <w:tr>
        <w:trPr>
          <w:trHeight w:val="223"/>
        </w:trPr>
        <w:tc>
          <w:tcPr>
            <w:tcW w:w="5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comprehensive income (loss) before reclassifications</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2,600</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3,787</w:t>
            </w:r>
          </w:p>
        </w:tc>
        <w:tc>
          <w:tcPr>
            <w:tcW w:w="0" w:type="dxa"/>
            <w:vAlign w:val="bottom"/>
          </w:tcPr>
          <w:p>
            <w:pPr>
              <w:spacing w:after="0"/>
              <w:rPr>
                <w:sz w:val="1"/>
                <w:szCs w:val="1"/>
                <w:color w:val="auto"/>
              </w:rPr>
            </w:pPr>
          </w:p>
        </w:tc>
      </w:tr>
      <w:tr>
        <w:trPr>
          <w:trHeight w:val="230"/>
        </w:trPr>
        <w:tc>
          <w:tcPr>
            <w:tcW w:w="5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Amounts reclassified from AOCI to interest expense (2)</w:t>
            </w: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23"/>
        </w:trPr>
        <w:tc>
          <w:tcPr>
            <w:tcW w:w="5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other comprehensive income (loss)</w:t>
            </w:r>
          </w:p>
        </w:tc>
        <w:tc>
          <w:tcPr>
            <w:tcW w:w="2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2,600</w:t>
            </w:r>
          </w:p>
        </w:tc>
        <w:tc>
          <w:tcPr>
            <w:tcW w:w="100" w:type="dxa"/>
            <w:vAlign w:val="bottom"/>
            <w:tcBorders>
              <w:bottom w:val="single" w:sz="8" w:color="CCEEFF"/>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1,547</w:t>
            </w:r>
          </w:p>
        </w:tc>
        <w:tc>
          <w:tcPr>
            <w:tcW w:w="10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12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3,821</w:t>
            </w:r>
          </w:p>
        </w:tc>
        <w:tc>
          <w:tcPr>
            <w:tcW w:w="0" w:type="dxa"/>
            <w:vAlign w:val="bottom"/>
          </w:tcPr>
          <w:p>
            <w:pPr>
              <w:spacing w:after="0"/>
              <w:rPr>
                <w:sz w:val="1"/>
                <w:szCs w:val="1"/>
                <w:color w:val="auto"/>
              </w:rPr>
            </w:pPr>
          </w:p>
        </w:tc>
      </w:tr>
      <w:tr>
        <w:trPr>
          <w:trHeight w:val="248"/>
        </w:trPr>
        <w:tc>
          <w:tcPr>
            <w:tcW w:w="5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March 31, 2022</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(29,416)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4"/>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(28,081)</w:t>
            </w:r>
          </w:p>
        </w:tc>
        <w:tc>
          <w:tcPr>
            <w:tcW w:w="0" w:type="dxa"/>
            <w:vAlign w:val="bottom"/>
          </w:tcPr>
          <w:p>
            <w:pPr>
              <w:spacing w:after="0"/>
              <w:rPr>
                <w:sz w:val="1"/>
                <w:szCs w:val="1"/>
                <w:color w:val="auto"/>
              </w:rPr>
            </w:pP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2020</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(30,881)</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34"/>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(3,712)</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(33,732)</w:t>
            </w:r>
          </w:p>
        </w:tc>
        <w:tc>
          <w:tcPr>
            <w:tcW w:w="0" w:type="dxa"/>
            <w:vAlign w:val="bottom"/>
          </w:tcPr>
          <w:p>
            <w:pPr>
              <w:spacing w:after="0"/>
              <w:rPr>
                <w:sz w:val="1"/>
                <w:szCs w:val="1"/>
                <w:color w:val="auto"/>
              </w:rPr>
            </w:pPr>
          </w:p>
        </w:tc>
      </w:tr>
      <w:tr>
        <w:trPr>
          <w:trHeight w:val="223"/>
        </w:trPr>
        <w:tc>
          <w:tcPr>
            <w:tcW w:w="5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comprehensive income (loss) before reclassifications</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(3,347)</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(3,347)</w:t>
            </w:r>
          </w:p>
        </w:tc>
        <w:tc>
          <w:tcPr>
            <w:tcW w:w="0" w:type="dxa"/>
            <w:vAlign w:val="bottom"/>
          </w:tcPr>
          <w:p>
            <w:pPr>
              <w:spacing w:after="0"/>
              <w:rPr>
                <w:sz w:val="1"/>
                <w:szCs w:val="1"/>
                <w:color w:val="auto"/>
              </w:rPr>
            </w:pPr>
          </w:p>
        </w:tc>
      </w:tr>
      <w:tr>
        <w:trPr>
          <w:trHeight w:val="230"/>
        </w:trPr>
        <w:tc>
          <w:tcPr>
            <w:tcW w:w="5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Amounts reclassified from AOCI to loss on interest rate swap</w:t>
            </w: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2,851</w:t>
            </w:r>
          </w:p>
        </w:tc>
        <w:tc>
          <w:tcPr>
            <w:tcW w:w="0" w:type="dxa"/>
            <w:vAlign w:val="bottom"/>
          </w:tcPr>
          <w:p>
            <w:pPr>
              <w:spacing w:after="0"/>
              <w:rPr>
                <w:sz w:val="1"/>
                <w:szCs w:val="1"/>
                <w:color w:val="auto"/>
              </w:rPr>
            </w:pPr>
          </w:p>
        </w:tc>
      </w:tr>
      <w:tr>
        <w:trPr>
          <w:trHeight w:val="223"/>
        </w:trPr>
        <w:tc>
          <w:tcPr>
            <w:tcW w:w="5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other comprehensive income (loss)</w:t>
            </w:r>
          </w:p>
        </w:tc>
        <w:tc>
          <w:tcPr>
            <w:tcW w:w="2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(3,347)</w:t>
            </w:r>
          </w:p>
        </w:tc>
        <w:tc>
          <w:tcPr>
            <w:tcW w:w="100" w:type="dxa"/>
            <w:vAlign w:val="bottom"/>
            <w:tcBorders>
              <w:bottom w:val="single" w:sz="8" w:color="CCEEFF"/>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3,712</w:t>
            </w:r>
          </w:p>
        </w:tc>
        <w:tc>
          <w:tcPr>
            <w:tcW w:w="10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(861)</w:t>
            </w:r>
          </w:p>
        </w:tc>
        <w:tc>
          <w:tcPr>
            <w:tcW w:w="12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0" w:type="dxa"/>
            <w:vAlign w:val="bottom"/>
          </w:tcPr>
          <w:p>
            <w:pPr>
              <w:spacing w:after="0"/>
              <w:rPr>
                <w:sz w:val="1"/>
                <w:szCs w:val="1"/>
                <w:color w:val="auto"/>
              </w:rPr>
            </w:pPr>
          </w:p>
        </w:tc>
      </w:tr>
      <w:tr>
        <w:trPr>
          <w:trHeight w:val="248"/>
        </w:trPr>
        <w:tc>
          <w:tcPr>
            <w:tcW w:w="5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March 31, 2021</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(34,228)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4"/>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(34,228)</w:t>
            </w:r>
          </w:p>
        </w:tc>
        <w:tc>
          <w:tcPr>
            <w:tcW w:w="0" w:type="dxa"/>
            <w:vAlign w:val="bottom"/>
          </w:tcPr>
          <w:p>
            <w:pPr>
              <w:spacing w:after="0"/>
              <w:rPr>
                <w:sz w:val="1"/>
                <w:szCs w:val="1"/>
                <w:color w:val="auto"/>
              </w:rPr>
            </w:pP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w:t>
      </w:r>
    </w:p>
    <w:p>
      <w:pPr>
        <w:spacing w:after="0" w:line="63" w:lineRule="exact"/>
        <w:rPr>
          <w:sz w:val="20"/>
          <w:szCs w:val="20"/>
          <w:color w:val="auto"/>
        </w:rPr>
      </w:pPr>
    </w:p>
    <w:p>
      <w:pPr>
        <w:ind w:left="660" w:hanging="247"/>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tax effect of changes in interest rate swap.</w:t>
      </w:r>
    </w:p>
    <w:p>
      <w:pPr>
        <w:spacing w:after="0" w:line="63"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interest rate swap settlements of effective hedge.</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Net Income (Loss) Per Common Share</w:t>
      </w:r>
    </w:p>
    <w:p>
      <w:pPr>
        <w:spacing w:after="0" w:line="22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 xml:space="preserve">In accordance with ASC 260, </w:t>
      </w:r>
      <w:r>
        <w:rPr>
          <w:rFonts w:ascii="Times New Roman" w:cs="Times New Roman" w:eastAsia="Times New Roman" w:hAnsi="Times New Roman"/>
          <w:sz w:val="18"/>
          <w:szCs w:val="18"/>
          <w:i w:val="1"/>
          <w:iCs w:val="1"/>
          <w:color w:val="auto"/>
        </w:rPr>
        <w:t>Earnings Per Share,</w:t>
      </w:r>
      <w:r>
        <w:rPr>
          <w:rFonts w:ascii="Times New Roman" w:cs="Times New Roman" w:eastAsia="Times New Roman" w:hAnsi="Times New Roman"/>
          <w:sz w:val="18"/>
          <w:szCs w:val="18"/>
          <w:color w:val="auto"/>
        </w:rPr>
        <w:t xml:space="preserve"> a company that has participating securities is required to utilize the two-class method for calculating earnings per share (“EPS”) unless the treasury stock method results in lower EPS. The two-class method is an allocation of earnings between the holders of common stock and a company’s participating securities. Basic EPS is calculated by dividing income or loss attributable to common stockholders by the weighted average number of shares of common stock outstanding. To calculate diluted EPS, basic EPS is further adjusted to include the effect of potentially dilutive stock options, warrants, and convertible preferred stock.</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computation of basic and diluted net income (loss) per common share.</w:t>
      </w:r>
    </w:p>
    <w:p>
      <w:pPr>
        <w:spacing w:after="0" w:line="89" w:lineRule="exact"/>
        <w:rPr>
          <w:sz w:val="20"/>
          <w:szCs w:val="20"/>
          <w:color w:val="auto"/>
        </w:rPr>
      </w:pPr>
    </w:p>
    <w:p>
      <w:pPr>
        <w:jc w:val="center"/>
        <w:ind w:left="84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84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4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6"/>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30"/>
        </w:trPr>
        <w:tc>
          <w:tcPr>
            <w:tcW w:w="8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(3,302)</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(4,913)</w:t>
            </w:r>
          </w:p>
        </w:tc>
      </w:tr>
      <w:tr>
        <w:trPr>
          <w:trHeight w:val="230"/>
        </w:trPr>
        <w:tc>
          <w:tcPr>
            <w:tcW w:w="84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Less: Preferred stock cumulative dividends and deemed dividends</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(2,538)</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(14,529)</w:t>
            </w:r>
          </w:p>
        </w:tc>
      </w:tr>
      <w:tr>
        <w:trPr>
          <w:trHeight w:val="223"/>
        </w:trPr>
        <w:tc>
          <w:tcPr>
            <w:tcW w:w="8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Numerator for basic and diluted undistributed net loss per common share (1)</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(5,840)</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(19,442)</w:t>
            </w:r>
          </w:p>
        </w:tc>
      </w:tr>
      <w:tr>
        <w:trPr>
          <w:trHeight w:val="20"/>
        </w:trPr>
        <w:tc>
          <w:tcPr>
            <w:tcW w:w="84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83"/>
        </w:trPr>
        <w:tc>
          <w:tcPr>
            <w:tcW w:w="84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r>
      <w:tr>
        <w:trPr>
          <w:trHeight w:val="230"/>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8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43,308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42,836</w:t>
            </w:r>
          </w:p>
        </w:tc>
      </w:tr>
      <w:tr>
        <w:trPr>
          <w:trHeight w:val="229"/>
        </w:trPr>
        <w:tc>
          <w:tcPr>
            <w:tcW w:w="84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Adjustment for unvested restricted common stock</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w:t>
            </w:r>
          </w:p>
        </w:tc>
      </w:tr>
      <w:tr>
        <w:trPr>
          <w:trHeight w:val="230"/>
        </w:trPr>
        <w:tc>
          <w:tcPr>
            <w:tcW w:w="84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Adjustment for 2021 Warrants outstanding (2)</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1,894</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r>
      <w:tr>
        <w:trPr>
          <w:trHeight w:val="196"/>
        </w:trPr>
        <w:tc>
          <w:tcPr>
            <w:tcW w:w="8480" w:type="dxa"/>
            <w:vAlign w:val="bottom"/>
          </w:tcPr>
          <w:p>
            <w:pPr>
              <w:ind w:left="220"/>
              <w:spacing w:after="0" w:line="196" w:lineRule="exact"/>
              <w:rPr>
                <w:sz w:val="20"/>
                <w:szCs w:val="20"/>
                <w:color w:val="auto"/>
              </w:rPr>
            </w:pPr>
            <w:r>
              <w:rPr>
                <w:rFonts w:ascii="Times New Roman" w:cs="Times New Roman" w:eastAsia="Times New Roman" w:hAnsi="Times New Roman"/>
                <w:sz w:val="18"/>
                <w:szCs w:val="18"/>
                <w:color w:val="auto"/>
              </w:rPr>
              <w:t>Shares used to calculate loss per share, basic and diluted</w:t>
            </w: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44,594</w:t>
            </w:r>
          </w:p>
        </w:tc>
        <w:tc>
          <w:tcPr>
            <w:tcW w:w="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42,672</w:t>
            </w:r>
          </w:p>
        </w:tc>
      </w:tr>
      <w:tr>
        <w:trPr>
          <w:trHeight w:val="20"/>
        </w:trPr>
        <w:tc>
          <w:tcPr>
            <w:tcW w:w="84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37"/>
        </w:trPr>
        <w:tc>
          <w:tcPr>
            <w:tcW w:w="84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r>
      <w:tr>
        <w:trPr>
          <w:trHeight w:val="230"/>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and diluted loss per common share</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(0.46)</w:t>
            </w:r>
          </w:p>
        </w:tc>
      </w:tr>
      <w:tr>
        <w:trPr>
          <w:trHeight w:val="229"/>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dividends declared per common share</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w:t>
      </w:r>
    </w:p>
    <w:p>
      <w:pPr>
        <w:spacing w:after="0" w:line="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 Preferred Stock does not participate in losses.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900" w:right="280" w:hanging="244"/>
        <w:spacing w:after="0" w:line="282" w:lineRule="auto"/>
        <w:tabs>
          <w:tab w:leader="none" w:pos="912"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Weighted average 2021 Warrants outstanding are included in shares outstanding for calculation of basic earnings per share because they are exercisable at an exercise price of $0.01 per share, subject to certain adjustments (see Note 15).</w:t>
      </w:r>
    </w:p>
    <w:p>
      <w:pPr>
        <w:spacing w:after="0" w:line="162"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The following table presents securities that could be potentially dilutive in the future that were excluded from the calculation of diluted net loss per common share because they had an anti-dilutive effect.</w:t>
      </w:r>
    </w:p>
    <w:p>
      <w:pPr>
        <w:spacing w:after="0" w:line="34" w:lineRule="exact"/>
        <w:rPr>
          <w:sz w:val="20"/>
          <w:szCs w:val="20"/>
          <w:color w:val="auto"/>
        </w:rPr>
      </w:pPr>
    </w:p>
    <w:p>
      <w:pPr>
        <w:jc w:val="center"/>
        <w:ind w:left="84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84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8480" w:type="dxa"/>
            <w:vAlign w:val="bottom"/>
            <w:tcBorders>
              <w:bottom w:val="single" w:sz="8" w:color="CCEEFF"/>
            </w:tcBorders>
          </w:tcPr>
          <w:p>
            <w:pPr>
              <w:spacing w:after="0"/>
              <w:rPr>
                <w:sz w:val="17"/>
                <w:szCs w:val="17"/>
                <w:color w:val="auto"/>
              </w:rPr>
            </w:pPr>
          </w:p>
        </w:tc>
        <w:tc>
          <w:tcPr>
            <w:tcW w:w="1320" w:type="dxa"/>
            <w:vAlign w:val="bottom"/>
            <w:tcBorders>
              <w:top w:val="single" w:sz="8" w:color="auto"/>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top w:val="single" w:sz="8" w:color="auto"/>
              <w:bottom w:val="single" w:sz="8" w:color="CCEEFF"/>
            </w:tcBorders>
          </w:tcPr>
          <w:p>
            <w:pPr>
              <w:spacing w:after="0"/>
              <w:rPr>
                <w:sz w:val="17"/>
                <w:szCs w:val="17"/>
                <w:color w:val="auto"/>
              </w:rPr>
            </w:pPr>
          </w:p>
        </w:tc>
        <w:tc>
          <w:tcPr>
            <w:tcW w:w="1320" w:type="dxa"/>
            <w:vAlign w:val="bottom"/>
            <w:tcBorders>
              <w:top w:val="single" w:sz="8" w:color="auto"/>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9"/>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w:t>
            </w:r>
          </w:p>
        </w:tc>
      </w:tr>
      <w:tr>
        <w:trPr>
          <w:trHeight w:val="229"/>
        </w:trPr>
        <w:tc>
          <w:tcPr>
            <w:tcW w:w="8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2019 Warrants</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12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1,500</w:t>
            </w:r>
          </w:p>
        </w:tc>
      </w:tr>
      <w:tr>
        <w:trPr>
          <w:trHeight w:val="248"/>
        </w:trPr>
        <w:tc>
          <w:tcPr>
            <w:tcW w:w="84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2,347</w:t>
            </w: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We have elected to allocate undistributed income to participating securities based on year-to-date results. As there was no undistributed income for the three months ended March 31, 2022, no such allocation was necessary. In addition, given the undistributed loss in the three months ended March 31, 2022 and 2021, options and the 2019 Warrants are considered anti-dilutive and were excluded from the calculation of diluted net loss per share. Stock options excluded from the calculations of diluted net loss per share had a per share exercise price ranging from $7.93 to $25.16 for the three months ended March 31, 2022, and $7.93 to $25.16 for three months ended March 31, 2021. The 2019 Warrants excluded from the calculation of diluted net loss per share for the three months ended March 31, 2022 and 2021, had a per share exercise price of $11.49.</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Fair Value Measurements</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Fair value is an exit price representing the expected amount that an entity would receive to sell an asset or pay to transfer a liability in an orderly transaction with market participants at the measurement date. We followed consistent methods and assumptions to estimate fair values as more fully described in the 2021 Annual Report.</w:t>
      </w:r>
    </w:p>
    <w:p>
      <w:pPr>
        <w:spacing w:after="0" w:line="68"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Fair value principles prioritize valuation inputs across three broad levels. Level 1 inputs are quoted prices (unadjusted) in active markets for identical assets or liabilities. Level 2 inputs are quoted prices for similar assets and liabilities in active markets or inputs that are observable for the asset or liability, either directly or indirectly through market corroboration, for substantially the full term of the financial instrument. Level 3 inputs are unobservable inputs based on the assumptions used to measure assets and liabilities at fair value. An asset or liability’s classification within the various levels is determined based on the lowest level input that is significant to the fair value measurement.</w:t>
      </w:r>
    </w:p>
    <w:p>
      <w:pPr>
        <w:spacing w:after="0" w:line="75"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Our financial instruments that are subject to fair value disclosure consist of cash and cash equivalents, accounts receivable, accounts payable, derivatives, and long-term debt. As of March 31, 2022, the carrying values of these financial instruments approximated fair value.</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Derivative Financial Instruments</w:t>
      </w:r>
    </w:p>
    <w:p>
      <w:pPr>
        <w:spacing w:after="0" w:line="119"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Certain features were bifurcated and accounted for separately from the Series B Preferred Stock, which was redeemed in March 2021. The following feature was recorded as a derivative.</w:t>
      </w:r>
    </w:p>
    <w:p>
      <w:pPr>
        <w:spacing w:after="0" w:line="52" w:lineRule="exact"/>
        <w:rPr>
          <w:sz w:val="20"/>
          <w:szCs w:val="20"/>
          <w:color w:val="auto"/>
        </w:rPr>
      </w:pPr>
    </w:p>
    <w:p>
      <w:pPr>
        <w:ind w:left="660" w:right="60" w:hanging="328"/>
        <w:spacing w:after="0" w:line="267"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Warrants. </w:t>
      </w:r>
      <w:r>
        <w:rPr>
          <w:rFonts w:ascii="Times New Roman" w:cs="Times New Roman" w:eastAsia="Times New Roman" w:hAnsi="Times New Roman"/>
          <w:sz w:val="18"/>
          <w:szCs w:val="18"/>
          <w:color w:val="auto"/>
        </w:rPr>
        <w:t>In conjunction with our placement of the Series B Preferred Stock in December 2019, we issued detachable warrants to purchase up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1.5 million shares of our common stock (the “2019 Warrants”), which are exercisable, in full or in part, at any time prior to December 11, 2026, at an exercise price of $11.49 per share.</w:t>
      </w:r>
    </w:p>
    <w:p>
      <w:pPr>
        <w:spacing w:after="0" w:line="67"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Certain features were bifurcated and accounted for separately from the Series D Preferred Stock that was issued on March 22, 2021. The following features were recorded as derivatives.</w:t>
      </w:r>
    </w:p>
    <w:p>
      <w:pPr>
        <w:spacing w:after="0" w:line="52" w:lineRule="exact"/>
        <w:rPr>
          <w:sz w:val="20"/>
          <w:szCs w:val="20"/>
          <w:color w:val="auto"/>
        </w:rPr>
      </w:pPr>
    </w:p>
    <w:p>
      <w:pPr>
        <w:ind w:left="660" w:right="200" w:hanging="328"/>
        <w:spacing w:after="0" w:line="267"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Change-in-control put feature. </w:t>
      </w:r>
      <w:r>
        <w:rPr>
          <w:rFonts w:ascii="Times New Roman" w:cs="Times New Roman" w:eastAsia="Times New Roman" w:hAnsi="Times New Roman"/>
          <w:sz w:val="18"/>
          <w:szCs w:val="18"/>
          <w:color w:val="auto"/>
        </w:rPr>
        <w:t>The Series D Preferred Stock includes a put feature that allows the holder to redeem the Series D Preferred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upon a change in control at the greater of 1) the liquidation preference plus accrued dividends or 2) 140% of the liquidation preference. The put feature is considered a redemption right at a premium and is not clearly and closely related to the debt host.</w:t>
      </w:r>
    </w:p>
    <w:p>
      <w:pPr>
        <w:spacing w:after="0" w:line="65" w:lineRule="exact"/>
        <w:rPr>
          <w:rFonts w:ascii="Times New Roman" w:cs="Times New Roman" w:eastAsia="Times New Roman" w:hAnsi="Times New Roman"/>
          <w:sz w:val="18"/>
          <w:szCs w:val="18"/>
          <w:color w:val="auto"/>
        </w:rPr>
      </w:pPr>
    </w:p>
    <w:p>
      <w:pPr>
        <w:ind w:left="660" w:right="180" w:hanging="328"/>
        <w:spacing w:after="0" w:line="261"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Warrants. </w:t>
      </w:r>
      <w:r>
        <w:rPr>
          <w:rFonts w:ascii="Times New Roman" w:cs="Times New Roman" w:eastAsia="Times New Roman" w:hAnsi="Times New Roman"/>
          <w:sz w:val="18"/>
          <w:szCs w:val="18"/>
          <w:color w:val="auto"/>
        </w:rPr>
        <w:t>In conjunction with our placement of the Series D Preferred Stock, we issued detachable warrants to purchase up to 1.9 million shares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our common stock. The 2021 Warrants are exercisable, in full or in part, at any time prior to March 22, 2027, at an exercise price of $0.01 per share, subject to anti-dilution adjustments in the event of certain future equity issuances, stock splits, stock dividends, combinations or similar events.</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show the liabilities measured at fair value for the Preferred Stock derivatives as of March 31, 2022 and December 31, 2021.</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440" w:type="dxa"/>
            <w:vAlign w:val="bottom"/>
          </w:tcPr>
          <w:p>
            <w:pPr>
              <w:spacing w:after="0"/>
              <w:rPr>
                <w:sz w:val="16"/>
                <w:szCs w:val="16"/>
                <w:color w:val="auto"/>
              </w:rPr>
            </w:pPr>
          </w:p>
        </w:tc>
        <w:tc>
          <w:tcPr>
            <w:tcW w:w="4800" w:type="dxa"/>
            <w:vAlign w:val="bottom"/>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Fair Value Measurements as of March 31, 2022</w:t>
            </w:r>
          </w:p>
        </w:tc>
        <w:tc>
          <w:tcPr>
            <w:tcW w:w="0" w:type="dxa"/>
            <w:vAlign w:val="bottom"/>
          </w:tcPr>
          <w:p>
            <w:pPr>
              <w:spacing w:after="0"/>
              <w:rPr>
                <w:sz w:val="1"/>
                <w:szCs w:val="1"/>
                <w:color w:val="auto"/>
              </w:rPr>
            </w:pPr>
          </w:p>
        </w:tc>
      </w:tr>
      <w:tr>
        <w:trPr>
          <w:trHeight w:val="23"/>
        </w:trPr>
        <w:tc>
          <w:tcPr>
            <w:tcW w:w="6440" w:type="dxa"/>
            <w:vAlign w:val="bottom"/>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gridSpan w:val="2"/>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6440" w:type="dxa"/>
            <w:vAlign w:val="bottom"/>
          </w:tcPr>
          <w:p>
            <w:pPr>
              <w:spacing w:after="0"/>
              <w:rPr>
                <w:sz w:val="11"/>
                <w:szCs w:val="11"/>
                <w:color w:val="auto"/>
              </w:rPr>
            </w:pPr>
          </w:p>
        </w:tc>
        <w:tc>
          <w:tcPr>
            <w:tcW w:w="1620" w:type="dxa"/>
            <w:vAlign w:val="bottom"/>
            <w:gridSpan w:val="2"/>
          </w:tcPr>
          <w:p>
            <w:pPr>
              <w:jc w:val="center"/>
              <w:ind w:right="100"/>
              <w:spacing w:after="0" w:line="131" w:lineRule="exact"/>
              <w:rPr>
                <w:sz w:val="20"/>
                <w:szCs w:val="20"/>
                <w:color w:val="auto"/>
              </w:rPr>
            </w:pPr>
            <w:r>
              <w:rPr>
                <w:rFonts w:ascii="Times New Roman" w:cs="Times New Roman" w:eastAsia="Times New Roman" w:hAnsi="Times New Roman"/>
                <w:sz w:val="14"/>
                <w:szCs w:val="14"/>
                <w:b w:val="1"/>
                <w:bCs w:val="1"/>
                <w:color w:val="auto"/>
              </w:rPr>
              <w:t>Quoted Prices in Active</w:t>
            </w:r>
          </w:p>
        </w:tc>
        <w:tc>
          <w:tcPr>
            <w:tcW w:w="1640" w:type="dxa"/>
            <w:vAlign w:val="bottom"/>
            <w:gridSpan w:val="3"/>
          </w:tcPr>
          <w:p>
            <w:pPr>
              <w:jc w:val="center"/>
              <w:ind w:right="100"/>
              <w:spacing w:after="0" w:line="131" w:lineRule="exact"/>
              <w:rPr>
                <w:sz w:val="20"/>
                <w:szCs w:val="20"/>
                <w:color w:val="auto"/>
              </w:rPr>
            </w:pPr>
            <w:r>
              <w:rPr>
                <w:rFonts w:ascii="Times New Roman" w:cs="Times New Roman" w:eastAsia="Times New Roman" w:hAnsi="Times New Roman"/>
                <w:sz w:val="14"/>
                <w:szCs w:val="14"/>
                <w:b w:val="1"/>
                <w:bCs w:val="1"/>
                <w:color w:val="auto"/>
              </w:rPr>
              <w:t>Significant Other</w:t>
            </w:r>
          </w:p>
        </w:tc>
        <w:tc>
          <w:tcPr>
            <w:tcW w:w="154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46"/>
        </w:trPr>
        <w:tc>
          <w:tcPr>
            <w:tcW w:w="64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62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Markets for Identical</w:t>
            </w:r>
          </w:p>
        </w:tc>
        <w:tc>
          <w:tcPr>
            <w:tcW w:w="1640" w:type="dxa"/>
            <w:vAlign w:val="bottom"/>
            <w:gridSpan w:val="3"/>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Observable Inputs</w:t>
            </w:r>
          </w:p>
        </w:tc>
        <w:tc>
          <w:tcPr>
            <w:tcW w:w="15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Unobservable Inputs</w:t>
            </w:r>
          </w:p>
        </w:tc>
        <w:tc>
          <w:tcPr>
            <w:tcW w:w="0" w:type="dxa"/>
            <w:vAlign w:val="bottom"/>
          </w:tcPr>
          <w:p>
            <w:pPr>
              <w:spacing w:after="0"/>
              <w:rPr>
                <w:sz w:val="1"/>
                <w:szCs w:val="1"/>
                <w:color w:val="auto"/>
              </w:rPr>
            </w:pPr>
          </w:p>
        </w:tc>
      </w:tr>
      <w:tr>
        <w:trPr>
          <w:trHeight w:val="196"/>
        </w:trPr>
        <w:tc>
          <w:tcPr>
            <w:tcW w:w="6440" w:type="dxa"/>
            <w:vAlign w:val="bottom"/>
            <w:vMerge w:val="continue"/>
          </w:tcPr>
          <w:p>
            <w:pPr>
              <w:spacing w:after="0"/>
              <w:rPr>
                <w:sz w:val="17"/>
                <w:szCs w:val="17"/>
                <w:color w:val="auto"/>
              </w:rPr>
            </w:pP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Assets (Level 1)</w:t>
            </w:r>
          </w:p>
        </w:tc>
        <w:tc>
          <w:tcPr>
            <w:tcW w:w="164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29"/>
        </w:trPr>
        <w:tc>
          <w:tcPr>
            <w:tcW w:w="6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 liability - other non-current liabilities</w:t>
            </w:r>
          </w:p>
        </w:tc>
        <w:tc>
          <w:tcPr>
            <w:tcW w:w="152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5,453</w:t>
            </w: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228</w:t>
            </w:r>
          </w:p>
        </w:tc>
        <w:tc>
          <w:tcPr>
            <w:tcW w:w="0" w:type="dxa"/>
            <w:vAlign w:val="bottom"/>
          </w:tcPr>
          <w:p>
            <w:pPr>
              <w:spacing w:after="0"/>
              <w:rPr>
                <w:sz w:val="1"/>
                <w:szCs w:val="1"/>
                <w:color w:val="auto"/>
              </w:rPr>
            </w:pPr>
          </w:p>
        </w:tc>
      </w:tr>
      <w:tr>
        <w:trPr>
          <w:trHeight w:val="760"/>
        </w:trPr>
        <w:tc>
          <w:tcPr>
            <w:tcW w:w="6440" w:type="dxa"/>
            <w:vAlign w:val="bottom"/>
          </w:tcPr>
          <w:p>
            <w:pPr>
              <w:spacing w:after="0"/>
              <w:rPr>
                <w:sz w:val="24"/>
                <w:szCs w:val="24"/>
                <w:color w:val="auto"/>
              </w:rPr>
            </w:pPr>
          </w:p>
        </w:tc>
        <w:tc>
          <w:tcPr>
            <w:tcW w:w="4800" w:type="dxa"/>
            <w:vAlign w:val="bottom"/>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Fair Value Measurements as of December 31, 2021</w:t>
            </w:r>
          </w:p>
        </w:tc>
        <w:tc>
          <w:tcPr>
            <w:tcW w:w="0" w:type="dxa"/>
            <w:vAlign w:val="bottom"/>
          </w:tcPr>
          <w:p>
            <w:pPr>
              <w:spacing w:after="0"/>
              <w:rPr>
                <w:sz w:val="1"/>
                <w:szCs w:val="1"/>
                <w:color w:val="auto"/>
              </w:rPr>
            </w:pPr>
          </w:p>
        </w:tc>
      </w:tr>
      <w:tr>
        <w:trPr>
          <w:trHeight w:val="23"/>
        </w:trPr>
        <w:tc>
          <w:tcPr>
            <w:tcW w:w="6440" w:type="dxa"/>
            <w:vAlign w:val="bottom"/>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gridSpan w:val="2"/>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6440" w:type="dxa"/>
            <w:vAlign w:val="bottom"/>
          </w:tcPr>
          <w:p>
            <w:pPr>
              <w:spacing w:after="0"/>
              <w:rPr>
                <w:sz w:val="11"/>
                <w:szCs w:val="11"/>
                <w:color w:val="auto"/>
              </w:rPr>
            </w:pPr>
          </w:p>
        </w:tc>
        <w:tc>
          <w:tcPr>
            <w:tcW w:w="1620" w:type="dxa"/>
            <w:vAlign w:val="bottom"/>
            <w:gridSpan w:val="2"/>
          </w:tcPr>
          <w:p>
            <w:pPr>
              <w:jc w:val="center"/>
              <w:ind w:right="100"/>
              <w:spacing w:after="0" w:line="129" w:lineRule="exact"/>
              <w:rPr>
                <w:sz w:val="20"/>
                <w:szCs w:val="20"/>
                <w:color w:val="auto"/>
              </w:rPr>
            </w:pPr>
            <w:r>
              <w:rPr>
                <w:rFonts w:ascii="Times New Roman" w:cs="Times New Roman" w:eastAsia="Times New Roman" w:hAnsi="Times New Roman"/>
                <w:sz w:val="14"/>
                <w:szCs w:val="14"/>
                <w:b w:val="1"/>
                <w:bCs w:val="1"/>
                <w:color w:val="auto"/>
              </w:rPr>
              <w:t>Quoted Prices in Active</w:t>
            </w:r>
          </w:p>
        </w:tc>
        <w:tc>
          <w:tcPr>
            <w:tcW w:w="1640" w:type="dxa"/>
            <w:vAlign w:val="bottom"/>
            <w:gridSpan w:val="3"/>
          </w:tcPr>
          <w:p>
            <w:pPr>
              <w:jc w:val="center"/>
              <w:ind w:right="100"/>
              <w:spacing w:after="0" w:line="129" w:lineRule="exact"/>
              <w:rPr>
                <w:sz w:val="20"/>
                <w:szCs w:val="20"/>
                <w:color w:val="auto"/>
              </w:rPr>
            </w:pPr>
            <w:r>
              <w:rPr>
                <w:rFonts w:ascii="Times New Roman" w:cs="Times New Roman" w:eastAsia="Times New Roman" w:hAnsi="Times New Roman"/>
                <w:sz w:val="14"/>
                <w:szCs w:val="14"/>
                <w:b w:val="1"/>
                <w:bCs w:val="1"/>
                <w:color w:val="auto"/>
              </w:rPr>
              <w:t>Significant Other</w:t>
            </w:r>
          </w:p>
        </w:tc>
        <w:tc>
          <w:tcPr>
            <w:tcW w:w="154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37"/>
        </w:trPr>
        <w:tc>
          <w:tcPr>
            <w:tcW w:w="64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620" w:type="dxa"/>
            <w:vAlign w:val="bottom"/>
            <w:gridSpan w:val="2"/>
          </w:tcPr>
          <w:p>
            <w:pPr>
              <w:jc w:val="center"/>
              <w:ind w:right="100"/>
              <w:spacing w:after="0" w:line="137" w:lineRule="exact"/>
              <w:rPr>
                <w:sz w:val="20"/>
                <w:szCs w:val="20"/>
                <w:color w:val="auto"/>
              </w:rPr>
            </w:pPr>
            <w:r>
              <w:rPr>
                <w:rFonts w:ascii="Times New Roman" w:cs="Times New Roman" w:eastAsia="Times New Roman" w:hAnsi="Times New Roman"/>
                <w:sz w:val="14"/>
                <w:szCs w:val="14"/>
                <w:b w:val="1"/>
                <w:bCs w:val="1"/>
                <w:color w:val="auto"/>
              </w:rPr>
              <w:t>Markets for Identical</w:t>
            </w:r>
          </w:p>
        </w:tc>
        <w:tc>
          <w:tcPr>
            <w:tcW w:w="1640" w:type="dxa"/>
            <w:vAlign w:val="bottom"/>
            <w:gridSpan w:val="3"/>
          </w:tcPr>
          <w:p>
            <w:pPr>
              <w:jc w:val="center"/>
              <w:ind w:right="100"/>
              <w:spacing w:after="0" w:line="137" w:lineRule="exact"/>
              <w:rPr>
                <w:sz w:val="20"/>
                <w:szCs w:val="20"/>
                <w:color w:val="auto"/>
              </w:rPr>
            </w:pPr>
            <w:r>
              <w:rPr>
                <w:rFonts w:ascii="Times New Roman" w:cs="Times New Roman" w:eastAsia="Times New Roman" w:hAnsi="Times New Roman"/>
                <w:sz w:val="14"/>
                <w:szCs w:val="14"/>
                <w:b w:val="1"/>
                <w:bCs w:val="1"/>
                <w:color w:val="auto"/>
              </w:rPr>
              <w:t>Observable Inputs</w:t>
            </w:r>
          </w:p>
        </w:tc>
        <w:tc>
          <w:tcPr>
            <w:tcW w:w="154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Unobservable Inputs</w:t>
            </w:r>
          </w:p>
        </w:tc>
        <w:tc>
          <w:tcPr>
            <w:tcW w:w="0" w:type="dxa"/>
            <w:vAlign w:val="bottom"/>
          </w:tcPr>
          <w:p>
            <w:pPr>
              <w:spacing w:after="0"/>
              <w:rPr>
                <w:sz w:val="1"/>
                <w:szCs w:val="1"/>
                <w:color w:val="auto"/>
              </w:rPr>
            </w:pPr>
          </w:p>
        </w:tc>
      </w:tr>
      <w:tr>
        <w:trPr>
          <w:trHeight w:val="190"/>
        </w:trPr>
        <w:tc>
          <w:tcPr>
            <w:tcW w:w="6440" w:type="dxa"/>
            <w:vAlign w:val="bottom"/>
            <w:vMerge w:val="continue"/>
          </w:tcPr>
          <w:p>
            <w:pPr>
              <w:spacing w:after="0"/>
              <w:rPr>
                <w:sz w:val="16"/>
                <w:szCs w:val="16"/>
                <w:color w:val="auto"/>
              </w:rPr>
            </w:pP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Assets (Level 1)</w:t>
            </w:r>
          </w:p>
        </w:tc>
        <w:tc>
          <w:tcPr>
            <w:tcW w:w="164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3"/>
        </w:trPr>
        <w:tc>
          <w:tcPr>
            <w:tcW w:w="64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80" w:type="dxa"/>
            <w:vAlign w:val="bottom"/>
            <w:gridSpan w:val="2"/>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 liability - other non-current liabilities</w:t>
            </w:r>
          </w:p>
        </w:tc>
        <w:tc>
          <w:tcPr>
            <w:tcW w:w="152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7,771</w:t>
            </w: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453</w:t>
            </w:r>
          </w:p>
        </w:tc>
        <w:tc>
          <w:tcPr>
            <w:tcW w:w="0" w:type="dxa"/>
            <w:vAlign w:val="bottom"/>
          </w:tcPr>
          <w:p>
            <w:pPr>
              <w:spacing w:after="0"/>
              <w:rPr>
                <w:sz w:val="1"/>
                <w:szCs w:val="1"/>
                <w:color w:val="auto"/>
              </w:rPr>
            </w:pPr>
          </w:p>
        </w:tc>
      </w:tr>
      <w:tr>
        <w:trPr>
          <w:trHeight w:val="756"/>
        </w:trPr>
        <w:tc>
          <w:tcPr>
            <w:tcW w:w="97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The following table presents the change in the Preferred Stock derivatives during the three months ended March 31, 2022.</w:t>
            </w: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64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w:t>
            </w:r>
          </w:p>
        </w:tc>
        <w:tc>
          <w:tcPr>
            <w:tcW w:w="0" w:type="dxa"/>
            <w:vAlign w:val="bottom"/>
          </w:tcPr>
          <w:p>
            <w:pPr>
              <w:spacing w:after="0"/>
              <w:rPr>
                <w:sz w:val="1"/>
                <w:szCs w:val="1"/>
                <w:color w:val="auto"/>
              </w:rPr>
            </w:pPr>
          </w:p>
        </w:tc>
      </w:tr>
      <w:tr>
        <w:trPr>
          <w:trHeight w:val="195"/>
        </w:trPr>
        <w:tc>
          <w:tcPr>
            <w:tcW w:w="6440" w:type="dxa"/>
            <w:vAlign w:val="bottom"/>
            <w:tcBorders>
              <w:bottom w:val="single" w:sz="8" w:color="CCEEFF"/>
            </w:tcBorders>
          </w:tcPr>
          <w:p>
            <w:pPr>
              <w:spacing w:after="0"/>
              <w:rPr>
                <w:sz w:val="16"/>
                <w:szCs w:val="16"/>
                <w:color w:val="auto"/>
              </w:rPr>
            </w:pPr>
          </w:p>
        </w:tc>
        <w:tc>
          <w:tcPr>
            <w:tcW w:w="15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36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581"/>
              <w:spacing w:after="0"/>
              <w:rPr>
                <w:sz w:val="20"/>
                <w:szCs w:val="20"/>
                <w:color w:val="auto"/>
              </w:rPr>
            </w:pPr>
            <w:r>
              <w:rPr>
                <w:rFonts w:ascii="Times New Roman" w:cs="Times New Roman" w:eastAsia="Times New Roman" w:hAnsi="Times New Roman"/>
                <w:sz w:val="14"/>
                <w:szCs w:val="14"/>
                <w:b w:val="1"/>
                <w:bCs w:val="1"/>
                <w:color w:val="auto"/>
              </w:rPr>
              <w:t>31, 2022</w:t>
            </w:r>
          </w:p>
        </w:tc>
        <w:tc>
          <w:tcPr>
            <w:tcW w:w="0" w:type="dxa"/>
            <w:vAlign w:val="bottom"/>
          </w:tcPr>
          <w:p>
            <w:pPr>
              <w:spacing w:after="0"/>
              <w:rPr>
                <w:sz w:val="1"/>
                <w:szCs w:val="1"/>
                <w:color w:val="auto"/>
              </w:rPr>
            </w:pPr>
          </w:p>
        </w:tc>
      </w:tr>
      <w:tr>
        <w:trPr>
          <w:trHeight w:val="228"/>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8,224</w:t>
            </w:r>
          </w:p>
        </w:tc>
        <w:tc>
          <w:tcPr>
            <w:tcW w:w="0" w:type="dxa"/>
            <w:vAlign w:val="bottom"/>
          </w:tcPr>
          <w:p>
            <w:pPr>
              <w:spacing w:after="0"/>
              <w:rPr>
                <w:sz w:val="1"/>
                <w:szCs w:val="1"/>
                <w:color w:val="auto"/>
              </w:rPr>
            </w:pPr>
          </w:p>
        </w:tc>
      </w:tr>
      <w:tr>
        <w:trPr>
          <w:trHeight w:val="229"/>
        </w:trPr>
        <w:tc>
          <w:tcPr>
            <w:tcW w:w="6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Change in fair value (1)</w:t>
            </w:r>
          </w:p>
        </w:tc>
        <w:tc>
          <w:tcPr>
            <w:tcW w:w="15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3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(2,543)</w:t>
            </w:r>
          </w:p>
        </w:tc>
        <w:tc>
          <w:tcPr>
            <w:tcW w:w="0" w:type="dxa"/>
            <w:vAlign w:val="bottom"/>
          </w:tcPr>
          <w:p>
            <w:pPr>
              <w:spacing w:after="0"/>
              <w:rPr>
                <w:sz w:val="1"/>
                <w:szCs w:val="1"/>
                <w:color w:val="auto"/>
              </w:rPr>
            </w:pPr>
          </w:p>
        </w:tc>
      </w:tr>
      <w:tr>
        <w:trPr>
          <w:trHeight w:val="248"/>
        </w:trPr>
        <w:tc>
          <w:tcPr>
            <w:tcW w:w="6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1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5,681</w:t>
            </w:r>
          </w:p>
        </w:tc>
        <w:tc>
          <w:tcPr>
            <w:tcW w:w="0" w:type="dxa"/>
            <w:vAlign w:val="bottom"/>
          </w:tcPr>
          <w:p>
            <w:pPr>
              <w:spacing w:after="0"/>
              <w:rPr>
                <w:sz w:val="1"/>
                <w:szCs w:val="1"/>
                <w:color w:val="auto"/>
              </w:rPr>
            </w:pPr>
          </w:p>
        </w:tc>
      </w:tr>
      <w:tr>
        <w:trPr>
          <w:trHeight w:val="20"/>
        </w:trPr>
        <w:tc>
          <w:tcPr>
            <w:tcW w:w="644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w:t>
      </w:r>
    </w:p>
    <w:p>
      <w:pPr>
        <w:spacing w:after="0" w:line="59" w:lineRule="exact"/>
        <w:rPr>
          <w:sz w:val="20"/>
          <w:szCs w:val="20"/>
          <w:color w:val="auto"/>
        </w:rPr>
      </w:pPr>
    </w:p>
    <w:p>
      <w:pPr>
        <w:ind w:left="580" w:right="1040" w:hanging="248"/>
        <w:spacing w:after="0" w:line="282" w:lineRule="auto"/>
        <w:tabs>
          <w:tab w:leader="none" w:pos="592"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fair value are recognized in the “Other income, net” line in the Condensed Consolidated Statements of Operations and Comprehensive Income (Loss).</w:t>
      </w:r>
    </w:p>
    <w:p>
      <w:pPr>
        <w:spacing w:after="0" w:line="216"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The fair value of the change-in-control put feature utilizes unobservable inputs based on the Company’s assessment of the probability of a change-in-control event occurring in a future period. The probability of a change-in-control event ranged from 3% to 10% as of March 31, 2022.</w:t>
      </w:r>
    </w:p>
    <w:p>
      <w:pPr>
        <w:spacing w:after="0" w:line="54"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fair value of the 2019 Warrants is determined using a valuation model that utilizes unobservable inputs to determine the probability that the 2019 Warrants will remain outstanding for future periods. The probabilities resulted in a weighted average term of 3.1 years as of March 31, 2022, and 3.6 years as of December 31, 2021.</w:t>
      </w:r>
    </w:p>
    <w:p>
      <w:pPr>
        <w:spacing w:after="0" w:line="68"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The fair value of the 2021 Warrants is determined using the observable market price of a share of our common stock, less the $0.01 per share exercise price.</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Swaps</w:t>
      </w:r>
    </w:p>
    <w:p>
      <w:pPr>
        <w:spacing w:after="0" w:line="11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We manage our exposure to fluctuations in interest rates using a mix of fixed and variable rate debt. We utilize fixed-rate interest rate swap agreements to change the variable interest rate to a fixed rate on a portion of our variable rate debt.</w:t>
      </w:r>
    </w:p>
    <w:p>
      <w:pPr>
        <w:spacing w:after="0" w:line="5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On July 22, 2021, we entered into a fixed-rate interest rate swap agreement to change the LIBOR-based component of the interest rate on a portion of our variable rate debt to a fixed rate of 1.291% (the “2021 Swap”). The 2021 Swap has a notional amount of $60.0 million and a maturity date of July 31, 2024. The objective of the 2021 Swap is to eliminate the variability of cash flows in interest payments on the first $60.0 million of variable rate debt attributable to changes in benchmark one-month LIBOR interest rates. The hedged risk is the interest rate risk exposure to changes in interest payments, attributable to changes in benchmark one-month LIBOR interest rates over the interest rate swap term. The changes in cash flows of the interest rate swap are expected to exactly offset changes in cash flows of the variable rate debt. We designated the 2021 Swap as a cash flow hedge at inception. Cash settlements of the 2021 Swap are recognized in interest expense.</w:t>
      </w:r>
    </w:p>
    <w:p>
      <w:pPr>
        <w:spacing w:after="0" w:line="8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On February 8, 2019, we entered into a $700.0 million fixed-rate interest rate swap agreement that changed the LIBOR-based portion of the interest rate on a portion of our variable rate debt to a fixed rate of 2.4575% (the “2019 Swap”). On March 22, 2021, we terminated the 2019 Swap with a $13.7 million cash payment in connection with the extinguishment of our previously outstanding long-term variable-rate debt. The 2019 Swap was designated as a cash flow hedge at inception. However, in the fourth quarter of 2020, the 2019 Swap no longer qualified as an effective hedge, and subsequent changes in fair value of the 2019 Swap were recognized in earnings. Amounts recognized in earnings related to the 2019 Swap are recorded in the “Loss on interest rate swap” line on the Condensed Consolidated Statements of Operations and Comprehensive Income (Loss) except</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that cash settlements prior to termination are recognized in “Derivative payments on interest rate swap.” Cash settlements during 2021 are presented in investing activities on the Condensed Consolidated Statements of Cash Flows.</w:t>
      </w:r>
    </w:p>
    <w:p>
      <w:pPr>
        <w:spacing w:after="0" w:line="54"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effect of the interest rate swaps on the Condensed Consolidated Statements of Operations and Comprehensive Income (Loss).</w:t>
      </w:r>
    </w:p>
    <w:p>
      <w:pPr>
        <w:spacing w:after="0" w:line="88" w:lineRule="exact"/>
        <w:rPr>
          <w:sz w:val="20"/>
          <w:szCs w:val="20"/>
          <w:color w:val="auto"/>
        </w:rPr>
      </w:pPr>
    </w:p>
    <w:p>
      <w:pPr>
        <w:jc w:val="center"/>
        <w:ind w:left="84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84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8480" w:type="dxa"/>
            <w:vAlign w:val="bottom"/>
            <w:tcBorders>
              <w:bottom w:val="single" w:sz="8" w:color="CCEEFF"/>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2022</w:t>
            </w:r>
          </w:p>
        </w:tc>
        <w:tc>
          <w:tcPr>
            <w:tcW w:w="38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9"/>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(1)</w:t>
            </w:r>
          </w:p>
        </w:tc>
        <w:tc>
          <w:tcPr>
            <w:tcW w:w="940" w:type="dxa"/>
            <w:vAlign w:val="bottom"/>
            <w:shd w:val="clear" w:color="auto" w:fill="CCEEFF"/>
          </w:tcPr>
          <w:p>
            <w:pPr>
              <w:jc w:val="right"/>
              <w:ind w:right="739"/>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 payments on interest rate swap (2)</w:t>
            </w:r>
          </w:p>
        </w:tc>
        <w:tc>
          <w:tcPr>
            <w:tcW w:w="940" w:type="dxa"/>
            <w:vAlign w:val="bottom"/>
          </w:tcPr>
          <w:p>
            <w:pPr>
              <w:spacing w:after="0"/>
              <w:rPr>
                <w:sz w:val="19"/>
                <w:szCs w:val="19"/>
                <w:color w:val="auto"/>
              </w:rPr>
            </w:pPr>
          </w:p>
        </w:tc>
        <w:tc>
          <w:tcPr>
            <w:tcW w:w="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1,717</w:t>
            </w:r>
          </w:p>
        </w:tc>
      </w:tr>
      <w:tr>
        <w:trPr>
          <w:trHeight w:val="229"/>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interest rate swap (2)</w:t>
            </w:r>
          </w:p>
        </w:tc>
        <w:tc>
          <w:tcPr>
            <w:tcW w:w="94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2,033</w:t>
            </w: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w:t>
      </w:r>
    </w:p>
    <w:p>
      <w:pPr>
        <w:spacing w:after="0" w:line="59" w:lineRule="exact"/>
        <w:rPr>
          <w:sz w:val="20"/>
          <w:szCs w:val="20"/>
          <w:color w:val="auto"/>
        </w:rPr>
      </w:pPr>
    </w:p>
    <w:p>
      <w:pPr>
        <w:ind w:left="580" w:hanging="248"/>
        <w:spacing w:after="0"/>
        <w:tabs>
          <w:tab w:leader="none" w:pos="5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settlements on the interest rate swaps while the hedges are effective.</w:t>
      </w:r>
    </w:p>
    <w:p>
      <w:pPr>
        <w:spacing w:after="0" w:line="63"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settlements and changes in fair value on the 2019 Swap.</w:t>
      </w:r>
    </w:p>
    <w:p>
      <w:pPr>
        <w:spacing w:after="0" w:line="225"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The following tables present the assets and liabilities measured at fair value on a recurring basis for the interest rate swaps as of March 31, 2022 and December 31, 2021.</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20" w:type="dxa"/>
            <w:vAlign w:val="bottom"/>
            <w:gridSpan w:val="7"/>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Fair Value Measurements as of March 31, 2022</w:t>
            </w:r>
          </w:p>
        </w:tc>
        <w:tc>
          <w:tcPr>
            <w:tcW w:w="0" w:type="dxa"/>
            <w:vAlign w:val="bottom"/>
          </w:tcPr>
          <w:p>
            <w:pPr>
              <w:spacing w:after="0"/>
              <w:rPr>
                <w:sz w:val="1"/>
                <w:szCs w:val="1"/>
                <w:color w:val="auto"/>
              </w:rPr>
            </w:pPr>
          </w:p>
        </w:tc>
      </w:tr>
      <w:tr>
        <w:trPr>
          <w:trHeight w:val="23"/>
        </w:trPr>
        <w:tc>
          <w:tcPr>
            <w:tcW w:w="6300" w:type="dxa"/>
            <w:vAlign w:val="bottom"/>
          </w:tcPr>
          <w:p>
            <w:pPr>
              <w:spacing w:after="0"/>
              <w:rPr>
                <w:sz w:val="2"/>
                <w:szCs w:val="2"/>
                <w:color w:val="auto"/>
              </w:rPr>
            </w:pPr>
          </w:p>
        </w:tc>
        <w:tc>
          <w:tcPr>
            <w:tcW w:w="1680" w:type="dxa"/>
            <w:vAlign w:val="bottom"/>
            <w:tcBorders>
              <w:bottom w:val="single" w:sz="8" w:color="auto"/>
            </w:tcBorders>
            <w:gridSpan w:val="3"/>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6300" w:type="dxa"/>
            <w:vAlign w:val="bottom"/>
          </w:tcPr>
          <w:p>
            <w:pPr>
              <w:spacing w:after="0"/>
              <w:rPr>
                <w:sz w:val="11"/>
                <w:szCs w:val="11"/>
                <w:color w:val="auto"/>
              </w:rPr>
            </w:pPr>
          </w:p>
        </w:tc>
        <w:tc>
          <w:tcPr>
            <w:tcW w:w="1680" w:type="dxa"/>
            <w:vAlign w:val="bottom"/>
            <w:gridSpan w:val="3"/>
          </w:tcPr>
          <w:p>
            <w:pPr>
              <w:jc w:val="center"/>
              <w:ind w:right="120"/>
              <w:spacing w:after="0" w:line="131" w:lineRule="exact"/>
              <w:rPr>
                <w:sz w:val="20"/>
                <w:szCs w:val="20"/>
                <w:color w:val="auto"/>
              </w:rPr>
            </w:pPr>
            <w:r>
              <w:rPr>
                <w:rFonts w:ascii="Times New Roman" w:cs="Times New Roman" w:eastAsia="Times New Roman" w:hAnsi="Times New Roman"/>
                <w:sz w:val="14"/>
                <w:szCs w:val="14"/>
                <w:b w:val="1"/>
                <w:bCs w:val="1"/>
                <w:color w:val="auto"/>
              </w:rPr>
              <w:t>Quoted Prices in Active</w:t>
            </w:r>
          </w:p>
        </w:tc>
        <w:tc>
          <w:tcPr>
            <w:tcW w:w="160" w:type="dxa"/>
            <w:vAlign w:val="bottom"/>
          </w:tcPr>
          <w:p>
            <w:pPr>
              <w:spacing w:after="0"/>
              <w:rPr>
                <w:sz w:val="11"/>
                <w:szCs w:val="11"/>
                <w:color w:val="auto"/>
              </w:rPr>
            </w:pPr>
          </w:p>
        </w:tc>
        <w:tc>
          <w:tcPr>
            <w:tcW w:w="1520" w:type="dxa"/>
            <w:vAlign w:val="bottom"/>
            <w:gridSpan w:val="2"/>
          </w:tcPr>
          <w:p>
            <w:pPr>
              <w:jc w:val="center"/>
              <w:ind w:right="280"/>
              <w:spacing w:after="0" w:line="131" w:lineRule="exact"/>
              <w:rPr>
                <w:sz w:val="20"/>
                <w:szCs w:val="20"/>
                <w:color w:val="auto"/>
              </w:rPr>
            </w:pPr>
            <w:r>
              <w:rPr>
                <w:rFonts w:ascii="Times New Roman" w:cs="Times New Roman" w:eastAsia="Times New Roman" w:hAnsi="Times New Roman"/>
                <w:sz w:val="14"/>
                <w:szCs w:val="14"/>
                <w:b w:val="1"/>
                <w:bCs w:val="1"/>
                <w:color w:val="auto"/>
              </w:rPr>
              <w:t>Significant Other</w:t>
            </w:r>
          </w:p>
        </w:tc>
        <w:tc>
          <w:tcPr>
            <w:tcW w:w="120" w:type="dxa"/>
            <w:vAlign w:val="bottom"/>
          </w:tcPr>
          <w:p>
            <w:pPr>
              <w:spacing w:after="0"/>
              <w:rPr>
                <w:sz w:val="11"/>
                <w:szCs w:val="11"/>
                <w:color w:val="auto"/>
              </w:rPr>
            </w:pPr>
          </w:p>
        </w:tc>
        <w:tc>
          <w:tcPr>
            <w:tcW w:w="1460" w:type="dxa"/>
            <w:vAlign w:val="bottom"/>
          </w:tcPr>
          <w:p>
            <w:pPr>
              <w:jc w:val="center"/>
              <w:ind w:right="39"/>
              <w:spacing w:after="0" w:line="131" w:lineRule="exact"/>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48"/>
        </w:trPr>
        <w:tc>
          <w:tcPr>
            <w:tcW w:w="63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20" w:type="dxa"/>
            <w:vAlign w:val="bottom"/>
          </w:tcPr>
          <w:p>
            <w:pPr>
              <w:spacing w:after="0"/>
              <w:rPr>
                <w:sz w:val="12"/>
                <w:szCs w:val="12"/>
                <w:color w:val="auto"/>
              </w:rPr>
            </w:pPr>
          </w:p>
        </w:tc>
        <w:tc>
          <w:tcPr>
            <w:tcW w:w="15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Markets for Identical</w:t>
            </w:r>
          </w:p>
        </w:tc>
        <w:tc>
          <w:tcPr>
            <w:tcW w:w="160" w:type="dxa"/>
            <w:vAlign w:val="bottom"/>
          </w:tcPr>
          <w:p>
            <w:pPr>
              <w:spacing w:after="0"/>
              <w:rPr>
                <w:sz w:val="12"/>
                <w:szCs w:val="12"/>
                <w:color w:val="auto"/>
              </w:rPr>
            </w:pPr>
          </w:p>
        </w:tc>
        <w:tc>
          <w:tcPr>
            <w:tcW w:w="15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Observable Inputs</w:t>
            </w:r>
          </w:p>
        </w:tc>
        <w:tc>
          <w:tcPr>
            <w:tcW w:w="120" w:type="dxa"/>
            <w:vAlign w:val="bottom"/>
          </w:tcPr>
          <w:p>
            <w:pPr>
              <w:spacing w:after="0"/>
              <w:rPr>
                <w:sz w:val="12"/>
                <w:szCs w:val="12"/>
                <w:color w:val="auto"/>
              </w:rPr>
            </w:pPr>
          </w:p>
        </w:tc>
        <w:tc>
          <w:tcPr>
            <w:tcW w:w="1460" w:type="dxa"/>
            <w:vAlign w:val="bottom"/>
          </w:tcPr>
          <w:p>
            <w:pPr>
              <w:jc w:val="center"/>
              <w:ind w:right="39"/>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 Inputs</w:t>
            </w:r>
          </w:p>
        </w:tc>
        <w:tc>
          <w:tcPr>
            <w:tcW w:w="0" w:type="dxa"/>
            <w:vAlign w:val="bottom"/>
          </w:tcPr>
          <w:p>
            <w:pPr>
              <w:spacing w:after="0"/>
              <w:rPr>
                <w:sz w:val="1"/>
                <w:szCs w:val="1"/>
                <w:color w:val="auto"/>
              </w:rPr>
            </w:pPr>
          </w:p>
        </w:tc>
      </w:tr>
      <w:tr>
        <w:trPr>
          <w:trHeight w:val="195"/>
        </w:trPr>
        <w:tc>
          <w:tcPr>
            <w:tcW w:w="63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Assets (Level 1)</w:t>
            </w:r>
          </w:p>
        </w:tc>
        <w:tc>
          <w:tcPr>
            <w:tcW w:w="160" w:type="dxa"/>
            <w:vAlign w:val="bottom"/>
          </w:tcPr>
          <w:p>
            <w:pPr>
              <w:spacing w:after="0"/>
              <w:rPr>
                <w:sz w:val="16"/>
                <w:szCs w:val="16"/>
                <w:color w:val="auto"/>
              </w:rPr>
            </w:pPr>
          </w:p>
        </w:tc>
        <w:tc>
          <w:tcPr>
            <w:tcW w:w="15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20" w:type="dxa"/>
            <w:vAlign w:val="bottom"/>
          </w:tcPr>
          <w:p>
            <w:pPr>
              <w:spacing w:after="0"/>
              <w:rPr>
                <w:sz w:val="16"/>
                <w:szCs w:val="16"/>
                <w:color w:val="auto"/>
              </w:rPr>
            </w:pPr>
          </w:p>
        </w:tc>
        <w:tc>
          <w:tcPr>
            <w:tcW w:w="146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28"/>
        </w:trPr>
        <w:tc>
          <w:tcPr>
            <w:tcW w:w="63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 asset - other current assets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 asset - other non-current assets</w:t>
            </w:r>
          </w:p>
        </w:tc>
        <w:tc>
          <w:tcPr>
            <w:tcW w:w="120" w:type="dxa"/>
            <w:vAlign w:val="bottom"/>
          </w:tcPr>
          <w:p>
            <w:pPr>
              <w:spacing w:after="0"/>
              <w:rPr>
                <w:sz w:val="19"/>
                <w:szCs w:val="19"/>
                <w:color w:val="auto"/>
              </w:rPr>
            </w:pPr>
          </w:p>
        </w:tc>
        <w:tc>
          <w:tcPr>
            <w:tcW w:w="156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63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bottom w:val="single" w:sz="8" w:color="auto"/>
            </w:tcBorders>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bottom w:val="single" w:sz="8" w:color="auto"/>
            </w:tcBorders>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6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6"/>
        </w:trPr>
        <w:tc>
          <w:tcPr>
            <w:tcW w:w="6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20" w:type="dxa"/>
            <w:vAlign w:val="bottom"/>
            <w:gridSpan w:val="7"/>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Fair Value Measurements as of December 31, 2021</w:t>
            </w:r>
          </w:p>
        </w:tc>
        <w:tc>
          <w:tcPr>
            <w:tcW w:w="0" w:type="dxa"/>
            <w:vAlign w:val="bottom"/>
          </w:tcPr>
          <w:p>
            <w:pPr>
              <w:spacing w:after="0"/>
              <w:rPr>
                <w:sz w:val="1"/>
                <w:szCs w:val="1"/>
                <w:color w:val="auto"/>
              </w:rPr>
            </w:pPr>
          </w:p>
        </w:tc>
      </w:tr>
      <w:tr>
        <w:trPr>
          <w:trHeight w:val="23"/>
        </w:trPr>
        <w:tc>
          <w:tcPr>
            <w:tcW w:w="6300" w:type="dxa"/>
            <w:vAlign w:val="bottom"/>
          </w:tcPr>
          <w:p>
            <w:pPr>
              <w:spacing w:after="0"/>
              <w:rPr>
                <w:sz w:val="2"/>
                <w:szCs w:val="2"/>
                <w:color w:val="auto"/>
              </w:rPr>
            </w:pPr>
          </w:p>
        </w:tc>
        <w:tc>
          <w:tcPr>
            <w:tcW w:w="1680" w:type="dxa"/>
            <w:vAlign w:val="bottom"/>
            <w:tcBorders>
              <w:bottom w:val="single" w:sz="8" w:color="auto"/>
            </w:tcBorders>
            <w:gridSpan w:val="3"/>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6300" w:type="dxa"/>
            <w:vAlign w:val="bottom"/>
          </w:tcPr>
          <w:p>
            <w:pPr>
              <w:spacing w:after="0"/>
              <w:rPr>
                <w:sz w:val="11"/>
                <w:szCs w:val="11"/>
                <w:color w:val="auto"/>
              </w:rPr>
            </w:pPr>
          </w:p>
        </w:tc>
        <w:tc>
          <w:tcPr>
            <w:tcW w:w="1680" w:type="dxa"/>
            <w:vAlign w:val="bottom"/>
            <w:gridSpan w:val="3"/>
          </w:tcPr>
          <w:p>
            <w:pPr>
              <w:jc w:val="center"/>
              <w:ind w:right="120"/>
              <w:spacing w:after="0" w:line="131" w:lineRule="exact"/>
              <w:rPr>
                <w:sz w:val="20"/>
                <w:szCs w:val="20"/>
                <w:color w:val="auto"/>
              </w:rPr>
            </w:pPr>
            <w:r>
              <w:rPr>
                <w:rFonts w:ascii="Times New Roman" w:cs="Times New Roman" w:eastAsia="Times New Roman" w:hAnsi="Times New Roman"/>
                <w:sz w:val="14"/>
                <w:szCs w:val="14"/>
                <w:b w:val="1"/>
                <w:bCs w:val="1"/>
                <w:color w:val="auto"/>
              </w:rPr>
              <w:t>Quoted Prices in Active</w:t>
            </w:r>
          </w:p>
        </w:tc>
        <w:tc>
          <w:tcPr>
            <w:tcW w:w="160" w:type="dxa"/>
            <w:vAlign w:val="bottom"/>
          </w:tcPr>
          <w:p>
            <w:pPr>
              <w:spacing w:after="0"/>
              <w:rPr>
                <w:sz w:val="11"/>
                <w:szCs w:val="11"/>
                <w:color w:val="auto"/>
              </w:rPr>
            </w:pPr>
          </w:p>
        </w:tc>
        <w:tc>
          <w:tcPr>
            <w:tcW w:w="1520" w:type="dxa"/>
            <w:vAlign w:val="bottom"/>
            <w:gridSpan w:val="2"/>
          </w:tcPr>
          <w:p>
            <w:pPr>
              <w:jc w:val="center"/>
              <w:ind w:right="280"/>
              <w:spacing w:after="0" w:line="131" w:lineRule="exact"/>
              <w:rPr>
                <w:sz w:val="20"/>
                <w:szCs w:val="20"/>
                <w:color w:val="auto"/>
              </w:rPr>
            </w:pPr>
            <w:r>
              <w:rPr>
                <w:rFonts w:ascii="Times New Roman" w:cs="Times New Roman" w:eastAsia="Times New Roman" w:hAnsi="Times New Roman"/>
                <w:sz w:val="14"/>
                <w:szCs w:val="14"/>
                <w:b w:val="1"/>
                <w:bCs w:val="1"/>
                <w:color w:val="auto"/>
              </w:rPr>
              <w:t>Significant Other</w:t>
            </w:r>
          </w:p>
        </w:tc>
        <w:tc>
          <w:tcPr>
            <w:tcW w:w="120" w:type="dxa"/>
            <w:vAlign w:val="bottom"/>
          </w:tcPr>
          <w:p>
            <w:pPr>
              <w:spacing w:after="0"/>
              <w:rPr>
                <w:sz w:val="11"/>
                <w:szCs w:val="11"/>
                <w:color w:val="auto"/>
              </w:rPr>
            </w:pPr>
          </w:p>
        </w:tc>
        <w:tc>
          <w:tcPr>
            <w:tcW w:w="1460" w:type="dxa"/>
            <w:vAlign w:val="bottom"/>
          </w:tcPr>
          <w:p>
            <w:pPr>
              <w:jc w:val="center"/>
              <w:ind w:right="39"/>
              <w:spacing w:after="0" w:line="131" w:lineRule="exact"/>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46"/>
        </w:trPr>
        <w:tc>
          <w:tcPr>
            <w:tcW w:w="63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20" w:type="dxa"/>
            <w:vAlign w:val="bottom"/>
          </w:tcPr>
          <w:p>
            <w:pPr>
              <w:spacing w:after="0"/>
              <w:rPr>
                <w:sz w:val="12"/>
                <w:szCs w:val="12"/>
                <w:color w:val="auto"/>
              </w:rPr>
            </w:pPr>
          </w:p>
        </w:tc>
        <w:tc>
          <w:tcPr>
            <w:tcW w:w="1560" w:type="dxa"/>
            <w:vAlign w:val="bottom"/>
            <w:gridSpan w:val="2"/>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rPr>
              <w:t>Markets for Identical</w:t>
            </w:r>
          </w:p>
        </w:tc>
        <w:tc>
          <w:tcPr>
            <w:tcW w:w="160" w:type="dxa"/>
            <w:vAlign w:val="bottom"/>
          </w:tcPr>
          <w:p>
            <w:pPr>
              <w:spacing w:after="0"/>
              <w:rPr>
                <w:sz w:val="12"/>
                <w:szCs w:val="12"/>
                <w:color w:val="auto"/>
              </w:rPr>
            </w:pPr>
          </w:p>
        </w:tc>
        <w:tc>
          <w:tcPr>
            <w:tcW w:w="1520" w:type="dxa"/>
            <w:vAlign w:val="bottom"/>
            <w:gridSpan w:val="2"/>
          </w:tcPr>
          <w:p>
            <w:pPr>
              <w:jc w:val="center"/>
              <w:ind w:right="260"/>
              <w:spacing w:after="0" w:line="146" w:lineRule="exact"/>
              <w:rPr>
                <w:sz w:val="20"/>
                <w:szCs w:val="20"/>
                <w:color w:val="auto"/>
              </w:rPr>
            </w:pPr>
            <w:r>
              <w:rPr>
                <w:rFonts w:ascii="Times New Roman" w:cs="Times New Roman" w:eastAsia="Times New Roman" w:hAnsi="Times New Roman"/>
                <w:sz w:val="14"/>
                <w:szCs w:val="14"/>
                <w:b w:val="1"/>
                <w:bCs w:val="1"/>
                <w:color w:val="auto"/>
              </w:rPr>
              <w:t>Observable Inputs</w:t>
            </w:r>
          </w:p>
        </w:tc>
        <w:tc>
          <w:tcPr>
            <w:tcW w:w="120" w:type="dxa"/>
            <w:vAlign w:val="bottom"/>
          </w:tcPr>
          <w:p>
            <w:pPr>
              <w:spacing w:after="0"/>
              <w:rPr>
                <w:sz w:val="12"/>
                <w:szCs w:val="12"/>
                <w:color w:val="auto"/>
              </w:rPr>
            </w:pPr>
          </w:p>
        </w:tc>
        <w:tc>
          <w:tcPr>
            <w:tcW w:w="1460" w:type="dxa"/>
            <w:vAlign w:val="bottom"/>
          </w:tcPr>
          <w:p>
            <w:pPr>
              <w:jc w:val="center"/>
              <w:ind w:right="39"/>
              <w:spacing w:after="0" w:line="146" w:lineRule="exact"/>
              <w:rPr>
                <w:sz w:val="20"/>
                <w:szCs w:val="20"/>
                <w:color w:val="auto"/>
              </w:rPr>
            </w:pPr>
            <w:r>
              <w:rPr>
                <w:rFonts w:ascii="Times New Roman" w:cs="Times New Roman" w:eastAsia="Times New Roman" w:hAnsi="Times New Roman"/>
                <w:sz w:val="14"/>
                <w:szCs w:val="14"/>
                <w:b w:val="1"/>
                <w:bCs w:val="1"/>
                <w:color w:val="auto"/>
              </w:rPr>
              <w:t>Unobservable Inputs</w:t>
            </w:r>
          </w:p>
        </w:tc>
        <w:tc>
          <w:tcPr>
            <w:tcW w:w="0" w:type="dxa"/>
            <w:vAlign w:val="bottom"/>
          </w:tcPr>
          <w:p>
            <w:pPr>
              <w:spacing w:after="0"/>
              <w:rPr>
                <w:sz w:val="1"/>
                <w:szCs w:val="1"/>
                <w:color w:val="auto"/>
              </w:rPr>
            </w:pPr>
          </w:p>
        </w:tc>
      </w:tr>
      <w:tr>
        <w:trPr>
          <w:trHeight w:val="196"/>
        </w:trPr>
        <w:tc>
          <w:tcPr>
            <w:tcW w:w="63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Assets (Level 1)</w:t>
            </w:r>
          </w:p>
        </w:tc>
        <w:tc>
          <w:tcPr>
            <w:tcW w:w="160" w:type="dxa"/>
            <w:vAlign w:val="bottom"/>
          </w:tcPr>
          <w:p>
            <w:pPr>
              <w:spacing w:after="0"/>
              <w:rPr>
                <w:sz w:val="17"/>
                <w:szCs w:val="17"/>
                <w:color w:val="auto"/>
              </w:rPr>
            </w:pPr>
          </w:p>
        </w:tc>
        <w:tc>
          <w:tcPr>
            <w:tcW w:w="15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20" w:type="dxa"/>
            <w:vAlign w:val="bottom"/>
          </w:tcPr>
          <w:p>
            <w:pPr>
              <w:spacing w:after="0"/>
              <w:rPr>
                <w:sz w:val="17"/>
                <w:szCs w:val="17"/>
                <w:color w:val="auto"/>
              </w:rPr>
            </w:pPr>
          </w:p>
        </w:tc>
        <w:tc>
          <w:tcPr>
            <w:tcW w:w="146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29"/>
        </w:trPr>
        <w:tc>
          <w:tcPr>
            <w:tcW w:w="63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 asset - other non-current assets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 liability - other current liabilities</w:t>
            </w:r>
          </w:p>
        </w:tc>
        <w:tc>
          <w:tcPr>
            <w:tcW w:w="120" w:type="dxa"/>
            <w:vAlign w:val="bottom"/>
          </w:tcPr>
          <w:p>
            <w:pPr>
              <w:spacing w:after="0"/>
              <w:rPr>
                <w:sz w:val="19"/>
                <w:szCs w:val="19"/>
                <w:color w:val="auto"/>
              </w:rPr>
            </w:pPr>
          </w:p>
        </w:tc>
        <w:tc>
          <w:tcPr>
            <w:tcW w:w="156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63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bottom w:val="single" w:sz="8" w:color="auto"/>
            </w:tcBorders>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bottom w:val="single" w:sz="8" w:color="auto"/>
            </w:tcBorders>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6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The inputs for determining fair value of the interest rate swaps are classified as Level 2 inputs. Level 2 fair value is based on estimates using standard pricing models. These standard pricing models use inputs which are derived from or corroborated by observable market data such as interest rate yield curves, index forward curves, discount curves, and volatility surfaces. Counterparty to this derivative contract is a highly rated financial institution which we believe carries only a minimal risk of nonperformance.</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Fixed Rate Debt</w:t>
      </w:r>
    </w:p>
    <w:p>
      <w:pPr>
        <w:spacing w:after="0" w:line="11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fair value of our outstanding fixed-rate debt included in the “International lines of credit and other loans” line item within Note 7 to these Notes to Condensed Consolidated Financial Statements approximated carrying value as of March 31, 2022 and December 31, 2021, respectively. These fair values represent Level 2 under the three-tier hierarchy described above. The carrying value of this fixed-rate debt was $10.3 million and $10.9 million as of March 31, 2022 and December 31, 2021,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7"/>
          <w:szCs w:val="17"/>
          <w:color w:val="auto"/>
        </w:rPr>
        <w:t>NN, Inc. is a global diversified industrial company that combines advanced engineering and production capabilities with in-depth materials science expertise to design and manufacture high-precision components and assemblies primarily for the electrical, automotive, general industrial, aerospace, defense, and medical markets. As used in this Quarterly Report, the terms “NN,” the “Company,” “we,” “our,” or “us” refer to NN, Inc. and its subsidiaries.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This Quarterly Report contains forward-looking statements that are made pursuant to the safe harbor provisions of the Private Securities Litigation Reform Act of 1995. These statements may discuss goals, intentions and expectations as to future trends, plans, events, results of operations or financial condition, or state other information relating to NN, Inc., based on current beliefs of management as well as assumptions made by, and information currently available to, management. Forward-looking statements generally will be accompanied by words such as “anticipate,” “believe,” “could,” “estimate,” “expect,” “forecast,” “guidance,” “intend,” “may,” “possible,” “potential,” “predict,” “project” or other similar words, phrases or expressions. Forward-looking statements involve a number of risks and uncertainties that are outside of management’s control and that may cause actual results to be materially different from such forward-looking statements. Such factors include, among others, general economic conditions and economic conditions in the industrial sector; the impacts of the COVID-19 pandemic on our financial condition, business operations and liquidity; competitive influences; risks that current customers will commence or increase captive production; risks of capacity underutilization; quality issues; material changes in the costs and availability of raw materials; economic, social, political and geopolitical instability, currency fluctuation, and other risks of doing business outside of the United States; our dependence on certain major customers, some of whom are not parties to long-term agreements (and/or are terminable on short notice); the impact of acquisitions and divestitures; the level of our indebtedness; the restrictions contained in our debt agreements; our ability to obtain financing at favorable rates, if at all, and to refinance existing debt as it matures; unanticipated difficulties integrating acquisitions; new laws and governmental regulations; the impact of climate change on our operations; cyber liability or potential liability for breaches of our or our service providers’ information technology systems or business operations disruptions; and other risk factors and cautionary statements listed from time-to-time in our periodic reports filed with the Securities and Exchange Commission. We disclaim any obligation to update any such factors or to publicly announce the result of any revisions to any of the forward-looking statements included herein or therein to reflect future events or developments.</w:t>
      </w:r>
    </w:p>
    <w:p>
      <w:pPr>
        <w:spacing w:after="0" w:line="85"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For additional information concerning such risk factors and cautionary statements, please see the sections titled “Item 1A. Risk Factors” in the 2021 Annual Report and this Quarterly Report.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Factors That May Influence Results of Operations</w:t>
      </w:r>
    </w:p>
    <w:p>
      <w:pPr>
        <w:spacing w:after="0" w:line="11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following paragraphs describe factors that have influenced results of operations for the three months ended March 31, 2022, that management believes are important to provide an understanding of the business and results of operations or that may influence operations in the future.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Global COVID-19 Pandemic</w:t>
      </w:r>
    </w:p>
    <w:p>
      <w:pPr>
        <w:spacing w:after="0" w:line="117"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Although the United States and global economy continue to recover from the COVID-19 pandemic, we cannot predict when a full economic recovery will occur. The impact of new and more easily transmitted variants of COVID-19, such as the Delta and Omicron variants, cannot be predicted at this time and could depend on numerous factors, including vaccination rates among the population, the effectiveness of COVID-19 vaccines against any new variants, and the response by governmental bodies and regulators. Further surges in COVID-19 infection rates could result in the reinstatement of directives and mandates requiring businesses to again curtail or cease normal operations.</w:t>
      </w:r>
    </w:p>
    <w:p>
      <w:pPr>
        <w:spacing w:after="0" w:line="75"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spread of COVID-19 and the responses thereto have created a disruption in the manufacturing, delivery, and overall supply chain of automobile manufacturers and suppliers, as well as disruption within the power industry. Global vehicle production decreased significantly in 2020, but production ramped back up in 2021. However, production continues to be impacted by disruptions of global supply chains, which have caused challenges in obtaining raw materials we use in the manufacture of some of our products. In addition, power shortages in China have resulted in widespread blackouts, often without any or little notice. These blackouts caused us and other manufacturers in the region to shut down production until power was restored. Supply chain and COVID-19 related disruptions are expected to continue during 2022.</w:t>
      </w:r>
    </w:p>
    <w:p>
      <w:pPr>
        <w:spacing w:after="0" w:line="79"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Inflation triggered by the unprecedented economic impact of the COVID-19 pandemic has increased our manufacturing cost, particularly labor and materials, and is expected to continue into future periods. A worldwide semiconductor chip shortage</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continues to affect automotive original equipment manufacturers, causing unpredictable volumes. The rapid development and fluidity of the situation precludes any prediction as to the ultimate impact COVID-19 will have on our business, financial condition, results of operations, and cash flows, which will depend largely on future developments directly or indirectly relating to the duration and scope of the COVID-19 pandemic.</w:t>
      </w:r>
    </w:p>
    <w:p>
      <w:pPr>
        <w:spacing w:after="0" w:line="68"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While managing decreased demand in many regions across the globe, we are now operating at all of our business locations. We have implemented training and recruiting programs to address labor shortages. We are focused on the health and safety of our employees, customers, and suppliers. We have developed and implemented processes to ensure a safe environment for our employees and any visitors to our facilities, including providing personal protective equipment and establishing social distancing protocols.</w:t>
      </w:r>
    </w:p>
    <w:p>
      <w:pPr>
        <w:spacing w:after="0" w:line="72"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These processes include recommendations based on guidelines from the Centers for Disease Control and Prevention and the World Health Organization. The health and safety of our employees remains our top priority. While we are actively promoting vaccination among our employees, vaccination status may affect workforce availability ranging from absences for vaccinations, booster shots, and recovery from side-effects. Significant workforce availability challenges could have a material effect on our business operations, financial results, liquidity, and financial position.</w:t>
      </w:r>
    </w:p>
    <w:p>
      <w:pPr>
        <w:spacing w:after="0" w:line="72"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We have undertaken a number of permanent and temporary actions to manage the evolving situation. We continue to streamline facilities and implement cost savings initiatives. Capital expenditures and travel costs remain at relatively low levels.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Three Months Ended March 31, 2022 compared to the Three Months Ended March 31, 2021</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Consolidated Results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60" w:type="dxa"/>
            <w:vAlign w:val="bottom"/>
            <w:gridSpan w:val="5"/>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700" w:type="dxa"/>
            <w:vAlign w:val="bottom"/>
          </w:tcPr>
          <w:p>
            <w:pPr>
              <w:spacing w:after="0"/>
              <w:rPr>
                <w:sz w:val="16"/>
                <w:szCs w:val="16"/>
                <w:color w:val="auto"/>
              </w:rPr>
            </w:pPr>
          </w:p>
        </w:tc>
      </w:tr>
      <w:tr>
        <w:trPr>
          <w:trHeight w:val="23"/>
        </w:trPr>
        <w:tc>
          <w:tcPr>
            <w:tcW w:w="62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190"/>
        </w:trPr>
        <w:tc>
          <w:tcPr>
            <w:tcW w:w="62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700" w:type="dxa"/>
            <w:vAlign w:val="bottom"/>
            <w:tcBorders>
              <w:bottom w:val="single" w:sz="8" w:color="auto"/>
            </w:tcBorders>
          </w:tcPr>
          <w:p>
            <w:pPr>
              <w:spacing w:after="0"/>
              <w:rPr>
                <w:sz w:val="16"/>
                <w:szCs w:val="16"/>
                <w:color w:val="auto"/>
              </w:rPr>
            </w:pPr>
          </w:p>
        </w:tc>
      </w:tr>
      <w:tr>
        <w:trPr>
          <w:trHeight w:val="229"/>
        </w:trPr>
        <w:tc>
          <w:tcPr>
            <w:tcW w:w="6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sales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128,067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126,804</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1,263</w:t>
            </w:r>
          </w:p>
        </w:tc>
        <w:tc>
          <w:tcPr>
            <w:tcW w:w="5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r>
      <w:tr>
        <w:trPr>
          <w:trHeight w:val="229"/>
        </w:trPr>
        <w:tc>
          <w:tcPr>
            <w:tcW w:w="6220" w:type="dxa"/>
            <w:vAlign w:val="bottom"/>
          </w:tcPr>
          <w:p>
            <w:pPr>
              <w:ind w:left="560"/>
              <w:spacing w:after="0"/>
              <w:rPr>
                <w:sz w:val="20"/>
                <w:szCs w:val="20"/>
                <w:color w:val="auto"/>
              </w:rPr>
            </w:pPr>
            <w:r>
              <w:rPr>
                <w:rFonts w:ascii="Times New Roman" w:cs="Times New Roman" w:eastAsia="Times New Roman" w:hAnsi="Times New Roman"/>
                <w:sz w:val="18"/>
                <w:szCs w:val="18"/>
                <w:i w:val="1"/>
                <w:iCs w:val="1"/>
                <w:color w:val="auto"/>
              </w:rPr>
              <w:t>Organic growth</w:t>
            </w: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i w:val="1"/>
                <w:iCs w:val="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1,104</w:t>
            </w:r>
          </w:p>
        </w:tc>
      </w:tr>
      <w:tr>
        <w:trPr>
          <w:trHeight w:val="230"/>
        </w:trPr>
        <w:tc>
          <w:tcPr>
            <w:tcW w:w="62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i w:val="1"/>
                <w:iCs w:val="1"/>
                <w:color w:val="auto"/>
              </w:rPr>
              <w:t>Foreign exchange effects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159</w:t>
            </w:r>
          </w:p>
        </w:tc>
      </w:tr>
      <w:tr>
        <w:trPr>
          <w:trHeight w:val="175"/>
        </w:trPr>
        <w:tc>
          <w:tcPr>
            <w:tcW w:w="6220" w:type="dxa"/>
            <w:vAlign w:val="bottom"/>
          </w:tcPr>
          <w:p>
            <w:pPr>
              <w:ind w:left="220"/>
              <w:spacing w:after="0" w:line="176" w:lineRule="exact"/>
              <w:rPr>
                <w:sz w:val="20"/>
                <w:szCs w:val="20"/>
                <w:color w:val="auto"/>
              </w:rPr>
            </w:pPr>
            <w:r>
              <w:rPr>
                <w:rFonts w:ascii="Times New Roman" w:cs="Times New Roman" w:eastAsia="Times New Roman" w:hAnsi="Times New Roman"/>
                <w:sz w:val="18"/>
                <w:szCs w:val="18"/>
                <w:color w:val="auto"/>
              </w:rPr>
              <w:t>Cost of sales (exclusive of depreciation and amortization shown separately</w:t>
            </w: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243"/>
        </w:trPr>
        <w:tc>
          <w:tcPr>
            <w:tcW w:w="6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below)</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104,578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99,688</w:t>
            </w:r>
          </w:p>
        </w:tc>
        <w:tc>
          <w:tcPr>
            <w:tcW w:w="12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4,890</w:t>
            </w:r>
          </w:p>
        </w:tc>
        <w:tc>
          <w:tcPr>
            <w:tcW w:w="500" w:type="dxa"/>
            <w:vAlign w:val="bottom"/>
          </w:tcPr>
          <w:p>
            <w:pPr>
              <w:spacing w:after="0"/>
              <w:rPr>
                <w:sz w:val="21"/>
                <w:szCs w:val="21"/>
                <w:color w:val="auto"/>
              </w:rPr>
            </w:pPr>
          </w:p>
        </w:tc>
        <w:tc>
          <w:tcPr>
            <w:tcW w:w="700" w:type="dxa"/>
            <w:vAlign w:val="bottom"/>
          </w:tcPr>
          <w:p>
            <w:pPr>
              <w:spacing w:after="0"/>
              <w:rPr>
                <w:sz w:val="21"/>
                <w:szCs w:val="21"/>
                <w:color w:val="auto"/>
              </w:rPr>
            </w:pPr>
          </w:p>
        </w:tc>
      </w:tr>
      <w:tr>
        <w:trPr>
          <w:trHeight w:val="229"/>
        </w:trPr>
        <w:tc>
          <w:tcPr>
            <w:tcW w:w="6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Selling, general, and administrative expense</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13,454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14,575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(1,121)</w:t>
            </w:r>
          </w:p>
        </w:tc>
        <w:tc>
          <w:tcPr>
            <w:tcW w:w="5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r>
      <w:tr>
        <w:trPr>
          <w:trHeight w:val="230"/>
        </w:trPr>
        <w:tc>
          <w:tcPr>
            <w:tcW w:w="6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11,429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11,568</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50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30"/>
        </w:trPr>
        <w:tc>
          <w:tcPr>
            <w:tcW w:w="6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operating expense (income), net</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2,031</w:t>
            </w:r>
          </w:p>
        </w:tc>
        <w:tc>
          <w:tcPr>
            <w:tcW w:w="5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r>
      <w:tr>
        <w:trPr>
          <w:trHeight w:val="223"/>
        </w:trPr>
        <w:tc>
          <w:tcPr>
            <w:tcW w:w="62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(loss) from operations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978</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(4,398)</w:t>
            </w:r>
          </w:p>
        </w:tc>
        <w:tc>
          <w:tcPr>
            <w:tcW w:w="50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30"/>
        </w:trPr>
        <w:tc>
          <w:tcPr>
            <w:tcW w:w="6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1,415</w:t>
            </w:r>
          </w:p>
        </w:tc>
        <w:tc>
          <w:tcPr>
            <w:tcW w:w="5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r>
      <w:tr>
        <w:trPr>
          <w:trHeight w:val="229"/>
        </w:trPr>
        <w:tc>
          <w:tcPr>
            <w:tcW w:w="6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Loss on extinguishment of debt and write-off of debt issuance costs</w:t>
            </w:r>
          </w:p>
        </w:tc>
        <w:tc>
          <w:tcPr>
            <w:tcW w:w="28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2,390</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(2,390)</w:t>
            </w:r>
          </w:p>
        </w:tc>
        <w:tc>
          <w:tcPr>
            <w:tcW w:w="50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30"/>
        </w:trPr>
        <w:tc>
          <w:tcPr>
            <w:tcW w:w="6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Derivative payments on interest rate swap</w:t>
            </w:r>
          </w:p>
        </w:tc>
        <w:tc>
          <w:tcPr>
            <w:tcW w:w="2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1,717</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(1,717)</w:t>
            </w:r>
          </w:p>
        </w:tc>
        <w:tc>
          <w:tcPr>
            <w:tcW w:w="5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r>
      <w:tr>
        <w:trPr>
          <w:trHeight w:val="230"/>
        </w:trPr>
        <w:tc>
          <w:tcPr>
            <w:tcW w:w="6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Loss on interest rate swap</w:t>
            </w:r>
          </w:p>
        </w:tc>
        <w:tc>
          <w:tcPr>
            <w:tcW w:w="28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2,033</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(2,033)</w:t>
            </w:r>
          </w:p>
        </w:tc>
        <w:tc>
          <w:tcPr>
            <w:tcW w:w="50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30"/>
        </w:trPr>
        <w:tc>
          <w:tcPr>
            <w:tcW w:w="6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income, net</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(2,996)</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(2,874)</w:t>
            </w:r>
          </w:p>
        </w:tc>
        <w:tc>
          <w:tcPr>
            <w:tcW w:w="5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r>
      <w:tr>
        <w:trPr>
          <w:trHeight w:val="155"/>
        </w:trPr>
        <w:tc>
          <w:tcPr>
            <w:tcW w:w="622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color w:val="auto"/>
              </w:rPr>
              <w:t>Loss before benefit (provision) for income taxes and share of net income from joint</w:t>
            </w: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243"/>
        </w:trPr>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venture</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(7,064)</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3,201</w:t>
            </w:r>
          </w:p>
        </w:tc>
        <w:tc>
          <w:tcPr>
            <w:tcW w:w="500" w:type="dxa"/>
            <w:vAlign w:val="bottom"/>
          </w:tcPr>
          <w:p>
            <w:pPr>
              <w:spacing w:after="0"/>
              <w:rPr>
                <w:sz w:val="21"/>
                <w:szCs w:val="21"/>
                <w:color w:val="auto"/>
              </w:rPr>
            </w:pPr>
          </w:p>
        </w:tc>
        <w:tc>
          <w:tcPr>
            <w:tcW w:w="700" w:type="dxa"/>
            <w:vAlign w:val="bottom"/>
          </w:tcPr>
          <w:p>
            <w:pPr>
              <w:spacing w:after="0"/>
              <w:rPr>
                <w:sz w:val="21"/>
                <w:szCs w:val="21"/>
                <w:color w:val="auto"/>
              </w:rPr>
            </w:pPr>
          </w:p>
        </w:tc>
      </w:tr>
      <w:tr>
        <w:trPr>
          <w:trHeight w:val="230"/>
        </w:trPr>
        <w:tc>
          <w:tcPr>
            <w:tcW w:w="6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Benefit (provision) for income taxes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(2,287)</w:t>
            </w:r>
          </w:p>
        </w:tc>
        <w:tc>
          <w:tcPr>
            <w:tcW w:w="5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r>
      <w:tr>
        <w:trPr>
          <w:trHeight w:val="229"/>
        </w:trPr>
        <w:tc>
          <w:tcPr>
            <w:tcW w:w="62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Share of net income from joint venture</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1,395</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697</w:t>
            </w:r>
          </w:p>
        </w:tc>
        <w:tc>
          <w:tcPr>
            <w:tcW w:w="500" w:type="dxa"/>
            <w:vAlign w:val="bottom"/>
            <w:tcBorders>
              <w:bottom w:val="single" w:sz="8" w:color="CCEEFF"/>
            </w:tcBorders>
          </w:tcPr>
          <w:p>
            <w:pPr>
              <w:spacing w:after="0"/>
              <w:rPr>
                <w:sz w:val="19"/>
                <w:szCs w:val="19"/>
                <w:color w:val="auto"/>
              </w:rPr>
            </w:pPr>
          </w:p>
        </w:tc>
        <w:tc>
          <w:tcPr>
            <w:tcW w:w="700" w:type="dxa"/>
            <w:vAlign w:val="bottom"/>
            <w:tcBorders>
              <w:bottom w:val="single" w:sz="8" w:color="CCEEFF"/>
            </w:tcBorders>
          </w:tcPr>
          <w:p>
            <w:pPr>
              <w:spacing w:after="0"/>
              <w:rPr>
                <w:sz w:val="19"/>
                <w:szCs w:val="19"/>
                <w:color w:val="auto"/>
              </w:rPr>
            </w:pPr>
          </w:p>
        </w:tc>
      </w:tr>
      <w:tr>
        <w:trPr>
          <w:trHeight w:val="248"/>
        </w:trPr>
        <w:tc>
          <w:tcPr>
            <w:tcW w:w="6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1,611</w:t>
            </w:r>
          </w:p>
        </w:tc>
        <w:tc>
          <w:tcPr>
            <w:tcW w:w="5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r>
      <w:tr>
        <w:trPr>
          <w:trHeight w:val="20"/>
        </w:trPr>
        <w:tc>
          <w:tcPr>
            <w:tcW w:w="6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r>
    </w:tbl>
    <w:p>
      <w:pPr>
        <w:spacing w:after="0" w:line="250"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8"/>
          <w:szCs w:val="18"/>
          <w:i w:val="1"/>
          <w:iCs w:val="1"/>
          <w:color w:val="auto"/>
        </w:rPr>
        <w:t>Net Sales</w:t>
      </w:r>
      <w:r>
        <w:rPr>
          <w:rFonts w:ascii="Times New Roman" w:cs="Times New Roman" w:eastAsia="Times New Roman" w:hAnsi="Times New Roman"/>
          <w:sz w:val="18"/>
          <w:szCs w:val="18"/>
          <w:color w:val="auto"/>
        </w:rPr>
        <w:t>. Net sales increased by $1.3 million, or 1%, during the three months ended March 31, 2022, compared to the three months ended March 31, 2021,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due to increased pricing to recover certain inflationary costs and underutilized fixed costs caused by lower-than-expected customer demand. These increases were partially offset by decreased demand from automotive customers due largely to the ongoing global semi-conductor shortage.</w:t>
      </w:r>
    </w:p>
    <w:p>
      <w:pPr>
        <w:spacing w:after="0" w:line="65" w:lineRule="exact"/>
        <w:rPr>
          <w:sz w:val="20"/>
          <w:szCs w:val="20"/>
          <w:color w:val="auto"/>
        </w:rPr>
      </w:pPr>
    </w:p>
    <w:p>
      <w:pPr>
        <w:ind w:right="20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Cost of Sales. </w:t>
      </w:r>
      <w:r>
        <w:rPr>
          <w:rFonts w:ascii="Times New Roman" w:cs="Times New Roman" w:eastAsia="Times New Roman" w:hAnsi="Times New Roman"/>
          <w:sz w:val="18"/>
          <w:szCs w:val="18"/>
          <w:color w:val="auto"/>
        </w:rPr>
        <w:t>Cost of sales increased by $4.9 million, or 5%, during the three months ended March 31, 2022, compared to the three months ended March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31, 2021, primarily due to increased material costs. In addition, the prior year cost of sales benefited from favorable overhead absorption.</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Selling, General, and Administrative Expense. </w:t>
      </w:r>
      <w:r>
        <w:rPr>
          <w:rFonts w:ascii="Times New Roman" w:cs="Times New Roman" w:eastAsia="Times New Roman" w:hAnsi="Times New Roman"/>
          <w:sz w:val="18"/>
          <w:szCs w:val="18"/>
          <w:color w:val="auto"/>
        </w:rPr>
        <w:t>Selling, general, and administrative expense decreased by $1.1 million during the three months ended March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31, 2022, compared to the three months ended March 31, 2021, primarily due to lower personnel costs.</w:t>
      </w:r>
    </w:p>
    <w:p>
      <w:pPr>
        <w:spacing w:after="0" w:line="50" w:lineRule="exact"/>
        <w:rPr>
          <w:sz w:val="20"/>
          <w:szCs w:val="20"/>
          <w:color w:val="auto"/>
        </w:rPr>
      </w:pPr>
    </w:p>
    <w:p>
      <w:pPr>
        <w:jc w:val="both"/>
        <w:ind w:right="2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Other Operating Expense (Income), Net. </w:t>
      </w:r>
      <w:r>
        <w:rPr>
          <w:rFonts w:ascii="Times New Roman" w:cs="Times New Roman" w:eastAsia="Times New Roman" w:hAnsi="Times New Roman"/>
          <w:sz w:val="18"/>
          <w:szCs w:val="18"/>
          <w:color w:val="auto"/>
        </w:rPr>
        <w:t>Other operating expense (income), net, changed unfavorably by $2.0 million primarily due to a legal settlement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reached during the three months ended March 31, 2022.</w:t>
      </w:r>
    </w:p>
    <w:p>
      <w:pPr>
        <w:spacing w:after="0" w:line="50" w:lineRule="exact"/>
        <w:rPr>
          <w:sz w:val="20"/>
          <w:szCs w:val="20"/>
          <w:color w:val="auto"/>
        </w:rPr>
      </w:pPr>
    </w:p>
    <w:p>
      <w:pPr>
        <w:jc w:val="both"/>
        <w:ind w:right="2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Interest Expense. </w:t>
      </w:r>
      <w:r>
        <w:rPr>
          <w:rFonts w:ascii="Times New Roman" w:cs="Times New Roman" w:eastAsia="Times New Roman" w:hAnsi="Times New Roman"/>
          <w:sz w:val="18"/>
          <w:szCs w:val="18"/>
          <w:color w:val="auto"/>
        </w:rPr>
        <w:t>Interest expense increased by $1.4 million during the three months ended March 31, 2022, compared to the three months ended March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31, 2021, primarily due to higher interest rates and a larger average debt balance as a result of the credit facility and preferred stock refinance during the first quarter of 2021.</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40" w:type="dxa"/>
            <w:vAlign w:val="bottom"/>
          </w:tcPr>
          <w:p>
            <w:pPr>
              <w:spacing w:after="0"/>
              <w:rPr>
                <w:sz w:val="16"/>
                <w:szCs w:val="16"/>
                <w:color w:val="auto"/>
              </w:rPr>
            </w:pPr>
          </w:p>
        </w:tc>
        <w:tc>
          <w:tcPr>
            <w:tcW w:w="2820" w:type="dxa"/>
            <w:vAlign w:val="bottom"/>
            <w:gridSpan w:val="4"/>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80" w:type="dxa"/>
            <w:vAlign w:val="bottom"/>
          </w:tcPr>
          <w:p>
            <w:pPr>
              <w:spacing w:after="0"/>
              <w:rPr>
                <w:sz w:val="16"/>
                <w:szCs w:val="16"/>
                <w:color w:val="auto"/>
              </w:rPr>
            </w:pPr>
          </w:p>
        </w:tc>
      </w:tr>
      <w:tr>
        <w:trPr>
          <w:trHeight w:val="23"/>
        </w:trPr>
        <w:tc>
          <w:tcPr>
            <w:tcW w:w="784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190"/>
        </w:trPr>
        <w:tc>
          <w:tcPr>
            <w:tcW w:w="784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2022</w:t>
            </w:r>
          </w:p>
        </w:tc>
        <w:tc>
          <w:tcPr>
            <w:tcW w:w="5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2021</w:t>
            </w:r>
          </w:p>
        </w:tc>
        <w:tc>
          <w:tcPr>
            <w:tcW w:w="580" w:type="dxa"/>
            <w:vAlign w:val="bottom"/>
            <w:tcBorders>
              <w:bottom w:val="single" w:sz="8" w:color="auto"/>
            </w:tcBorders>
          </w:tcPr>
          <w:p>
            <w:pPr>
              <w:spacing w:after="0"/>
              <w:rPr>
                <w:sz w:val="16"/>
                <w:szCs w:val="16"/>
                <w:color w:val="auto"/>
              </w:rPr>
            </w:pPr>
          </w:p>
        </w:tc>
      </w:tr>
      <w:tr>
        <w:trPr>
          <w:trHeight w:val="22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on debt</w:t>
            </w:r>
          </w:p>
        </w:tc>
        <w:tc>
          <w:tcPr>
            <w:tcW w:w="1060" w:type="dxa"/>
            <w:vAlign w:val="bottom"/>
            <w:shd w:val="clear" w:color="auto" w:fill="CCEEFF"/>
          </w:tcPr>
          <w:p>
            <w:pPr>
              <w:jc w:val="right"/>
              <w:ind w:right="87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3,071</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87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1,439</w:t>
            </w:r>
          </w:p>
        </w:tc>
      </w:tr>
      <w:tr>
        <w:trPr>
          <w:trHeight w:val="229"/>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rate swap settlements</w:t>
            </w:r>
          </w:p>
        </w:tc>
        <w:tc>
          <w:tcPr>
            <w:tcW w:w="10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debt issuance costs and discount</w:t>
            </w:r>
          </w:p>
        </w:tc>
        <w:tc>
          <w:tcPr>
            <w:tcW w:w="10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w:t>
            </w:r>
          </w:p>
        </w:tc>
      </w:tr>
      <w:tr>
        <w:trPr>
          <w:trHeight w:val="229"/>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Capitalized interest</w:t>
            </w:r>
          </w:p>
        </w:tc>
        <w:tc>
          <w:tcPr>
            <w:tcW w:w="10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2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0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2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r>
      <w:tr>
        <w:trPr>
          <w:trHeight w:val="223"/>
        </w:trPr>
        <w:tc>
          <w:tcPr>
            <w:tcW w:w="78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interest expense</w:t>
            </w:r>
          </w:p>
        </w:tc>
        <w:tc>
          <w:tcPr>
            <w:tcW w:w="1060" w:type="dxa"/>
            <w:vAlign w:val="bottom"/>
            <w:tcBorders>
              <w:bottom w:val="single" w:sz="8" w:color="auto"/>
            </w:tcBorders>
          </w:tcPr>
          <w:p>
            <w:pPr>
              <w:jc w:val="right"/>
              <w:ind w:right="87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3,439</w:t>
            </w:r>
          </w:p>
        </w:tc>
        <w:tc>
          <w:tcPr>
            <w:tcW w:w="120" w:type="dxa"/>
            <w:vAlign w:val="bottom"/>
          </w:tcPr>
          <w:p>
            <w:pPr>
              <w:spacing w:after="0"/>
              <w:rPr>
                <w:sz w:val="19"/>
                <w:szCs w:val="19"/>
                <w:color w:val="auto"/>
              </w:rPr>
            </w:pPr>
          </w:p>
        </w:tc>
        <w:tc>
          <w:tcPr>
            <w:tcW w:w="1060" w:type="dxa"/>
            <w:vAlign w:val="bottom"/>
            <w:tcBorders>
              <w:bottom w:val="single" w:sz="8" w:color="auto"/>
            </w:tcBorders>
          </w:tcPr>
          <w:p>
            <w:pPr>
              <w:jc w:val="right"/>
              <w:ind w:right="87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2,024</w:t>
            </w:r>
          </w:p>
        </w:tc>
      </w:tr>
      <w:tr>
        <w:trPr>
          <w:trHeight w:val="21"/>
        </w:trPr>
        <w:tc>
          <w:tcPr>
            <w:tcW w:w="78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ind w:right="8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Loss on Extinguishment of Debt and Write-off of Debt Issuance Costs. </w:t>
      </w:r>
      <w:r>
        <w:rPr>
          <w:rFonts w:ascii="Times New Roman" w:cs="Times New Roman" w:eastAsia="Times New Roman" w:hAnsi="Times New Roman"/>
          <w:sz w:val="18"/>
          <w:szCs w:val="18"/>
          <w:color w:val="auto"/>
        </w:rPr>
        <w:t>We recognized $2.4 million in the first quarter of 2021 for the write-off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unamortized debt issuance costs associated with the credit facility that was terminated in March 2021.</w:t>
      </w:r>
    </w:p>
    <w:p>
      <w:pPr>
        <w:spacing w:after="0" w:line="50" w:lineRule="exact"/>
        <w:rPr>
          <w:sz w:val="20"/>
          <w:szCs w:val="20"/>
          <w:color w:val="auto"/>
        </w:rPr>
      </w:pPr>
    </w:p>
    <w:p>
      <w:pPr>
        <w:ind w:right="12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Derivative Payments on Interest Rate Swap. </w:t>
      </w:r>
      <w:r>
        <w:rPr>
          <w:rFonts w:ascii="Times New Roman" w:cs="Times New Roman" w:eastAsia="Times New Roman" w:hAnsi="Times New Roman"/>
          <w:sz w:val="18"/>
          <w:szCs w:val="18"/>
          <w:color w:val="auto"/>
        </w:rPr>
        <w:t>Derivative payments on interest rate swap represent cash settlements of an interest rate swap which was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terminated in the first quarter of 2021. We entered into a new interest rate swap in the third quarter of 2021, which is designated as a cash flow hedge with the impact of settlements recognized in interest expense.</w:t>
      </w:r>
    </w:p>
    <w:p>
      <w:pPr>
        <w:spacing w:after="0" w:line="65" w:lineRule="exact"/>
        <w:rPr>
          <w:sz w:val="20"/>
          <w:szCs w:val="20"/>
          <w:color w:val="auto"/>
        </w:rPr>
      </w:pPr>
    </w:p>
    <w:p>
      <w:pPr>
        <w:ind w:right="340"/>
        <w:spacing w:after="0" w:line="284" w:lineRule="auto"/>
        <w:rPr>
          <w:sz w:val="20"/>
          <w:szCs w:val="20"/>
          <w:color w:val="auto"/>
        </w:rPr>
      </w:pPr>
      <w:r>
        <w:rPr>
          <w:rFonts w:ascii="Times New Roman" w:cs="Times New Roman" w:eastAsia="Times New Roman" w:hAnsi="Times New Roman"/>
          <w:sz w:val="18"/>
          <w:szCs w:val="18"/>
          <w:i w:val="1"/>
          <w:iCs w:val="1"/>
          <w:color w:val="auto"/>
        </w:rPr>
        <w:t>Loss on Interest Rate Swap</w:t>
      </w:r>
      <w:r>
        <w:rPr>
          <w:rFonts w:ascii="Times New Roman" w:cs="Times New Roman" w:eastAsia="Times New Roman" w:hAnsi="Times New Roman"/>
          <w:sz w:val="18"/>
          <w:szCs w:val="18"/>
          <w:color w:val="auto"/>
        </w:rPr>
        <w:t>. We recognized a $2.0 million loss in the first quarter of 2021 related to the termination of the previous interest rate swap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March 2021.</w:t>
      </w:r>
    </w:p>
    <w:p>
      <w:pPr>
        <w:spacing w:after="0" w:line="118" w:lineRule="exact"/>
        <w:rPr>
          <w:sz w:val="20"/>
          <w:szCs w:val="20"/>
          <w:color w:val="auto"/>
        </w:rPr>
      </w:pPr>
    </w:p>
    <w:p>
      <w:pPr>
        <w:ind w:right="1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Other Income, Net. </w:t>
      </w:r>
      <w:r>
        <w:rPr>
          <w:rFonts w:ascii="Times New Roman" w:cs="Times New Roman" w:eastAsia="Times New Roman" w:hAnsi="Times New Roman"/>
          <w:sz w:val="18"/>
          <w:szCs w:val="18"/>
          <w:color w:val="auto"/>
        </w:rPr>
        <w:t>Other income, net, changed favorably by $2.9 million during the three months ended March 31, 2022, compared to the three months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March 31, 2021, due to noncash derivative mark-to-market gains and favorable foreign exchange effects associated with intercompany borrowings.</w:t>
      </w:r>
    </w:p>
    <w:p>
      <w:pPr>
        <w:spacing w:after="0" w:line="50"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i w:val="1"/>
          <w:iCs w:val="1"/>
          <w:color w:val="auto"/>
        </w:rPr>
        <w:t>Benefit (Provision) For Income Taxes</w:t>
      </w:r>
      <w:r>
        <w:rPr>
          <w:rFonts w:ascii="Times New Roman" w:cs="Times New Roman" w:eastAsia="Times New Roman" w:hAnsi="Times New Roman"/>
          <w:sz w:val="18"/>
          <w:szCs w:val="18"/>
          <w:color w:val="auto"/>
        </w:rPr>
        <w:t>. Our effective tax rate was (39.6)% for the three months ended March 31, 2022, compared to 10.7% for the three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ended March 31, 2021. The rate for the three months ended March 31, 2022 was unfavorably impacted by the limitation on the amount of tax benefit recorded for loss carryforwards in certain jurisdictions where we believe it is more likely than not that a portion of the future tax benefit may not be realized.</w:t>
      </w:r>
    </w:p>
    <w:p>
      <w:pPr>
        <w:spacing w:after="0" w:line="72"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Share of Net Income from Joint Venture. </w:t>
      </w:r>
      <w:r>
        <w:rPr>
          <w:rFonts w:ascii="Times New Roman" w:cs="Times New Roman" w:eastAsia="Times New Roman" w:hAnsi="Times New Roman"/>
          <w:sz w:val="18"/>
          <w:szCs w:val="18"/>
          <w:color w:val="auto"/>
        </w:rPr>
        <w:t>Share of net income from the JV increased during the three months ended March 31, 2022, compared to the three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ended March 31, 2021, primarily due to higher sales volume. The JV, in which we own a 49% investment, recognized net sales of $26.5 million and $23.4 million for the three months ended March 31, 2022 and 2021, respectively.</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Results by Segment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MOBILE SOLUTIONS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300" w:type="dxa"/>
            <w:vAlign w:val="bottom"/>
            <w:gridSpan w:val="4"/>
          </w:tcPr>
          <w:p>
            <w:pPr>
              <w:jc w:val="right"/>
              <w:ind w:right="1055"/>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840" w:type="dxa"/>
            <w:vAlign w:val="bottom"/>
          </w:tcPr>
          <w:p>
            <w:pPr>
              <w:spacing w:after="0"/>
              <w:rPr>
                <w:sz w:val="16"/>
                <w:szCs w:val="16"/>
                <w:color w:val="auto"/>
              </w:rPr>
            </w:pPr>
          </w:p>
        </w:tc>
      </w:tr>
      <w:tr>
        <w:trPr>
          <w:trHeight w:val="23"/>
        </w:trPr>
        <w:tc>
          <w:tcPr>
            <w:tcW w:w="53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190"/>
        </w:trPr>
        <w:tc>
          <w:tcPr>
            <w:tcW w:w="53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840" w:type="dxa"/>
            <w:vAlign w:val="bottom"/>
            <w:tcBorders>
              <w:bottom w:val="single" w:sz="8" w:color="auto"/>
            </w:tcBorders>
          </w:tcPr>
          <w:p>
            <w:pPr>
              <w:spacing w:after="0"/>
              <w:rPr>
                <w:sz w:val="16"/>
                <w:szCs w:val="16"/>
                <w:color w:val="auto"/>
              </w:rPr>
            </w:pPr>
          </w:p>
        </w:tc>
      </w:tr>
      <w:tr>
        <w:trPr>
          <w:trHeight w:val="229"/>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76,070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77,776</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ind w:right="555"/>
              <w:spacing w:after="0"/>
              <w:rPr>
                <w:sz w:val="20"/>
                <w:szCs w:val="20"/>
                <w:color w:val="auto"/>
              </w:rPr>
            </w:pPr>
            <w:r>
              <w:rPr>
                <w:rFonts w:ascii="Times New Roman" w:cs="Times New Roman" w:eastAsia="Times New Roman" w:hAnsi="Times New Roman"/>
                <w:sz w:val="18"/>
                <w:szCs w:val="18"/>
                <w:color w:val="auto"/>
              </w:rPr>
              <w:t>(1,706)</w:t>
            </w:r>
          </w:p>
        </w:tc>
        <w:tc>
          <w:tcPr>
            <w:tcW w:w="840" w:type="dxa"/>
            <w:vAlign w:val="bottom"/>
            <w:shd w:val="clear" w:color="auto" w:fill="CCEEFF"/>
          </w:tcPr>
          <w:p>
            <w:pPr>
              <w:spacing w:after="0"/>
              <w:rPr>
                <w:sz w:val="19"/>
                <w:szCs w:val="19"/>
                <w:color w:val="auto"/>
              </w:rPr>
            </w:pPr>
          </w:p>
        </w:tc>
      </w:tr>
      <w:tr>
        <w:trPr>
          <w:trHeight w:val="230"/>
        </w:trPr>
        <w:tc>
          <w:tcPr>
            <w:tcW w:w="5300" w:type="dxa"/>
            <w:vAlign w:val="bottom"/>
          </w:tcPr>
          <w:p>
            <w:pPr>
              <w:ind w:left="360"/>
              <w:spacing w:after="0"/>
              <w:rPr>
                <w:sz w:val="20"/>
                <w:szCs w:val="20"/>
                <w:color w:val="auto"/>
              </w:rPr>
            </w:pPr>
            <w:r>
              <w:rPr>
                <w:rFonts w:ascii="Times New Roman" w:cs="Times New Roman" w:eastAsia="Times New Roman" w:hAnsi="Times New Roman"/>
                <w:sz w:val="18"/>
                <w:szCs w:val="18"/>
                <w:i w:val="1"/>
                <w:iCs w:val="1"/>
                <w:color w:val="auto"/>
              </w:rPr>
              <w:t>Organic decline</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540" w:type="dxa"/>
            <w:vAlign w:val="bottom"/>
          </w:tcPr>
          <w:p>
            <w:pPr>
              <w:jc w:val="right"/>
              <w:ind w:right="415"/>
              <w:spacing w:after="0"/>
              <w:rPr>
                <w:sz w:val="20"/>
                <w:szCs w:val="20"/>
                <w:color w:val="auto"/>
              </w:rPr>
            </w:pPr>
            <w:r>
              <w:rPr>
                <w:rFonts w:ascii="Times New Roman" w:cs="Times New Roman" w:eastAsia="Times New Roman" w:hAnsi="Times New Roman"/>
                <w:sz w:val="18"/>
                <w:szCs w:val="18"/>
                <w:i w:val="1"/>
                <w:iCs w:val="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(1,865)</w:t>
            </w:r>
          </w:p>
        </w:tc>
      </w:tr>
      <w:tr>
        <w:trPr>
          <w:trHeight w:val="229"/>
        </w:trPr>
        <w:tc>
          <w:tcPr>
            <w:tcW w:w="53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i w:val="1"/>
                <w:iCs w:val="1"/>
                <w:color w:val="auto"/>
              </w:rPr>
              <w:t>Foreign exchange effects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159</w:t>
            </w:r>
          </w:p>
        </w:tc>
      </w:tr>
      <w:tr>
        <w:trPr>
          <w:trHeight w:val="234"/>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1,969</w:t>
            </w: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6,090</w:t>
            </w:r>
          </w:p>
        </w:tc>
        <w:tc>
          <w:tcPr>
            <w:tcW w:w="100" w:type="dxa"/>
            <w:vAlign w:val="bottom"/>
          </w:tcPr>
          <w:p>
            <w:pPr>
              <w:spacing w:after="0"/>
              <w:rPr>
                <w:sz w:val="20"/>
                <w:szCs w:val="20"/>
                <w:color w:val="auto"/>
              </w:rPr>
            </w:pP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ind w:right="555"/>
              <w:spacing w:after="0"/>
              <w:rPr>
                <w:sz w:val="20"/>
                <w:szCs w:val="20"/>
                <w:color w:val="auto"/>
              </w:rPr>
            </w:pPr>
            <w:r>
              <w:rPr>
                <w:rFonts w:ascii="Times New Roman" w:cs="Times New Roman" w:eastAsia="Times New Roman" w:hAnsi="Times New Roman"/>
                <w:sz w:val="18"/>
                <w:szCs w:val="18"/>
                <w:color w:val="auto"/>
              </w:rPr>
              <w:t>(4,121)</w:t>
            </w:r>
          </w:p>
        </w:tc>
        <w:tc>
          <w:tcPr>
            <w:tcW w:w="840" w:type="dxa"/>
            <w:vAlign w:val="bottom"/>
          </w:tcPr>
          <w:p>
            <w:pPr>
              <w:spacing w:after="0"/>
              <w:rPr>
                <w:sz w:val="20"/>
                <w:szCs w:val="20"/>
                <w:color w:val="auto"/>
              </w:rPr>
            </w:pPr>
          </w:p>
        </w:tc>
      </w:tr>
    </w:tbl>
    <w:p>
      <w:pPr>
        <w:spacing w:after="0" w:line="247"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Net sales decreased by $1.7 million during the three months ended March 31, 2022, compared to the three months ended March 31, 2021, primarily due to lower sales volume, partially offset by increased pricing to recover certain inflationary costs and underutilized fixed costs caused by lower-than-expected customer demand and favorable foreign exchange effects of $0.2 million.</w:t>
      </w:r>
    </w:p>
    <w:p>
      <w:pPr>
        <w:spacing w:after="0" w:line="14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Income from operations decreased by $4.1 million during the three months ended March 31, 2022, compared to the same period in the prior year primarily due to lower sales volume and variable cost inefficiencies associated with supply chain interruptions,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uneven customer ordering patterns, and labor constraints caused by pandemic interruptions. In addition, prior year income from operations benefited by favorable overhead absorption as the result of a build up of inventory during the three months ended March 31, 2021.</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POWER SOLUTIONS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40" w:type="dxa"/>
            <w:vAlign w:val="bottom"/>
            <w:gridSpan w:val="4"/>
          </w:tcPr>
          <w:p>
            <w:pPr>
              <w:jc w:val="right"/>
              <w:ind w:right="1055"/>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780" w:type="dxa"/>
            <w:vAlign w:val="bottom"/>
          </w:tcPr>
          <w:p>
            <w:pPr>
              <w:spacing w:after="0"/>
              <w:rPr>
                <w:sz w:val="16"/>
                <w:szCs w:val="16"/>
                <w:color w:val="auto"/>
              </w:rPr>
            </w:pPr>
          </w:p>
        </w:tc>
      </w:tr>
      <w:tr>
        <w:trPr>
          <w:trHeight w:val="23"/>
        </w:trPr>
        <w:tc>
          <w:tcPr>
            <w:tcW w:w="54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190"/>
        </w:trPr>
        <w:tc>
          <w:tcPr>
            <w:tcW w:w="54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780" w:type="dxa"/>
            <w:vAlign w:val="bottom"/>
            <w:tcBorders>
              <w:bottom w:val="single" w:sz="8" w:color="auto"/>
            </w:tcBorders>
          </w:tcPr>
          <w:p>
            <w:pPr>
              <w:spacing w:after="0"/>
              <w:rPr>
                <w:sz w:val="16"/>
                <w:szCs w:val="16"/>
                <w:color w:val="auto"/>
              </w:rPr>
            </w:pPr>
          </w:p>
        </w:tc>
      </w:tr>
      <w:tr>
        <w:trPr>
          <w:trHeight w:val="229"/>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52,011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49,075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ind w:right="655"/>
              <w:spacing w:after="0"/>
              <w:rPr>
                <w:sz w:val="20"/>
                <w:szCs w:val="20"/>
                <w:color w:val="auto"/>
              </w:rPr>
            </w:pPr>
            <w:r>
              <w:rPr>
                <w:rFonts w:ascii="Times New Roman" w:cs="Times New Roman" w:eastAsia="Times New Roman" w:hAnsi="Times New Roman"/>
                <w:sz w:val="18"/>
                <w:szCs w:val="18"/>
                <w:color w:val="auto"/>
              </w:rPr>
              <w:t>2,936</w:t>
            </w:r>
          </w:p>
        </w:tc>
        <w:tc>
          <w:tcPr>
            <w:tcW w:w="780" w:type="dxa"/>
            <w:vAlign w:val="bottom"/>
            <w:shd w:val="clear" w:color="auto" w:fill="CCEEFF"/>
          </w:tcPr>
          <w:p>
            <w:pPr>
              <w:spacing w:after="0"/>
              <w:rPr>
                <w:sz w:val="19"/>
                <w:szCs w:val="19"/>
                <w:color w:val="auto"/>
              </w:rPr>
            </w:pPr>
          </w:p>
        </w:tc>
      </w:tr>
      <w:tr>
        <w:trPr>
          <w:trHeight w:val="229"/>
        </w:trPr>
        <w:tc>
          <w:tcPr>
            <w:tcW w:w="5420" w:type="dxa"/>
            <w:vAlign w:val="bottom"/>
          </w:tcPr>
          <w:p>
            <w:pPr>
              <w:ind w:left="360"/>
              <w:spacing w:after="0"/>
              <w:rPr>
                <w:sz w:val="20"/>
                <w:szCs w:val="20"/>
                <w:color w:val="auto"/>
              </w:rPr>
            </w:pPr>
            <w:r>
              <w:rPr>
                <w:rFonts w:ascii="Times New Roman" w:cs="Times New Roman" w:eastAsia="Times New Roman" w:hAnsi="Times New Roman"/>
                <w:sz w:val="18"/>
                <w:szCs w:val="18"/>
                <w:i w:val="1"/>
                <w:iCs w:val="1"/>
                <w:color w:val="auto"/>
              </w:rPr>
              <w:t>Organic growth</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520" w:type="dxa"/>
            <w:vAlign w:val="bottom"/>
          </w:tcPr>
          <w:p>
            <w:pPr>
              <w:jc w:val="right"/>
              <w:ind w:right="475"/>
              <w:spacing w:after="0"/>
              <w:rPr>
                <w:sz w:val="20"/>
                <w:szCs w:val="20"/>
                <w:color w:val="auto"/>
              </w:rPr>
            </w:pPr>
            <w:r>
              <w:rPr>
                <w:rFonts w:ascii="Times New Roman" w:cs="Times New Roman" w:eastAsia="Times New Roman" w:hAnsi="Times New Roman"/>
                <w:sz w:val="18"/>
                <w:szCs w:val="18"/>
                <w:i w:val="1"/>
                <w:iCs w:val="1"/>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2,936</w:t>
            </w:r>
          </w:p>
        </w:tc>
      </w:tr>
      <w:tr>
        <w:trPr>
          <w:trHeight w:val="230"/>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ind w:right="615"/>
              <w:spacing w:after="0"/>
              <w:rPr>
                <w:sz w:val="20"/>
                <w:szCs w:val="20"/>
                <w:color w:val="auto"/>
              </w:rPr>
            </w:pPr>
            <w:r>
              <w:rPr>
                <w:rFonts w:ascii="Times New Roman" w:cs="Times New Roman" w:eastAsia="Times New Roman" w:hAnsi="Times New Roman"/>
                <w:sz w:val="18"/>
                <w:szCs w:val="18"/>
                <w:color w:val="auto"/>
              </w:rPr>
              <w:t>(2,068)</w:t>
            </w:r>
          </w:p>
        </w:tc>
        <w:tc>
          <w:tcPr>
            <w:tcW w:w="780" w:type="dxa"/>
            <w:vAlign w:val="bottom"/>
            <w:shd w:val="clear" w:color="auto" w:fill="CCEEFF"/>
          </w:tcPr>
          <w:p>
            <w:pPr>
              <w:spacing w:after="0"/>
              <w:rPr>
                <w:sz w:val="19"/>
                <w:szCs w:val="19"/>
                <w:color w:val="auto"/>
              </w:rPr>
            </w:pPr>
          </w:p>
        </w:tc>
      </w:tr>
    </w:tbl>
    <w:p>
      <w:pPr>
        <w:spacing w:after="0" w:line="184"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Net sales increased by $2.9 million during the three months ended March 31, 2022 compared to the three months ended March 31, 2021, primarily due increased pricing to recover certain inflationary costs.</w:t>
      </w:r>
    </w:p>
    <w:p>
      <w:pPr>
        <w:spacing w:after="0" w:line="54"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Income from operations decreased by $2.1 million during the three months ended March 31, 2022 compared to the same period in the prior year, primarily due to higher selling, general and administrative costs and a legal settlement reached during the three months ended March 31, 2022. The increase in these expenses was partially offset by an increase in favorable overhead absorption during the first quarter of 2022.</w:t>
      </w:r>
    </w:p>
    <w:p>
      <w:pPr>
        <w:spacing w:after="0" w:line="172" w:lineRule="exact"/>
        <w:rPr>
          <w:sz w:val="20"/>
          <w:szCs w:val="20"/>
          <w:color w:val="auto"/>
        </w:rPr>
      </w:pPr>
    </w:p>
    <w:p>
      <w:pPr>
        <w:ind w:right="5440"/>
        <w:spacing w:after="0" w:line="409" w:lineRule="auto"/>
        <w:rPr>
          <w:sz w:val="20"/>
          <w:szCs w:val="20"/>
          <w:color w:val="auto"/>
        </w:rPr>
      </w:pPr>
      <w:r>
        <w:rPr>
          <w:rFonts w:ascii="Times New Roman" w:cs="Times New Roman" w:eastAsia="Times New Roman" w:hAnsi="Times New Roman"/>
          <w:sz w:val="18"/>
          <w:szCs w:val="18"/>
          <w:b w:val="1"/>
          <w:bCs w:val="1"/>
          <w:color w:val="auto"/>
        </w:rPr>
        <w:t xml:space="preserve">Changes in Financial Condition from December 31, 2021 to March 31, 2022 </w:t>
      </w:r>
      <w:r>
        <w:rPr>
          <w:rFonts w:ascii="Times New Roman" w:cs="Times New Roman" w:eastAsia="Times New Roman" w:hAnsi="Times New Roman"/>
          <w:sz w:val="18"/>
          <w:szCs w:val="18"/>
          <w:i w:val="1"/>
          <w:iCs w:val="1"/>
          <w:color w:val="auto"/>
        </w:rPr>
        <w:t>Overview</w:t>
      </w:r>
    </w:p>
    <w:p>
      <w:pPr>
        <w:spacing w:after="0" w:line="1"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From December 31, 2021 to March 31, 2022, total assets increased by $16.7 million primarily due to increases in accounts receivable and inventories during the three months ended March 31, 2022. The increase in accounts receivable is due to higher sales during the current quarter compared with the fourth quarter of 2021. Inventories increased due to higher sales in the current quarter compared with the fourth quarter of 2021 and due to higher material costs.</w:t>
      </w:r>
    </w:p>
    <w:p>
      <w:pPr>
        <w:spacing w:after="0" w:line="7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From December 31, 2021 to March 31, 2022, total liabilities increased by $15.4 million, primarily due to increases in accounts payable, accrued salaries and benefits and the accrual for a legal settlement reached during the first quarter of 2022. The increase in accounts payable is attributed to higher inventory balances at March 31, 2022.</w:t>
      </w:r>
    </w:p>
    <w:p>
      <w:pPr>
        <w:spacing w:after="0" w:line="68"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Working capital, which consists of current assets less current liabilities, was $125.5 million as of March 31, 2022, compared to $122.3 million as of December 31, 2021. The increase in working capital was primarily due to the increase in accounts receivable and inventories discussed above, partially offset by a higher balance of accounts payable and other current liabilities.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w:t>
      </w:r>
    </w:p>
    <w:p>
      <w:pPr>
        <w:spacing w:after="0" w:line="119"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Cash used in operations was $5.2 million for the three months ended March 31, 2022, compared with cash provided by operations of $7.9 million for the three months ended March 31, 2021. The difference was primarily due to an increase in accounts receivable related to higher sales during the current quarter compared with the fourth quarter of 2021.</w:t>
      </w:r>
    </w:p>
    <w:p>
      <w:pPr>
        <w:spacing w:after="0" w:line="68"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Cash used in investing activities was $4.2 million for the three months ended December 31, 2021, compared with cash used in investing activities of $20.9 million for the three months ended March 31, 2021. The difference was primarily due to cash paid to settle the interest rate swap in the first quarter of 2021.</w:t>
      </w:r>
    </w:p>
    <w:p>
      <w:pPr>
        <w:spacing w:after="0" w:line="68"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Cash used in financing activities was $1.5 million for the three months ended December 31, 2021, compared with cash provided by financing activities of $9.6 million for the three months ended March 31, 2021. The difference was primarily due to the debt and preferred stock refinancing in the first quarter of 2021.</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Facilities</w:t>
      </w:r>
    </w:p>
    <w:p>
      <w:pPr>
        <w:spacing w:after="0" w:line="119"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The principal amount outstanding under our Term Loan Facility as of March 31, 2022, was $148.5 million, without regard to unamortized debt issuance costs and discount. As of March 31, 2022, we had $37.8 million available for future borrowings under the ABL Facility. This amount of borrowing capacity is net of $11.1 million of outstanding letters of credit at March 31, 2022, which are considered as usage of the ABL Facility.</w:t>
      </w:r>
    </w:p>
    <w:p>
      <w:pPr>
        <w:spacing w:after="0" w:line="68"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Term Loan Facility requires quarterly principal payments of $0.4 million with the remaining unpaid principal amount due on the final maturity date of September 22, 2026. If one-month LIBOR is less than 1.00%, then we pay 7.875% per annum in interest. If one-month LIBOR exceeds 1.00%, then we pay the variable one-month LIBOR plus an applicable margin of</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6.875%. Based on the interest rate in effect at March 31, 2022, and the fixed rate on the 2021 interest rate swap, annual interest payments would be approximately $11.9 million.</w:t>
      </w:r>
    </w:p>
    <w:p>
      <w:pPr>
        <w:spacing w:after="0" w:line="54"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ABL Facility bears interest on a variable rate structure with borrowings bearing interest at one-month LIBOR plus an applicable margin of 1.75%. The interest rate in effect at March 31, 2022, was 2.25%. We pay a commitment fee of 0.375% for unused capacity under the ABL Facility.</w:t>
      </w:r>
    </w:p>
    <w:p>
      <w:pPr>
        <w:spacing w:after="0" w:line="108"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We were in compliance with all requirements under our Term Loan Facility and ABL Facility as of March 31, 2022. Both credit facilities allow for optional expansion of available borrowings, subject to certain terms and conditions.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 and Fluctuation in Quarterly Results</w:t>
      </w:r>
    </w:p>
    <w:p>
      <w:pPr>
        <w:spacing w:after="0" w:line="12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General economic conditions impact our business and financial results, and certain businesses experience seasonal and other trends related to the industries and end markets that they serve. For example, European sales are often weaker in the summer months as customers slow production and sales to original equipment manufacturers are often stronger immediately preceding and following the launch of new products. However, as a whole, we are not materially impacted by seasonality.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31" w:lineRule="exact"/>
        <w:rPr>
          <w:sz w:val="20"/>
          <w:szCs w:val="20"/>
          <w:color w:val="auto"/>
        </w:rPr>
      </w:pPr>
    </w:p>
    <w:p>
      <w:pPr>
        <w:ind w:right="480"/>
        <w:spacing w:after="0" w:line="255" w:lineRule="auto"/>
        <w:rPr>
          <w:sz w:val="20"/>
          <w:szCs w:val="20"/>
          <w:color w:val="auto"/>
        </w:rPr>
      </w:pPr>
      <w:r>
        <w:rPr>
          <w:rFonts w:ascii="Times New Roman" w:cs="Times New Roman" w:eastAsia="Times New Roman" w:hAnsi="Times New Roman"/>
          <w:sz w:val="18"/>
          <w:szCs w:val="18"/>
          <w:color w:val="auto"/>
        </w:rPr>
        <w:t>Our critical accounting policies, including the assumptions and judgments underlying them, are disclosed in the 2021 Annual Report, including those policies as discussed in Note 1 to the Notes to Consolidated Financial Statements included in the 2021 Annual Report. There have been no material changes to these policies during the three months ended March 31, 2022.</w:t>
      </w:r>
    </w:p>
    <w:p>
      <w:pPr>
        <w:spacing w:after="0" w:line="209"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121"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We are exposed to changes in financial market conditions in the normal course of business due to use of certain financial instruments as well as transacting business in various foreign currencies. To mitigate the exposure to these market risks, we have established policies, procedures, and internal processes governing the management of financial market risks. We are exposed to changes in interest rates primarily as a result of borrowing activities.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121"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Our policy is to manage interest expense using a mixture of fixed and variable rate debt. To manage this mixture of fixed and variable rate debt effectively and mitigate interest rate risk, we may use interest rate swap agreements. The nature and amount of borrowings may vary as a result of future business requirements, market conditions, and other factors.</w:t>
      </w:r>
    </w:p>
    <w:p>
      <w:pPr>
        <w:spacing w:after="0" w:line="6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On July 22, 2021, we entered into a fixed-rate interest rate swap agreement to change the LIBOR-based component of the interest rate on a portion of our variable rate debt to a fixed rate of 1.291% (the “2021 Swap”). The 2021 Swap has a notional amount of $60.0 million and a maturity date of July 31, 2024. The objective of the 2021 Swap is to eliminate the variability of cash flows in interest payments on the first $60.0 million of variable rate debt attributable to changes in benchmark one-month LIBOR interest rates. The hedged risk is the interest rate risk exposure to changes in interest payments, attributable to changes in benchmark one-month LIBOR interest rates over the interest rate swap term. The changes in cash flows of the interest rate swap are expected to exactly offset changes in cash flows of the variable rate debt. We designated the 2021 Swap as a cash flow hedge at inception. Cash settlements of the 2021 Swap are recognized in interest expense.</w:t>
      </w:r>
    </w:p>
    <w:p>
      <w:pPr>
        <w:spacing w:after="0" w:line="81"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Refer to Note 15 in the Notes to Condensed Consolidated Financial Statements included in this Quarterly Report for further discussion about the interest rate swap.</w:t>
      </w:r>
    </w:p>
    <w:p>
      <w:pPr>
        <w:spacing w:after="0" w:line="54"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At March 31, 2022, we had $148.5 million of principal outstanding under the Term Loan Facility without regard to capitalized debt issuance costs. A one-percent increase in one-month LIBOR would have resulted in a net increase in interest expense of $0.5 million on an annualized basis due to the fact that the Term Loan Facility is subject to a LIBOR floor of 1.00% and one-month LIBOR was below the floor as of March 31, 2022.</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had no outstanding borrowings under the ABL Facility at March 31, 2022.</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Risk</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Translation of our operating cash flows denominated in foreign currencies is impacted by changes in foreign exchange rates. We participate in various third party and intercompany loans, payables, and receivables denominated in currencies other than the U.S. dollar. To help reduce exposure to foreign currency fluctuation, we have incurred debt in euros in the past. From time to time, we may use foreign currency derivatives to hedge currency exposures when these exposures meet certain discretionary levels. We did not hold a position in any foreign currency derivatives as of March 31,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Under the supervision and with the participation of management, including our Chief Executive Officer and Chief Financial Officer, we evaluated the effectiveness of disclosure controls and procedures (as defined in Rule 13a-15(e) and 15d-15(e) of the Securities Exchange Act of 1934, as amended (the “Exchange Act”)). Based upon that evaluation, our Chief Executive Officer and Chief Financial Officer concluded that our disclosure controls and procedures were effective as of March 31, 2022, to ensure that information required to be disclosed in the reports that we file or submit under the Exchange Act is recorded, processed, summarized, and reported within the time periods specified in the SEC’s rules and forms, and that such information is accumulated and communicated to management, including the Chief Executive Officer and Chief Financial Officer, as appropriate, to allow for timely decisions regarding required disclosure.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the Exchange Act Rules 13a-15(f) and 15d-15(f)) that occurred during the fiscal quarter ended March 31, 2022, that have materially affected, or are reasonably likely to materially affect, our internal control over financial reporting.</w:t>
      </w:r>
    </w:p>
    <w:p>
      <w:pPr>
        <w:spacing w:after="0" w:line="200" w:lineRule="exact"/>
        <w:rPr>
          <w:sz w:val="20"/>
          <w:szCs w:val="20"/>
          <w:color w:val="auto"/>
        </w:rPr>
      </w:pPr>
    </w:p>
    <w:p>
      <w:pPr>
        <w:spacing w:after="0" w:line="3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121"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As disclosed in Note 9 in the Notes to Condensed Consolidated Financial Statements included in this Quarterly Report, we are engaged in certain legal proceedings, and the disclosure set forth in Note 9 relating to legal proceedings is incorporated herein by reference.</w:t>
      </w:r>
    </w:p>
    <w:p>
      <w:pPr>
        <w:spacing w:after="0" w:line="200" w:lineRule="exact"/>
        <w:rPr>
          <w:sz w:val="20"/>
          <w:szCs w:val="20"/>
          <w:color w:val="auto"/>
        </w:rPr>
      </w:pPr>
    </w:p>
    <w:p>
      <w:pPr>
        <w:spacing w:after="0" w:line="309"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8"/>
          <w:szCs w:val="18"/>
          <w:b w:val="1"/>
          <w:bCs w:val="1"/>
          <w:color w:val="auto"/>
        </w:rPr>
        <w:t>Risk Factors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Except as noted below, there have been no material changes to the risk factors disclosed in the 2021 Annual Report under Item 1A, “Risk Factors.”</w:t>
      </w:r>
    </w:p>
    <w:p>
      <w:pPr>
        <w:spacing w:after="0" w:line="113"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international operations and business, financial condition, and prospects may be adversely affected by the current military conflict between Russia and Ukraine and other future social and geopolitical instability.</w:t>
      </w:r>
    </w:p>
    <w:p>
      <w:pPr>
        <w:spacing w:after="0" w:line="5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We are exposed to the risk of changes in social, geopolitical, legal, and economic conditions. The global economy has been, and may continue to be, negatively impacted by Russia’s invasion of Ukraine. As a result of Russia’s invasion of Ukraine, the United States, the European Union, the United Kingdom, and other G7 countries, among other countries, have imposed substantial financial and economic sanctions on certain industry sectors and parties in Russia. Broad restrictions on exports to Russia have also been imposed. These measures include: (i) comprehensive financial sanctions against major Russian banks; (ii) additional designations of Russian individuals with significant business interests and government connections; (iii) designations of individuals and entities involved in Russian military activities; and (iv) enhanced export controls and trade sanctions limiting Russia’s ability to import various goods. The negative impacts arising from the conflict and these sanctions and export restrictions may include reduced consumer demand, supply chain disruptions and increased costs for transportation, energy, and raw materials. Although none of our operations are physically located in Russia or Ukraine, further escalation of geopolitical tensions could have a broader impact that expands into other markets where we do business, which may adversely affect our business, financial condition, results of operations and prospects. For example, oil prices have increased significantly, and Russia recently announced its decision to cease the sale of natural gas to Poland and Bulgaria for those countries’ refusal to pay in rubles. As a result of this decision by Russia and rising oil prices, utility costs in Europe have increased dramatically. Our facilities in Poland and France will be negatively impacted by rising energy costs, and such impacts could have a material, adverse effect on our European operations and our business as a whole.</w:t>
      </w:r>
    </w:p>
    <w:p>
      <w:pPr>
        <w:spacing w:after="0" w:line="200" w:lineRule="exact"/>
        <w:rPr>
          <w:sz w:val="20"/>
          <w:szCs w:val="20"/>
          <w:color w:val="auto"/>
        </w:rPr>
      </w:pP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2.</w:t>
            </w:r>
          </w:p>
        </w:tc>
        <w:tc>
          <w:tcPr>
            <w:tcW w:w="4800" w:type="dxa"/>
            <w:vAlign w:val="bottom"/>
            <w:gridSpan w:val="5"/>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Unregistered Sales of Equity Securities and Use of Proceeds</w:t>
            </w: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912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The following table provides information about purchases we made during the quarter ended March 31, 2022.</w:t>
            </w:r>
          </w:p>
        </w:tc>
        <w:tc>
          <w:tcPr>
            <w:tcW w:w="2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120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Total Number of</w:t>
            </w:r>
          </w:p>
        </w:tc>
        <w:tc>
          <w:tcPr>
            <w:tcW w:w="21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Maximum Number (or</w:t>
            </w:r>
          </w:p>
        </w:tc>
        <w:tc>
          <w:tcPr>
            <w:tcW w:w="0" w:type="dxa"/>
            <w:vAlign w:val="bottom"/>
          </w:tcPr>
          <w:p>
            <w:pPr>
              <w:spacing w:after="0"/>
              <w:rPr>
                <w:sz w:val="1"/>
                <w:szCs w:val="1"/>
                <w:color w:val="auto"/>
              </w:rPr>
            </w:pPr>
          </w:p>
        </w:tc>
      </w:tr>
      <w:tr>
        <w:trPr>
          <w:trHeight w:val="144"/>
        </w:trPr>
        <w:tc>
          <w:tcPr>
            <w:tcW w:w="120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20" w:type="dxa"/>
            <w:vAlign w:val="bottom"/>
            <w:gridSpan w:val="2"/>
          </w:tcPr>
          <w:p>
            <w:pPr>
              <w:jc w:val="center"/>
              <w:ind w:right="100"/>
              <w:spacing w:after="0" w:line="145" w:lineRule="exact"/>
              <w:rPr>
                <w:sz w:val="20"/>
                <w:szCs w:val="20"/>
                <w:color w:val="auto"/>
              </w:rPr>
            </w:pPr>
            <w:r>
              <w:rPr>
                <w:rFonts w:ascii="Times New Roman" w:cs="Times New Roman" w:eastAsia="Times New Roman" w:hAnsi="Times New Roman"/>
                <w:sz w:val="14"/>
                <w:szCs w:val="14"/>
                <w:color w:val="auto"/>
              </w:rPr>
              <w:t>Shares Purchased</w:t>
            </w:r>
          </w:p>
        </w:tc>
        <w:tc>
          <w:tcPr>
            <w:tcW w:w="212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color w:val="auto"/>
              </w:rPr>
              <w:t>Approximate Dollar Value)</w:t>
            </w:r>
          </w:p>
        </w:tc>
        <w:tc>
          <w:tcPr>
            <w:tcW w:w="0" w:type="dxa"/>
            <w:vAlign w:val="bottom"/>
          </w:tcPr>
          <w:p>
            <w:pPr>
              <w:spacing w:after="0"/>
              <w:rPr>
                <w:sz w:val="1"/>
                <w:szCs w:val="1"/>
                <w:color w:val="auto"/>
              </w:rPr>
            </w:pPr>
          </w:p>
        </w:tc>
      </w:tr>
      <w:tr>
        <w:trPr>
          <w:trHeight w:val="139"/>
        </w:trPr>
        <w:tc>
          <w:tcPr>
            <w:tcW w:w="120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color w:val="auto"/>
              </w:rPr>
              <w:t>Total Number of</w:t>
            </w:r>
          </w:p>
        </w:tc>
        <w:tc>
          <w:tcPr>
            <w:tcW w:w="180" w:type="dxa"/>
            <w:vAlign w:val="bottom"/>
          </w:tcPr>
          <w:p>
            <w:pPr>
              <w:spacing w:after="0"/>
              <w:rPr>
                <w:sz w:val="12"/>
                <w:szCs w:val="12"/>
                <w:color w:val="auto"/>
              </w:rPr>
            </w:pPr>
          </w:p>
        </w:tc>
        <w:tc>
          <w:tcPr>
            <w:tcW w:w="150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color w:val="auto"/>
              </w:rPr>
              <w:t>Average Price Paid</w:t>
            </w:r>
          </w:p>
        </w:tc>
        <w:tc>
          <w:tcPr>
            <w:tcW w:w="1620" w:type="dxa"/>
            <w:vAlign w:val="bottom"/>
            <w:gridSpan w:val="2"/>
          </w:tcPr>
          <w:p>
            <w:pPr>
              <w:jc w:val="center"/>
              <w:ind w:right="120"/>
              <w:spacing w:after="0" w:line="139" w:lineRule="exact"/>
              <w:rPr>
                <w:sz w:val="20"/>
                <w:szCs w:val="20"/>
                <w:color w:val="auto"/>
              </w:rPr>
            </w:pPr>
            <w:r>
              <w:rPr>
                <w:rFonts w:ascii="Times New Roman" w:cs="Times New Roman" w:eastAsia="Times New Roman" w:hAnsi="Times New Roman"/>
                <w:sz w:val="14"/>
                <w:szCs w:val="14"/>
                <w:color w:val="auto"/>
              </w:rPr>
              <w:t>as Part of Publicly</w:t>
            </w:r>
          </w:p>
        </w:tc>
        <w:tc>
          <w:tcPr>
            <w:tcW w:w="2120" w:type="dxa"/>
            <w:vAlign w:val="bottom"/>
          </w:tcPr>
          <w:p>
            <w:pPr>
              <w:jc w:val="center"/>
              <w:spacing w:after="0" w:line="139" w:lineRule="exact"/>
              <w:rPr>
                <w:sz w:val="20"/>
                <w:szCs w:val="20"/>
                <w:color w:val="auto"/>
              </w:rPr>
            </w:pPr>
            <w:r>
              <w:rPr>
                <w:rFonts w:ascii="Times New Roman" w:cs="Times New Roman" w:eastAsia="Times New Roman" w:hAnsi="Times New Roman"/>
                <w:sz w:val="14"/>
                <w:szCs w:val="14"/>
                <w:color w:val="auto"/>
              </w:rPr>
              <w:t>of Shares That May Yet</w:t>
            </w:r>
          </w:p>
        </w:tc>
        <w:tc>
          <w:tcPr>
            <w:tcW w:w="0" w:type="dxa"/>
            <w:vAlign w:val="bottom"/>
          </w:tcPr>
          <w:p>
            <w:pPr>
              <w:spacing w:after="0"/>
              <w:rPr>
                <w:sz w:val="1"/>
                <w:szCs w:val="1"/>
                <w:color w:val="auto"/>
              </w:rPr>
            </w:pPr>
          </w:p>
        </w:tc>
      </w:tr>
      <w:tr>
        <w:trPr>
          <w:trHeight w:val="145"/>
        </w:trPr>
        <w:tc>
          <w:tcPr>
            <w:tcW w:w="12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Period</w:t>
            </w:r>
          </w:p>
        </w:tc>
        <w:tc>
          <w:tcPr>
            <w:tcW w:w="2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1620" w:type="dxa"/>
            <w:vAlign w:val="bottom"/>
            <w:gridSpan w:val="2"/>
          </w:tcPr>
          <w:p>
            <w:pPr>
              <w:jc w:val="center"/>
              <w:ind w:right="100"/>
              <w:spacing w:after="0" w:line="145" w:lineRule="exact"/>
              <w:rPr>
                <w:sz w:val="20"/>
                <w:szCs w:val="20"/>
                <w:color w:val="auto"/>
              </w:rPr>
            </w:pPr>
            <w:r>
              <w:rPr>
                <w:rFonts w:ascii="Times New Roman" w:cs="Times New Roman" w:eastAsia="Times New Roman" w:hAnsi="Times New Roman"/>
                <w:sz w:val="14"/>
                <w:szCs w:val="14"/>
                <w:color w:val="auto"/>
              </w:rPr>
              <w:t>Announced Plans</w:t>
            </w:r>
          </w:p>
        </w:tc>
        <w:tc>
          <w:tcPr>
            <w:tcW w:w="212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color w:val="auto"/>
              </w:rPr>
              <w:t>Be Purchased Under the</w:t>
            </w:r>
          </w:p>
        </w:tc>
        <w:tc>
          <w:tcPr>
            <w:tcW w:w="0" w:type="dxa"/>
            <w:vAlign w:val="bottom"/>
          </w:tcPr>
          <w:p>
            <w:pPr>
              <w:spacing w:after="0"/>
              <w:rPr>
                <w:sz w:val="1"/>
                <w:szCs w:val="1"/>
                <w:color w:val="auto"/>
              </w:rPr>
            </w:pPr>
          </w:p>
        </w:tc>
      </w:tr>
      <w:tr>
        <w:trPr>
          <w:trHeight w:val="201"/>
        </w:trPr>
        <w:tc>
          <w:tcPr>
            <w:tcW w:w="1200" w:type="dxa"/>
            <w:vAlign w:val="bottom"/>
            <w:vMerge w:val="continue"/>
          </w:tcPr>
          <w:p>
            <w:pPr>
              <w:spacing w:after="0"/>
              <w:rPr>
                <w:sz w:val="17"/>
                <w:szCs w:val="17"/>
                <w:color w:val="auto"/>
              </w:rPr>
            </w:pPr>
          </w:p>
        </w:tc>
        <w:tc>
          <w:tcPr>
            <w:tcW w:w="2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40" w:type="dxa"/>
            <w:vAlign w:val="bottom"/>
            <w:gridSpan w:val="2"/>
          </w:tcPr>
          <w:p>
            <w:pPr>
              <w:jc w:val="center"/>
              <w:ind w:right="120"/>
              <w:spacing w:after="0" w:line="201" w:lineRule="exact"/>
              <w:rPr>
                <w:sz w:val="20"/>
                <w:szCs w:val="20"/>
                <w:color w:val="auto"/>
              </w:rPr>
            </w:pPr>
            <w:r>
              <w:rPr>
                <w:rFonts w:ascii="Times New Roman" w:cs="Times New Roman" w:eastAsia="Times New Roman" w:hAnsi="Times New Roman"/>
                <w:sz w:val="14"/>
                <w:szCs w:val="14"/>
                <w:color w:val="auto"/>
                <w:w w:val="98"/>
              </w:rPr>
              <w:t xml:space="preserve">Shares Purchased </w:t>
            </w:r>
            <w:r>
              <w:rPr>
                <w:rFonts w:ascii="Times New Roman" w:cs="Times New Roman" w:eastAsia="Times New Roman" w:hAnsi="Times New Roman"/>
                <w:sz w:val="18"/>
                <w:szCs w:val="18"/>
                <w:color w:val="auto"/>
                <w:w w:val="98"/>
                <w:vertAlign w:val="superscript"/>
              </w:rPr>
              <w:t>(1)</w:t>
            </w:r>
          </w:p>
        </w:tc>
        <w:tc>
          <w:tcPr>
            <w:tcW w:w="180" w:type="dxa"/>
            <w:vAlign w:val="bottom"/>
          </w:tcPr>
          <w:p>
            <w:pPr>
              <w:spacing w:after="0"/>
              <w:rPr>
                <w:sz w:val="17"/>
                <w:szCs w:val="17"/>
                <w:color w:val="auto"/>
              </w:rPr>
            </w:pPr>
          </w:p>
        </w:tc>
        <w:tc>
          <w:tcPr>
            <w:tcW w:w="15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w w:val="99"/>
              </w:rPr>
              <w:t>Per Share</w:t>
            </w:r>
          </w:p>
        </w:tc>
        <w:tc>
          <w:tcPr>
            <w:tcW w:w="1620" w:type="dxa"/>
            <w:vAlign w:val="bottom"/>
            <w:gridSpan w:val="2"/>
          </w:tcPr>
          <w:p>
            <w:pPr>
              <w:jc w:val="center"/>
              <w:ind w:right="100"/>
              <w:spacing w:after="0" w:line="201" w:lineRule="exact"/>
              <w:rPr>
                <w:sz w:val="20"/>
                <w:szCs w:val="20"/>
                <w:color w:val="auto"/>
              </w:rPr>
            </w:pPr>
            <w:r>
              <w:rPr>
                <w:rFonts w:ascii="Times New Roman" w:cs="Times New Roman" w:eastAsia="Times New Roman" w:hAnsi="Times New Roman"/>
                <w:sz w:val="14"/>
                <w:szCs w:val="14"/>
                <w:color w:val="auto"/>
                <w:w w:val="97"/>
              </w:rPr>
              <w:t xml:space="preserve">or Programs </w:t>
            </w:r>
            <w:r>
              <w:rPr>
                <w:rFonts w:ascii="Times New Roman" w:cs="Times New Roman" w:eastAsia="Times New Roman" w:hAnsi="Times New Roman"/>
                <w:sz w:val="18"/>
                <w:szCs w:val="18"/>
                <w:color w:val="auto"/>
                <w:w w:val="97"/>
                <w:vertAlign w:val="superscript"/>
              </w:rPr>
              <w:t>(1)</w:t>
            </w:r>
          </w:p>
        </w:tc>
        <w:tc>
          <w:tcPr>
            <w:tcW w:w="2120" w:type="dxa"/>
            <w:vAlign w:val="bottom"/>
          </w:tcPr>
          <w:p>
            <w:pPr>
              <w:jc w:val="center"/>
              <w:spacing w:after="0" w:line="201" w:lineRule="exact"/>
              <w:rPr>
                <w:sz w:val="20"/>
                <w:szCs w:val="20"/>
                <w:color w:val="auto"/>
              </w:rPr>
            </w:pPr>
            <w:r>
              <w:rPr>
                <w:rFonts w:ascii="Times New Roman" w:cs="Times New Roman" w:eastAsia="Times New Roman" w:hAnsi="Times New Roman"/>
                <w:sz w:val="14"/>
                <w:szCs w:val="14"/>
                <w:color w:val="auto"/>
              </w:rPr>
              <w:t xml:space="preserve">Plan or Programs </w:t>
            </w:r>
            <w:r>
              <w:rPr>
                <w:rFonts w:ascii="Times New Roman" w:cs="Times New Roman" w:eastAsia="Times New Roman" w:hAnsi="Times New Roman"/>
                <w:sz w:val="18"/>
                <w:szCs w:val="18"/>
                <w:color w:val="auto"/>
                <w:vertAlign w:val="superscript"/>
              </w:rPr>
              <w:t>(1)</w:t>
            </w:r>
          </w:p>
        </w:tc>
        <w:tc>
          <w:tcPr>
            <w:tcW w:w="0" w:type="dxa"/>
            <w:vAlign w:val="bottom"/>
          </w:tcPr>
          <w:p>
            <w:pPr>
              <w:spacing w:after="0"/>
              <w:rPr>
                <w:sz w:val="1"/>
                <w:szCs w:val="1"/>
                <w:color w:val="auto"/>
              </w:rPr>
            </w:pPr>
          </w:p>
        </w:tc>
      </w:tr>
      <w:tr>
        <w:trPr>
          <w:trHeight w:val="223"/>
        </w:trPr>
        <w:tc>
          <w:tcPr>
            <w:tcW w:w="1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January 2022</w:t>
            </w:r>
          </w:p>
        </w:tc>
        <w:tc>
          <w:tcPr>
            <w:tcW w:w="27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120" w:type="dxa"/>
            <w:vAlign w:val="bottom"/>
            <w:tcBorders>
              <w:top w:val="single" w:sz="8" w:color="auto"/>
            </w:tcBorders>
            <w:shd w:val="clear" w:color="auto" w:fill="CCEEFF"/>
          </w:tcPr>
          <w:p>
            <w:pPr>
              <w:ind w:left="18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2022</w:t>
            </w:r>
          </w:p>
        </w:tc>
        <w:tc>
          <w:tcPr>
            <w:tcW w:w="4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9,785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100" w:type="dxa"/>
            <w:vAlign w:val="bottom"/>
          </w:tcPr>
          <w:p>
            <w:pPr>
              <w:spacing w:after="0"/>
              <w:rPr>
                <w:sz w:val="19"/>
                <w:szCs w:val="19"/>
                <w:color w:val="auto"/>
              </w:rPr>
            </w:pPr>
          </w:p>
        </w:tc>
        <w:tc>
          <w:tcPr>
            <w:tcW w:w="1620" w:type="dxa"/>
            <w:vAlign w:val="bottom"/>
            <w:gridSpan w:val="2"/>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1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2022</w:t>
            </w:r>
          </w:p>
        </w:tc>
        <w:tc>
          <w:tcPr>
            <w:tcW w:w="45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19,803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10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shd w:val="clear" w:color="auto" w:fill="CCEEFF"/>
          </w:tcPr>
          <w:p>
            <w:pPr>
              <w:ind w:left="18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29,588</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100" w:type="dxa"/>
            <w:vAlign w:val="bottom"/>
          </w:tcPr>
          <w:p>
            <w:pPr>
              <w:spacing w:after="0"/>
              <w:rPr>
                <w:sz w:val="19"/>
                <w:szCs w:val="19"/>
                <w:color w:val="auto"/>
              </w:rPr>
            </w:pPr>
          </w:p>
        </w:tc>
        <w:tc>
          <w:tcPr>
            <w:tcW w:w="1520" w:type="dxa"/>
            <w:vAlign w:val="bottom"/>
            <w:tcBorders>
              <w:top w:val="single" w:sz="8" w:color="auto"/>
              <w:bottom w:val="single" w:sz="8" w:color="auto"/>
            </w:tcBorders>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120" w:type="dxa"/>
            <w:vAlign w:val="bottom"/>
            <w:tcBorders>
              <w:top w:val="single" w:sz="8" w:color="auto"/>
              <w:bottom w:val="single" w:sz="8" w:color="auto"/>
            </w:tcBorders>
          </w:tcPr>
          <w:p>
            <w:pPr>
              <w:ind w:left="18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w:t>
      </w:r>
    </w:p>
    <w:p>
      <w:pPr>
        <w:spacing w:after="0" w:line="113" w:lineRule="exact"/>
        <w:rPr>
          <w:sz w:val="20"/>
          <w:szCs w:val="20"/>
          <w:color w:val="auto"/>
        </w:rPr>
      </w:pPr>
    </w:p>
    <w:p>
      <w:pPr>
        <w:ind w:left="660" w:hanging="328"/>
        <w:spacing w:after="0" w:line="261" w:lineRule="auto"/>
        <w:tabs>
          <w:tab w:leader="none" w:pos="652"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Shares were withheld to pay for tax obligations due upon the vesting of restricted stock held by certain employees granted under the NN, Inc. 2019 Omnibus Incentive Plan (the “Plan”). The Plan provides for the withholding of shares to satisfy tax obligations. It does not specify a maximum number of shares that can be withheld for this purpose. These shares may be deemed to be “issuer purchases” of shares that are required to be disclosed pursuant to this Item.</w:t>
      </w:r>
    </w:p>
    <w:p>
      <w:pPr>
        <w:spacing w:after="0" w:line="200" w:lineRule="exact"/>
        <w:rPr>
          <w:sz w:val="20"/>
          <w:szCs w:val="20"/>
          <w:color w:val="auto"/>
        </w:rPr>
      </w:pPr>
    </w:p>
    <w:p>
      <w:pPr>
        <w:spacing w:after="0" w:line="327"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Defaults Upon Senior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5.</w:t>
            </w:r>
          </w:p>
        </w:tc>
        <w:tc>
          <w:tcPr>
            <w:tcW w:w="20" w:type="dxa"/>
            <w:vAlign w:val="bottom"/>
          </w:tcPr>
          <w:p>
            <w:pPr>
              <w:spacing w:after="0"/>
              <w:rPr>
                <w:sz w:val="20"/>
                <w:szCs w:val="20"/>
                <w:color w:val="auto"/>
              </w:rPr>
            </w:pPr>
          </w:p>
        </w:tc>
        <w:tc>
          <w:tcPr>
            <w:tcW w:w="9920" w:type="dxa"/>
            <w:vAlign w:val="bottom"/>
            <w:gridSpan w:val="9"/>
          </w:tcPr>
          <w:p>
            <w:pPr>
              <w:ind w:left="160"/>
              <w:spacing w:after="0"/>
              <w:rPr>
                <w:sz w:val="20"/>
                <w:szCs w:val="20"/>
                <w:color w:val="auto"/>
              </w:rPr>
            </w:pPr>
            <w:r>
              <w:rPr>
                <w:rFonts w:ascii="Times New Roman" w:cs="Times New Roman" w:eastAsia="Times New Roman" w:hAnsi="Times New Roman"/>
                <w:sz w:val="18"/>
                <w:szCs w:val="18"/>
                <w:b w:val="1"/>
                <w:bCs w:val="1"/>
                <w:color w:val="auto"/>
              </w:rPr>
              <w:t>Other Information</w:t>
            </w:r>
          </w:p>
        </w:tc>
        <w:tc>
          <w:tcPr>
            <w:tcW w:w="0" w:type="dxa"/>
            <w:vAlign w:val="bottom"/>
          </w:tcPr>
          <w:p>
            <w:pPr>
              <w:spacing w:after="0"/>
              <w:rPr>
                <w:sz w:val="1"/>
                <w:szCs w:val="1"/>
                <w:color w:val="auto"/>
              </w:rPr>
            </w:pPr>
          </w:p>
        </w:tc>
      </w:tr>
      <w:tr>
        <w:trPr>
          <w:trHeight w:val="324"/>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None.</w:t>
            </w: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8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83"/>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20" w:type="dxa"/>
            <w:vAlign w:val="bottom"/>
          </w:tcPr>
          <w:p>
            <w:pPr>
              <w:spacing w:after="0"/>
              <w:rPr>
                <w:sz w:val="24"/>
                <w:szCs w:val="24"/>
                <w:color w:val="auto"/>
              </w:rPr>
            </w:pPr>
          </w:p>
        </w:tc>
        <w:tc>
          <w:tcPr>
            <w:tcW w:w="9920" w:type="dxa"/>
            <w:vAlign w:val="bottom"/>
            <w:gridSpan w:val="9"/>
          </w:tcPr>
          <w:p>
            <w:pPr>
              <w:ind w:left="160"/>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0" w:type="dxa"/>
            <w:vAlign w:val="bottom"/>
          </w:tcPr>
          <w:p>
            <w:pPr>
              <w:spacing w:after="0"/>
              <w:rPr>
                <w:sz w:val="1"/>
                <w:szCs w:val="1"/>
                <w:color w:val="auto"/>
              </w:rPr>
            </w:pPr>
          </w:p>
        </w:tc>
      </w:tr>
      <w:tr>
        <w:trPr>
          <w:trHeight w:val="257"/>
        </w:trPr>
        <w:tc>
          <w:tcPr>
            <w:tcW w:w="112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9240" w:type="dxa"/>
            <w:vAlign w:val="bottom"/>
            <w:gridSpan w:val="8"/>
            <w:vMerge w:val="restart"/>
          </w:tcPr>
          <w:p>
            <w:pPr>
              <w:ind w:left="39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96"/>
        </w:trPr>
        <w:tc>
          <w:tcPr>
            <w:tcW w:w="112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240" w:type="dxa"/>
            <w:vAlign w:val="bottom"/>
            <w:gridSpan w:val="8"/>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37"/>
        </w:trPr>
        <w:tc>
          <w:tcPr>
            <w:tcW w:w="10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9920" w:type="dxa"/>
            <w:vAlign w:val="bottom"/>
            <w:tcBorders>
              <w:top w:val="single" w:sz="8" w:color="auto"/>
            </w:tcBorders>
            <w:gridSpan w:val="9"/>
          </w:tcPr>
          <w:p>
            <w:pPr>
              <w:spacing w:after="0"/>
              <w:rPr>
                <w:rFonts w:ascii="Times New Roman" w:cs="Times New Roman" w:eastAsia="Times New Roman" w:hAnsi="Times New Roman"/>
                <w:sz w:val="18"/>
                <w:szCs w:val="18"/>
                <w:color w:val="0000FF"/>
              </w:rPr>
            </w:pPr>
            <w:hyperlink r:id="rId53">
              <w:r>
                <w:rPr>
                  <w:rFonts w:ascii="Times New Roman" w:cs="Times New Roman" w:eastAsia="Times New Roman" w:hAnsi="Times New Roman"/>
                  <w:sz w:val="18"/>
                  <w:szCs w:val="18"/>
                  <w:color w:val="0000FF"/>
                </w:rPr>
                <w:t>Amendment No. 1 to Term Loan Credit Agreement, dated as of March 3, 2022, by and among NN, Inc., certain subsidiaries of NN, Inc.,</w:t>
              </w:r>
            </w:hyperlink>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20" w:type="dxa"/>
            <w:vAlign w:val="bottom"/>
            <w:tcBorders>
              <w:top w:val="single" w:sz="8" w:color="0000FF"/>
            </w:tcBorders>
            <w:gridSpan w:val="8"/>
          </w:tcPr>
          <w:p>
            <w:pPr>
              <w:spacing w:after="0" w:line="156" w:lineRule="exact"/>
              <w:rPr>
                <w:rFonts w:ascii="Times New Roman" w:cs="Times New Roman" w:eastAsia="Times New Roman" w:hAnsi="Times New Roman"/>
                <w:sz w:val="18"/>
                <w:szCs w:val="18"/>
                <w:color w:val="0000FF"/>
              </w:rPr>
            </w:pPr>
            <w:hyperlink r:id="rId53">
              <w:r>
                <w:rPr>
                  <w:rFonts w:ascii="Times New Roman" w:cs="Times New Roman" w:eastAsia="Times New Roman" w:hAnsi="Times New Roman"/>
                  <w:sz w:val="18"/>
                  <w:szCs w:val="18"/>
                  <w:color w:val="0000FF"/>
                </w:rPr>
                <w:t>the lenders party thereto, and Oaktree Fund Administration, LLC, as administrative agent (Filed as Exhibit 10.1 to the Registrant’s</w:t>
              </w:r>
            </w:hyperlink>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560" w:type="dxa"/>
            <w:vAlign w:val="bottom"/>
            <w:tcBorders>
              <w:top w:val="single" w:sz="8" w:color="0000FF"/>
              <w:bottom w:val="single" w:sz="8" w:color="0000FF"/>
            </w:tcBorders>
            <w:gridSpan w:val="2"/>
          </w:tcPr>
          <w:p>
            <w:pPr>
              <w:spacing w:after="0" w:line="156" w:lineRule="exact"/>
              <w:rPr>
                <w:rFonts w:ascii="Times New Roman" w:cs="Times New Roman" w:eastAsia="Times New Roman" w:hAnsi="Times New Roman"/>
                <w:sz w:val="18"/>
                <w:szCs w:val="18"/>
                <w:color w:val="0000FF"/>
                <w:w w:val="99"/>
              </w:rPr>
            </w:pPr>
            <w:hyperlink r:id="rId53">
              <w:r>
                <w:rPr>
                  <w:rFonts w:ascii="Times New Roman" w:cs="Times New Roman" w:eastAsia="Times New Roman" w:hAnsi="Times New Roman"/>
                  <w:sz w:val="18"/>
                  <w:szCs w:val="18"/>
                  <w:color w:val="0000FF"/>
                  <w:w w:val="99"/>
                </w:rPr>
                <w:t>Current Report on Form 8-K filed on March 3, 2022 and incorporated herein by reference).</w:t>
              </w:r>
            </w:hyperlink>
          </w:p>
        </w:tc>
        <w:tc>
          <w:tcPr>
            <w:tcW w:w="2820" w:type="dxa"/>
            <w:vAlign w:val="bottom"/>
            <w:tcBorders>
              <w:top w:val="single" w:sz="8" w:color="0000FF"/>
            </w:tcBorders>
            <w:gridSpan w:val="3"/>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385"/>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2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Rules 13a-14(a) and 15d-14(a) under the Securities Exchange Act of 1934, as</w:t>
            </w:r>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00" w:type="dxa"/>
            <w:vAlign w:val="bottom"/>
            <w:tcBorders>
              <w:top w:val="single" w:sz="8" w:color="0000FF"/>
            </w:tcBorders>
            <w:gridSpan w:val="7"/>
          </w:tcPr>
          <w:p>
            <w:pPr>
              <w:spacing w:after="0" w:line="156" w:lineRule="exact"/>
              <w:rPr>
                <w:sz w:val="20"/>
                <w:szCs w:val="20"/>
                <w:color w:val="auto"/>
              </w:rPr>
            </w:pPr>
            <w:r>
              <w:rPr>
                <w:rFonts w:ascii="Times New Roman" w:cs="Times New Roman" w:eastAsia="Times New Roman" w:hAnsi="Times New Roman"/>
                <w:sz w:val="18"/>
                <w:szCs w:val="18"/>
                <w:color w:val="0000FF"/>
              </w:rPr>
              <w:t>amended.</w:t>
            </w:r>
          </w:p>
        </w:tc>
        <w:tc>
          <w:tcPr>
            <w:tcW w:w="32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67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2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Rules 13a-14(a) and 15d-14(a) under the Securities Exchange Act of 1934, as</w:t>
            </w:r>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560" w:type="dxa"/>
            <w:vAlign w:val="bottom"/>
            <w:tcBorders>
              <w:top w:val="single" w:sz="8" w:color="0000FF"/>
            </w:tcBorders>
            <w:gridSpan w:val="6"/>
          </w:tcPr>
          <w:p>
            <w:pPr>
              <w:spacing w:after="0" w:line="156" w:lineRule="exact"/>
              <w:rPr>
                <w:sz w:val="20"/>
                <w:szCs w:val="20"/>
                <w:color w:val="auto"/>
              </w:rPr>
            </w:pPr>
            <w:r>
              <w:rPr>
                <w:rFonts w:ascii="Times New Roman" w:cs="Times New Roman" w:eastAsia="Times New Roman" w:hAnsi="Times New Roman"/>
                <w:sz w:val="18"/>
                <w:szCs w:val="18"/>
                <w:color w:val="0000FF"/>
              </w:rPr>
              <w:t>amended.</w:t>
            </w:r>
          </w:p>
        </w:tc>
        <w:tc>
          <w:tcPr>
            <w:tcW w:w="3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67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6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2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Section 906 of the Sarbanes-Oxley Act of 2002.</w:t>
            </w:r>
          </w:p>
        </w:tc>
        <w:tc>
          <w:tcPr>
            <w:tcW w:w="0" w:type="dxa"/>
            <w:vAlign w:val="bottom"/>
          </w:tcPr>
          <w:p>
            <w:pPr>
              <w:spacing w:after="0"/>
              <w:rPr>
                <w:sz w:val="1"/>
                <w:szCs w:val="1"/>
                <w:color w:val="auto"/>
              </w:rPr>
            </w:pPr>
          </w:p>
        </w:tc>
      </w:tr>
      <w:tr>
        <w:trPr>
          <w:trHeight w:val="372"/>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2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Certification of Principal Financial Officer pursuant to Section 906 of the Sarbanes-Oxley Act of 2002.</w:t>
            </w:r>
          </w:p>
        </w:tc>
        <w:tc>
          <w:tcPr>
            <w:tcW w:w="40" w:type="dxa"/>
            <w:vAlign w:val="bottom"/>
            <w:tcBorders>
              <w:top w:val="single" w:sz="8" w:color="0000FF"/>
            </w:tcBorders>
          </w:tcPr>
          <w:p>
            <w:pPr>
              <w:spacing w:after="0"/>
              <w:rPr>
                <w:sz w:val="24"/>
                <w:szCs w:val="24"/>
                <w:color w:val="auto"/>
              </w:rPr>
            </w:pPr>
          </w:p>
        </w:tc>
        <w:tc>
          <w:tcPr>
            <w:tcW w:w="246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20" w:type="dxa"/>
            <w:vAlign w:val="bottom"/>
          </w:tcPr>
          <w:p>
            <w:pPr>
              <w:spacing w:after="0"/>
              <w:rPr>
                <w:sz w:val="24"/>
                <w:szCs w:val="24"/>
                <w:color w:val="auto"/>
              </w:rPr>
            </w:pPr>
          </w:p>
        </w:tc>
        <w:tc>
          <w:tcPr>
            <w:tcW w:w="99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XBRL Instance Document</w:t>
            </w:r>
          </w:p>
        </w:tc>
        <w:tc>
          <w:tcPr>
            <w:tcW w:w="0" w:type="dxa"/>
            <w:vAlign w:val="bottom"/>
          </w:tcPr>
          <w:p>
            <w:pPr>
              <w:spacing w:after="0"/>
              <w:rPr>
                <w:sz w:val="1"/>
                <w:szCs w:val="1"/>
                <w:color w:val="auto"/>
              </w:rPr>
            </w:pPr>
          </w:p>
        </w:tc>
      </w:tr>
      <w:tr>
        <w:trPr>
          <w:trHeight w:val="392"/>
        </w:trPr>
        <w:tc>
          <w:tcPr>
            <w:tcW w:w="1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20" w:type="dxa"/>
            <w:vAlign w:val="bottom"/>
          </w:tcPr>
          <w:p>
            <w:pPr>
              <w:spacing w:after="0"/>
              <w:rPr>
                <w:sz w:val="24"/>
                <w:szCs w:val="24"/>
                <w:color w:val="auto"/>
              </w:rPr>
            </w:pPr>
          </w:p>
        </w:tc>
        <w:tc>
          <w:tcPr>
            <w:tcW w:w="99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XBRL Taxonomy Extension Service</w:t>
            </w:r>
          </w:p>
        </w:tc>
        <w:tc>
          <w:tcPr>
            <w:tcW w:w="0" w:type="dxa"/>
            <w:vAlign w:val="bottom"/>
          </w:tcPr>
          <w:p>
            <w:pPr>
              <w:spacing w:after="0"/>
              <w:rPr>
                <w:sz w:val="1"/>
                <w:szCs w:val="1"/>
                <w:color w:val="auto"/>
              </w:rPr>
            </w:pPr>
          </w:p>
        </w:tc>
      </w:tr>
      <w:tr>
        <w:trPr>
          <w:trHeight w:val="391"/>
        </w:trPr>
        <w:tc>
          <w:tcPr>
            <w:tcW w:w="1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20" w:type="dxa"/>
            <w:vAlign w:val="bottom"/>
          </w:tcPr>
          <w:p>
            <w:pPr>
              <w:spacing w:after="0"/>
              <w:rPr>
                <w:sz w:val="24"/>
                <w:szCs w:val="24"/>
                <w:color w:val="auto"/>
              </w:rPr>
            </w:pPr>
          </w:p>
        </w:tc>
        <w:tc>
          <w:tcPr>
            <w:tcW w:w="99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Taxonomy Calculation Linkbase</w:t>
            </w:r>
          </w:p>
        </w:tc>
        <w:tc>
          <w:tcPr>
            <w:tcW w:w="0" w:type="dxa"/>
            <w:vAlign w:val="bottom"/>
          </w:tcPr>
          <w:p>
            <w:pPr>
              <w:spacing w:after="0"/>
              <w:rPr>
                <w:sz w:val="1"/>
                <w:szCs w:val="1"/>
                <w:color w:val="auto"/>
              </w:rPr>
            </w:pPr>
          </w:p>
        </w:tc>
      </w:tr>
      <w:tr>
        <w:trPr>
          <w:trHeight w:val="392"/>
        </w:trPr>
        <w:tc>
          <w:tcPr>
            <w:tcW w:w="1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20" w:type="dxa"/>
            <w:vAlign w:val="bottom"/>
          </w:tcPr>
          <w:p>
            <w:pPr>
              <w:spacing w:after="0"/>
              <w:rPr>
                <w:sz w:val="24"/>
                <w:szCs w:val="24"/>
                <w:color w:val="auto"/>
              </w:rPr>
            </w:pPr>
          </w:p>
        </w:tc>
        <w:tc>
          <w:tcPr>
            <w:tcW w:w="99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XBRL Taxonomy Label Linkbase</w:t>
            </w:r>
          </w:p>
        </w:tc>
        <w:tc>
          <w:tcPr>
            <w:tcW w:w="0" w:type="dxa"/>
            <w:vAlign w:val="bottom"/>
          </w:tcPr>
          <w:p>
            <w:pPr>
              <w:spacing w:after="0"/>
              <w:rPr>
                <w:sz w:val="1"/>
                <w:szCs w:val="1"/>
                <w:color w:val="auto"/>
              </w:rPr>
            </w:pPr>
          </w:p>
        </w:tc>
      </w:tr>
      <w:tr>
        <w:trPr>
          <w:trHeight w:val="391"/>
        </w:trPr>
        <w:tc>
          <w:tcPr>
            <w:tcW w:w="1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20" w:type="dxa"/>
            <w:vAlign w:val="bottom"/>
          </w:tcPr>
          <w:p>
            <w:pPr>
              <w:spacing w:after="0"/>
              <w:rPr>
                <w:sz w:val="24"/>
                <w:szCs w:val="24"/>
                <w:color w:val="auto"/>
              </w:rPr>
            </w:pPr>
          </w:p>
        </w:tc>
        <w:tc>
          <w:tcPr>
            <w:tcW w:w="99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XBRL Presentation Linkbase Document</w:t>
            </w:r>
          </w:p>
        </w:tc>
        <w:tc>
          <w:tcPr>
            <w:tcW w:w="0" w:type="dxa"/>
            <w:vAlign w:val="bottom"/>
          </w:tcPr>
          <w:p>
            <w:pPr>
              <w:spacing w:after="0"/>
              <w:rPr>
                <w:sz w:val="1"/>
                <w:szCs w:val="1"/>
                <w:color w:val="auto"/>
              </w:rPr>
            </w:pPr>
          </w:p>
        </w:tc>
      </w:tr>
      <w:tr>
        <w:trPr>
          <w:trHeight w:val="392"/>
        </w:trPr>
        <w:tc>
          <w:tcPr>
            <w:tcW w:w="1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20" w:type="dxa"/>
            <w:vAlign w:val="bottom"/>
          </w:tcPr>
          <w:p>
            <w:pPr>
              <w:spacing w:after="0"/>
              <w:rPr>
                <w:sz w:val="24"/>
                <w:szCs w:val="24"/>
                <w:color w:val="auto"/>
              </w:rPr>
            </w:pPr>
          </w:p>
        </w:tc>
        <w:tc>
          <w:tcPr>
            <w:tcW w:w="99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XBRL Definition Linkbase Document</w:t>
            </w:r>
          </w:p>
        </w:tc>
        <w:tc>
          <w:tcPr>
            <w:tcW w:w="0" w:type="dxa"/>
            <w:vAlign w:val="bottom"/>
          </w:tcPr>
          <w:p>
            <w:pPr>
              <w:spacing w:after="0"/>
              <w:rPr>
                <w:sz w:val="1"/>
                <w:szCs w:val="1"/>
                <w:color w:val="auto"/>
              </w:rPr>
            </w:pPr>
          </w:p>
        </w:tc>
      </w:tr>
    </w:tbl>
    <w:p>
      <w:pPr>
        <w:spacing w:after="0" w:line="265" w:lineRule="exact"/>
        <w:rPr>
          <w:sz w:val="20"/>
          <w:szCs w:val="20"/>
          <w:color w:val="auto"/>
        </w:rPr>
      </w:pPr>
    </w:p>
    <w:p>
      <w:pPr>
        <w:ind w:left="1140" w:hanging="1114"/>
        <w:spacing w:after="0"/>
        <w:tabs>
          <w:tab w:leader="none" w:pos="11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56"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21" w:right="519" w:bottom="1440" w:gutter="0" w:footer="0" w:header="0"/>
        </w:sectPr>
      </w:pPr>
    </w:p>
    <w:bookmarkStart w:id="27" w:name="page28"/>
    <w:bookmarkEnd w:id="2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45"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600" w:type="dxa"/>
            <w:vAlign w:val="bottom"/>
          </w:tcPr>
          <w:p>
            <w:pPr>
              <w:spacing w:after="0"/>
              <w:rPr>
                <w:sz w:val="20"/>
                <w:szCs w:val="20"/>
                <w:color w:val="auto"/>
              </w:rPr>
            </w:pPr>
          </w:p>
        </w:tc>
        <w:tc>
          <w:tcPr>
            <w:tcW w:w="5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NN, Inc.</w:t>
            </w:r>
          </w:p>
        </w:tc>
      </w:tr>
      <w:tr>
        <w:trPr>
          <w:trHeight w:val="228"/>
        </w:trPr>
        <w:tc>
          <w:tcPr>
            <w:tcW w:w="5600" w:type="dxa"/>
            <w:vAlign w:val="bottom"/>
          </w:tcPr>
          <w:p>
            <w:pPr>
              <w:spacing w:after="0"/>
              <w:rPr>
                <w:sz w:val="19"/>
                <w:szCs w:val="19"/>
                <w:color w:val="auto"/>
              </w:rPr>
            </w:pPr>
          </w:p>
        </w:tc>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(Registrant)</w:t>
            </w:r>
          </w:p>
        </w:tc>
      </w:tr>
      <w:tr>
        <w:trPr>
          <w:trHeight w:val="495"/>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Date: May 6, 2022</w:t>
            </w:r>
          </w:p>
        </w:tc>
        <w:tc>
          <w:tcPr>
            <w:tcW w:w="5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Warren A. Veltman</w:t>
            </w:r>
          </w:p>
        </w:tc>
      </w:tr>
      <w:tr>
        <w:trPr>
          <w:trHeight w:val="218"/>
        </w:trPr>
        <w:tc>
          <w:tcPr>
            <w:tcW w:w="5600" w:type="dxa"/>
            <w:vAlign w:val="bottom"/>
          </w:tcPr>
          <w:p>
            <w:pPr>
              <w:spacing w:after="0"/>
              <w:rPr>
                <w:sz w:val="18"/>
                <w:szCs w:val="18"/>
                <w:color w:val="auto"/>
              </w:rPr>
            </w:pPr>
          </w:p>
        </w:tc>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Warren A. Veltman</w:t>
            </w:r>
          </w:p>
        </w:tc>
      </w:tr>
      <w:tr>
        <w:trPr>
          <w:trHeight w:val="229"/>
        </w:trPr>
        <w:tc>
          <w:tcPr>
            <w:tcW w:w="5600" w:type="dxa"/>
            <w:vAlign w:val="bottom"/>
          </w:tcPr>
          <w:p>
            <w:pPr>
              <w:spacing w:after="0"/>
              <w:rPr>
                <w:sz w:val="19"/>
                <w:szCs w:val="19"/>
                <w:color w:val="auto"/>
              </w:rPr>
            </w:pPr>
          </w:p>
        </w:tc>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r>
      <w:tr>
        <w:trPr>
          <w:trHeight w:val="230"/>
        </w:trPr>
        <w:tc>
          <w:tcPr>
            <w:tcW w:w="5600" w:type="dxa"/>
            <w:vAlign w:val="bottom"/>
          </w:tcPr>
          <w:p>
            <w:pPr>
              <w:spacing w:after="0"/>
              <w:rPr>
                <w:sz w:val="19"/>
                <w:szCs w:val="19"/>
                <w:color w:val="auto"/>
              </w:rPr>
            </w:pPr>
          </w:p>
        </w:tc>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234"/>
        </w:trPr>
        <w:tc>
          <w:tcPr>
            <w:tcW w:w="5600" w:type="dxa"/>
            <w:vAlign w:val="bottom"/>
          </w:tcPr>
          <w:p>
            <w:pPr>
              <w:spacing w:after="0"/>
              <w:rPr>
                <w:sz w:val="20"/>
                <w:szCs w:val="20"/>
                <w:color w:val="auto"/>
              </w:rPr>
            </w:pPr>
          </w:p>
        </w:tc>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(Duly Authorized Officer)</w:t>
            </w:r>
          </w:p>
        </w:tc>
      </w:tr>
      <w:tr>
        <w:trPr>
          <w:trHeight w:val="499"/>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Date: May 6, 2022</w:t>
            </w:r>
          </w:p>
        </w:tc>
        <w:tc>
          <w:tcPr>
            <w:tcW w:w="5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Michael C. Felcher</w:t>
            </w:r>
          </w:p>
        </w:tc>
      </w:tr>
      <w:tr>
        <w:trPr>
          <w:trHeight w:val="218"/>
        </w:trPr>
        <w:tc>
          <w:tcPr>
            <w:tcW w:w="5600" w:type="dxa"/>
            <w:vAlign w:val="bottom"/>
          </w:tcPr>
          <w:p>
            <w:pPr>
              <w:spacing w:after="0"/>
              <w:rPr>
                <w:sz w:val="18"/>
                <w:szCs w:val="18"/>
                <w:color w:val="auto"/>
              </w:rPr>
            </w:pPr>
          </w:p>
        </w:tc>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Michael C. Felcher</w:t>
            </w:r>
          </w:p>
        </w:tc>
      </w:tr>
      <w:tr>
        <w:trPr>
          <w:trHeight w:val="229"/>
        </w:trPr>
        <w:tc>
          <w:tcPr>
            <w:tcW w:w="5600" w:type="dxa"/>
            <w:vAlign w:val="bottom"/>
          </w:tcPr>
          <w:p>
            <w:pPr>
              <w:spacing w:after="0"/>
              <w:rPr>
                <w:sz w:val="19"/>
                <w:szCs w:val="19"/>
                <w:color w:val="auto"/>
              </w:rPr>
            </w:pPr>
          </w:p>
        </w:tc>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Vice President - Chief Financial Officer</w:t>
            </w:r>
          </w:p>
        </w:tc>
      </w:tr>
      <w:tr>
        <w:trPr>
          <w:trHeight w:val="230"/>
        </w:trPr>
        <w:tc>
          <w:tcPr>
            <w:tcW w:w="5600" w:type="dxa"/>
            <w:vAlign w:val="bottom"/>
          </w:tcPr>
          <w:p>
            <w:pPr>
              <w:spacing w:after="0"/>
              <w:rPr>
                <w:sz w:val="19"/>
                <w:szCs w:val="19"/>
                <w:color w:val="auto"/>
              </w:rPr>
            </w:pPr>
          </w:p>
        </w:tc>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r>
        <w:trPr>
          <w:trHeight w:val="234"/>
        </w:trPr>
        <w:tc>
          <w:tcPr>
            <w:tcW w:w="5600" w:type="dxa"/>
            <w:vAlign w:val="bottom"/>
          </w:tcPr>
          <w:p>
            <w:pPr>
              <w:spacing w:after="0"/>
              <w:rPr>
                <w:sz w:val="20"/>
                <w:szCs w:val="20"/>
                <w:color w:val="auto"/>
              </w:rPr>
            </w:pPr>
          </w:p>
        </w:tc>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(Duly Authorized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220"/>
          </w:cols>
          <w:pgMar w:left="320" w:top="995" w:right="359" w:bottom="1440" w:gutter="0" w:footer="0" w:header="0"/>
        </w:sectPr>
      </w:pPr>
    </w:p>
    <w:bookmarkStart w:id="28" w:name="page29"/>
    <w:bookmarkEnd w:id="2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PRINCIPAL EXECUTIVE OFFICER PURSUANT TO RULES 13a-14(a) AND 15d-14(a)</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UNDER THE SECURITIES EXCHANGE ACT OF 1934, AS AMENDED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Warren A. Veltman, certify that:</w:t>
      </w:r>
    </w:p>
    <w:p>
      <w:pPr>
        <w:spacing w:after="0" w:line="171" w:lineRule="exact"/>
        <w:rPr>
          <w:sz w:val="20"/>
          <w:szCs w:val="20"/>
          <w:color w:val="auto"/>
        </w:rPr>
      </w:pPr>
    </w:p>
    <w:p>
      <w:pPr>
        <w:ind w:left="320" w:hanging="312"/>
        <w:spacing w:after="0"/>
        <w:tabs>
          <w:tab w:leader="none" w:pos="3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NN, Inc.;</w:t>
      </w:r>
    </w:p>
    <w:p>
      <w:pPr>
        <w:spacing w:after="0" w:line="117" w:lineRule="exact"/>
        <w:rPr>
          <w:rFonts w:ascii="Times New Roman" w:cs="Times New Roman" w:eastAsia="Times New Roman" w:hAnsi="Times New Roman"/>
          <w:sz w:val="18"/>
          <w:szCs w:val="18"/>
          <w:color w:val="auto"/>
        </w:rPr>
      </w:pPr>
    </w:p>
    <w:p>
      <w:pPr>
        <w:jc w:val="both"/>
        <w:ind w:left="340" w:right="460" w:hanging="332"/>
        <w:spacing w:after="0" w:line="266" w:lineRule="auto"/>
        <w:tabs>
          <w:tab w:leader="none" w:pos="328"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340" w:right="420" w:hanging="332"/>
        <w:spacing w:after="0" w:line="282" w:lineRule="auto"/>
        <w:tabs>
          <w:tab w:leader="none" w:pos="328"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28"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980" w:right="60" w:hanging="324"/>
        <w:spacing w:after="0" w:line="266" w:lineRule="auto"/>
        <w:tabs>
          <w:tab w:leader="none" w:pos="971"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980" w:right="360" w:hanging="324"/>
        <w:spacing w:after="0" w:line="266" w:lineRule="auto"/>
        <w:tabs>
          <w:tab w:leader="none" w:pos="968"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980" w:right="540" w:hanging="324"/>
        <w:spacing w:after="0" w:line="312" w:lineRule="auto"/>
        <w:tabs>
          <w:tab w:leader="none" w:pos="971" w:val="left"/>
        </w:tabs>
        <w:numPr>
          <w:ilvl w:val="1"/>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980" w:right="60" w:hanging="324"/>
        <w:spacing w:after="0" w:line="266" w:lineRule="auto"/>
        <w:tabs>
          <w:tab w:leader="none" w:pos="968"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the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340" w:right="340" w:hanging="332"/>
        <w:spacing w:after="0" w:line="282" w:lineRule="auto"/>
        <w:tabs>
          <w:tab w:leader="none" w:pos="328"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980" w:right="780" w:hanging="324"/>
        <w:spacing w:after="0" w:line="282" w:lineRule="auto"/>
        <w:tabs>
          <w:tab w:leader="none" w:pos="971"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980" w:right="480" w:hanging="324"/>
        <w:spacing w:after="0" w:line="282" w:lineRule="auto"/>
        <w:tabs>
          <w:tab w:leader="none" w:pos="968"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59"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Date: May 6, 2022</w:t>
            </w:r>
          </w:p>
        </w:tc>
        <w:tc>
          <w:tcPr>
            <w:tcW w:w="5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Warren A. Veltman</w:t>
            </w:r>
          </w:p>
        </w:tc>
      </w:tr>
      <w:tr>
        <w:trPr>
          <w:trHeight w:val="218"/>
        </w:trPr>
        <w:tc>
          <w:tcPr>
            <w:tcW w:w="5620" w:type="dxa"/>
            <w:vAlign w:val="bottom"/>
          </w:tcPr>
          <w:p>
            <w:pPr>
              <w:spacing w:after="0"/>
              <w:rPr>
                <w:sz w:val="18"/>
                <w:szCs w:val="18"/>
                <w:color w:val="auto"/>
              </w:rPr>
            </w:pPr>
          </w:p>
        </w:tc>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Warren A. Veltman</w:t>
            </w:r>
          </w:p>
        </w:tc>
      </w:tr>
      <w:tr>
        <w:trPr>
          <w:trHeight w:val="229"/>
        </w:trPr>
        <w:tc>
          <w:tcPr>
            <w:tcW w:w="5620" w:type="dxa"/>
            <w:vAlign w:val="bottom"/>
          </w:tcPr>
          <w:p>
            <w:pPr>
              <w:spacing w:after="0"/>
              <w:rPr>
                <w:sz w:val="19"/>
                <w:szCs w:val="19"/>
                <w:color w:val="auto"/>
              </w:rPr>
            </w:pPr>
          </w:p>
        </w:tc>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r>
      <w:tr>
        <w:trPr>
          <w:trHeight w:val="234"/>
        </w:trPr>
        <w:tc>
          <w:tcPr>
            <w:tcW w:w="5620" w:type="dxa"/>
            <w:vAlign w:val="bottom"/>
          </w:tcPr>
          <w:p>
            <w:pPr>
              <w:spacing w:after="0"/>
              <w:rPr>
                <w:sz w:val="20"/>
                <w:szCs w:val="20"/>
                <w:color w:val="auto"/>
              </w:rPr>
            </w:pPr>
          </w:p>
        </w:tc>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ectPr>
          <w:pgSz w:w="11900" w:h="16838" w:orient="portrait"/>
          <w:cols w:equalWidth="0" w:num="1">
            <w:col w:w="11240"/>
          </w:cols>
          <w:pgMar w:left="320" w:top="887" w:right="339" w:bottom="1440" w:gutter="0" w:footer="0" w:header="0"/>
        </w:sectPr>
      </w:pPr>
    </w:p>
    <w:bookmarkStart w:id="29" w:name="page30"/>
    <w:bookmarkEnd w:id="2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PRINCIPAL FINANCIAL OFFICER PURSUANT TO RULES 13a-14(a) AND 15d-14(a)</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UNDER THE SECURITIES EXCHANGE ACT OF 1934, AS AMENDED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C. Felcher, certify that:</w:t>
      </w:r>
    </w:p>
    <w:p>
      <w:pPr>
        <w:spacing w:after="0" w:line="171" w:lineRule="exact"/>
        <w:rPr>
          <w:sz w:val="20"/>
          <w:szCs w:val="20"/>
          <w:color w:val="auto"/>
        </w:rPr>
      </w:pPr>
    </w:p>
    <w:p>
      <w:pPr>
        <w:ind w:left="320" w:hanging="312"/>
        <w:spacing w:after="0"/>
        <w:tabs>
          <w:tab w:leader="none" w:pos="3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NN, Inc.;</w:t>
      </w:r>
    </w:p>
    <w:p>
      <w:pPr>
        <w:spacing w:after="0" w:line="117" w:lineRule="exact"/>
        <w:rPr>
          <w:rFonts w:ascii="Times New Roman" w:cs="Times New Roman" w:eastAsia="Times New Roman" w:hAnsi="Times New Roman"/>
          <w:sz w:val="18"/>
          <w:szCs w:val="18"/>
          <w:color w:val="auto"/>
        </w:rPr>
      </w:pPr>
    </w:p>
    <w:p>
      <w:pPr>
        <w:jc w:val="both"/>
        <w:ind w:left="340" w:right="460" w:hanging="332"/>
        <w:spacing w:after="0" w:line="266" w:lineRule="auto"/>
        <w:tabs>
          <w:tab w:leader="none" w:pos="328"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340" w:right="420" w:hanging="332"/>
        <w:spacing w:after="0" w:line="282" w:lineRule="auto"/>
        <w:tabs>
          <w:tab w:leader="none" w:pos="328"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28"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980" w:right="60" w:hanging="324"/>
        <w:spacing w:after="0" w:line="266" w:lineRule="auto"/>
        <w:tabs>
          <w:tab w:leader="none" w:pos="971"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980" w:right="360" w:hanging="324"/>
        <w:spacing w:after="0" w:line="266" w:lineRule="auto"/>
        <w:tabs>
          <w:tab w:leader="none" w:pos="968"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980" w:right="540" w:hanging="324"/>
        <w:spacing w:after="0" w:line="312" w:lineRule="auto"/>
        <w:tabs>
          <w:tab w:leader="none" w:pos="971" w:val="left"/>
        </w:tabs>
        <w:numPr>
          <w:ilvl w:val="1"/>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980" w:right="60" w:hanging="324"/>
        <w:spacing w:after="0" w:line="266" w:lineRule="auto"/>
        <w:tabs>
          <w:tab w:leader="none" w:pos="968"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the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340" w:right="340" w:hanging="332"/>
        <w:spacing w:after="0" w:line="282" w:lineRule="auto"/>
        <w:tabs>
          <w:tab w:leader="none" w:pos="328"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980" w:right="780" w:hanging="324"/>
        <w:spacing w:after="0" w:line="282" w:lineRule="auto"/>
        <w:tabs>
          <w:tab w:leader="none" w:pos="971"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980" w:right="480" w:hanging="324"/>
        <w:spacing w:after="0" w:line="282" w:lineRule="auto"/>
        <w:tabs>
          <w:tab w:leader="none" w:pos="968"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3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Date: May 6, 2022</w:t>
            </w:r>
          </w:p>
        </w:tc>
        <w:tc>
          <w:tcPr>
            <w:tcW w:w="5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Michael C. Felcher</w:t>
            </w:r>
          </w:p>
        </w:tc>
      </w:tr>
      <w:tr>
        <w:trPr>
          <w:trHeight w:val="218"/>
        </w:trPr>
        <w:tc>
          <w:tcPr>
            <w:tcW w:w="564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Michael C. Felcher</w:t>
            </w:r>
          </w:p>
        </w:tc>
      </w:tr>
      <w:tr>
        <w:trPr>
          <w:trHeight w:val="230"/>
        </w:trPr>
        <w:tc>
          <w:tcPr>
            <w:tcW w:w="5640" w:type="dxa"/>
            <w:vAlign w:val="bottom"/>
          </w:tcPr>
          <w:p>
            <w:pPr>
              <w:spacing w:after="0"/>
              <w:rPr>
                <w:sz w:val="19"/>
                <w:szCs w:val="19"/>
                <w:color w:val="auto"/>
              </w:rPr>
            </w:pPr>
          </w:p>
        </w:tc>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 – Chief Financial Officer</w:t>
            </w:r>
          </w:p>
        </w:tc>
      </w:tr>
      <w:tr>
        <w:trPr>
          <w:trHeight w:val="234"/>
        </w:trPr>
        <w:tc>
          <w:tcPr>
            <w:tcW w:w="5640" w:type="dxa"/>
            <w:vAlign w:val="bottom"/>
          </w:tcPr>
          <w:p>
            <w:pPr>
              <w:spacing w:after="0"/>
              <w:rPr>
                <w:sz w:val="20"/>
                <w:szCs w:val="20"/>
                <w:color w:val="auto"/>
              </w:rPr>
            </w:pPr>
          </w:p>
        </w:tc>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ectPr>
          <w:pgSz w:w="11900" w:h="16838" w:orient="portrait"/>
          <w:cols w:equalWidth="0" w:num="1">
            <w:col w:w="11240"/>
          </w:cols>
          <w:pgMar w:left="320" w:top="887" w:right="339" w:bottom="1440" w:gutter="0" w:footer="0" w:header="0"/>
        </w:sectPr>
      </w:pPr>
    </w:p>
    <w:bookmarkStart w:id="30" w:name="page31"/>
    <w:bookmarkEnd w:id="30"/>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PRINCIPAL EXECUTIVE OFFICER PURSUANT</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TO SECTION 906 OF THE SARBANES-OXLEY ACT OF 2002</w:t>
      </w:r>
    </w:p>
    <w:p>
      <w:pPr>
        <w:spacing w:after="0" w:line="20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connection with the Quarterly Report of NN, Inc. (the “Company”) on Form 10-Q for the quarterly period ended March 31, 2022, as filed with the Securities and Exchange Commission on the date hereof (the “Report”), the undersigned, in the capacity and date indicated below, hereby certifies pursuant to 18 U.S.C. §1350, as adopted pursuant to §906 of the Sarbanes-Oxley Act of 2002, that, to my knowledge: (1) the Report fully complies with the requirements of Section 13(a) or 15(d) of the Securities Exchange Act of 1934, and (2) the information contained in the Report fairly presents, in all material respects, the financial condition and results of operations of the Company as of the dates and for the periods indicated.</w:t>
      </w:r>
    </w:p>
    <w:p>
      <w:pPr>
        <w:spacing w:after="0" w:line="200" w:lineRule="exact"/>
        <w:rPr>
          <w:sz w:val="20"/>
          <w:szCs w:val="20"/>
          <w:color w:val="auto"/>
        </w:rPr>
      </w:pPr>
    </w:p>
    <w:p>
      <w:pPr>
        <w:spacing w:after="0" w:line="253"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Date: May 6, 2022</w:t>
            </w:r>
          </w:p>
        </w:tc>
        <w:tc>
          <w:tcPr>
            <w:tcW w:w="5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Warren A. Veltman</w:t>
            </w:r>
          </w:p>
        </w:tc>
      </w:tr>
      <w:tr>
        <w:trPr>
          <w:trHeight w:val="218"/>
        </w:trPr>
        <w:tc>
          <w:tcPr>
            <w:tcW w:w="5620" w:type="dxa"/>
            <w:vAlign w:val="bottom"/>
          </w:tcPr>
          <w:p>
            <w:pPr>
              <w:spacing w:after="0"/>
              <w:rPr>
                <w:sz w:val="18"/>
                <w:szCs w:val="18"/>
                <w:color w:val="auto"/>
              </w:rPr>
            </w:pPr>
          </w:p>
        </w:tc>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Warren A. Veltman</w:t>
            </w:r>
          </w:p>
        </w:tc>
      </w:tr>
      <w:tr>
        <w:trPr>
          <w:trHeight w:val="230"/>
        </w:trPr>
        <w:tc>
          <w:tcPr>
            <w:tcW w:w="5620" w:type="dxa"/>
            <w:vAlign w:val="bottom"/>
          </w:tcPr>
          <w:p>
            <w:pPr>
              <w:spacing w:after="0"/>
              <w:rPr>
                <w:sz w:val="19"/>
                <w:szCs w:val="19"/>
                <w:color w:val="auto"/>
              </w:rPr>
            </w:pPr>
          </w:p>
        </w:tc>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r>
      <w:tr>
        <w:trPr>
          <w:trHeight w:val="234"/>
        </w:trPr>
        <w:tc>
          <w:tcPr>
            <w:tcW w:w="5620" w:type="dxa"/>
            <w:vAlign w:val="bottom"/>
          </w:tcPr>
          <w:p>
            <w:pPr>
              <w:spacing w:after="0"/>
              <w:rPr>
                <w:sz w:val="20"/>
                <w:szCs w:val="20"/>
                <w:color w:val="auto"/>
              </w:rPr>
            </w:pPr>
          </w:p>
        </w:tc>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ectPr>
          <w:pgSz w:w="11900" w:h="16838" w:orient="portrait"/>
          <w:cols w:equalWidth="0" w:num="1">
            <w:col w:w="11240"/>
          </w:cols>
          <w:pgMar w:left="320" w:top="887" w:right="339" w:bottom="1440" w:gutter="0" w:footer="0" w:header="0"/>
        </w:sectPr>
      </w:pPr>
    </w:p>
    <w:bookmarkStart w:id="31" w:name="page32"/>
    <w:bookmarkEnd w:id="31"/>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PRINCIPAL FINANCIAL OFFICER PURSUANT</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TO SECTION 906 OF THE SARBANES-OXLEY ACT OF 2002</w:t>
      </w:r>
    </w:p>
    <w:p>
      <w:pPr>
        <w:spacing w:after="0" w:line="20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connection with the Quarterly Report of NN, Inc. (the “Company”) on Form 10-Q for the quarterly period ended March 31, 2022, as filed with the Securities and Exchange Commission on the date hereof (the “Report”), the undersigned, in the capacity and date indicated below, hereby certifies pursuant to 18 U.S.C. §1350, as adopted pursuant to §906 of the Sarbanes-Oxley Act of 2002, that, to my knowledge: (1) the Report fully complies with the requirements of Section 13(a) or 15(d) of the Securities Exchange Act of 1934, and (2) the information contained in the Report fairly presents, in all material respects, the financial condition and results of operations of the Company as of the dates and for the periods indicated.</w:t>
      </w:r>
    </w:p>
    <w:p>
      <w:pPr>
        <w:spacing w:after="0" w:line="37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Date: May 6, 2022</w:t>
            </w:r>
          </w:p>
        </w:tc>
        <w:tc>
          <w:tcPr>
            <w:tcW w:w="5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Michael C. Felcher</w:t>
            </w:r>
          </w:p>
        </w:tc>
      </w:tr>
      <w:tr>
        <w:trPr>
          <w:trHeight w:val="218"/>
        </w:trPr>
        <w:tc>
          <w:tcPr>
            <w:tcW w:w="564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Michael C. Felcher</w:t>
            </w:r>
          </w:p>
        </w:tc>
      </w:tr>
      <w:tr>
        <w:trPr>
          <w:trHeight w:val="229"/>
        </w:trPr>
        <w:tc>
          <w:tcPr>
            <w:tcW w:w="5640" w:type="dxa"/>
            <w:vAlign w:val="bottom"/>
          </w:tcPr>
          <w:p>
            <w:pPr>
              <w:spacing w:after="0"/>
              <w:rPr>
                <w:sz w:val="19"/>
                <w:szCs w:val="19"/>
                <w:color w:val="auto"/>
              </w:rPr>
            </w:pPr>
          </w:p>
        </w:tc>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 – Chief Financial Officer</w:t>
            </w:r>
          </w:p>
        </w:tc>
      </w:tr>
      <w:tr>
        <w:trPr>
          <w:trHeight w:val="234"/>
        </w:trPr>
        <w:tc>
          <w:tcPr>
            <w:tcW w:w="5640" w:type="dxa"/>
            <w:vAlign w:val="bottom"/>
          </w:tcPr>
          <w:p>
            <w:pPr>
              <w:spacing w:after="0"/>
              <w:rPr>
                <w:sz w:val="20"/>
                <w:szCs w:val="20"/>
                <w:color w:val="auto"/>
              </w:rPr>
            </w:pPr>
          </w:p>
        </w:tc>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pacing w:after="0" w:line="1" w:lineRule="exact"/>
        <w:rPr>
          <w:sz w:val="20"/>
          <w:szCs w:val="20"/>
          <w:color w:val="auto"/>
        </w:rPr>
      </w:pP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
      <w:numFmt w:val="bullet"/>
      <w:start w:val="1"/>
    </w:lvl>
  </w:abstractNum>
  <w:abstractNum w:abstractNumId="3">
    <w:nsid w:val="1190CDE7"/>
    <w:multiLevelType w:val="hybridMultilevel"/>
    <w:lvl w:ilvl="0">
      <w:lvlJc w:val="left"/>
      <w:lvlText w:val="$"/>
      <w:numFmt w:val="bullet"/>
      <w:start w:val="1"/>
    </w:lvl>
  </w:abstractNum>
  <w:abstractNum w:abstractNumId="4">
    <w:nsid w:val="66EF438D"/>
    <w:multiLevelType w:val="hybridMultilevel"/>
    <w:lvl w:ilvl="0">
      <w:lvlJc w:val="left"/>
      <w:lvlText w:val="$"/>
      <w:numFmt w:val="bullet"/>
      <w:start w:val="1"/>
    </w:lvl>
  </w:abstractNum>
  <w:abstractNum w:abstractNumId="5">
    <w:nsid w:val="140E0F76"/>
    <w:multiLevelType w:val="hybridMultilevel"/>
    <w:lvl w:ilvl="0">
      <w:lvlJc w:val="left"/>
      <w:lvlText w:val="(%1)"/>
      <w:numFmt w:val="decimal"/>
      <w:start w:val="1"/>
    </w:lvl>
  </w:abstractNum>
  <w:abstractNum w:abstractNumId="6">
    <w:nsid w:val="3352255A"/>
    <w:multiLevelType w:val="hybridMultilevel"/>
    <w:lvl w:ilvl="0">
      <w:lvlJc w:val="left"/>
      <w:lvlText w:val="$"/>
      <w:numFmt w:val="bullet"/>
      <w:start w:val="1"/>
    </w:lvl>
  </w:abstractNum>
  <w:abstractNum w:abstractNumId="7">
    <w:nsid w:val="109CF92E"/>
    <w:multiLevelType w:val="hybridMultilevel"/>
    <w:lvl w:ilvl="0">
      <w:lvlJc w:val="left"/>
      <w:lvlText w:val="$"/>
      <w:numFmt w:val="bullet"/>
      <w:start w:val="1"/>
    </w:lvl>
  </w:abstractNum>
  <w:abstractNum w:abstractNumId="8">
    <w:nsid w:val="DED7263"/>
    <w:multiLevelType w:val="hybridMultilevel"/>
    <w:lvl w:ilvl="0">
      <w:lvlJc w:val="left"/>
      <w:lvlText w:val="(%1)"/>
      <w:numFmt w:val="decimal"/>
      <w:start w:val="1"/>
    </w:lvl>
  </w:abstractNum>
  <w:abstractNum w:abstractNumId="9">
    <w:nsid w:val="7FDCC233"/>
    <w:multiLevelType w:val="hybridMultilevel"/>
    <w:lvl w:ilvl="0">
      <w:lvlJc w:val="left"/>
      <w:lvlText w:val="(%1)"/>
      <w:numFmt w:val="decimal"/>
      <w:start w:val="1"/>
    </w:lvl>
  </w:abstractNum>
  <w:abstractNum w:abstractNumId="10">
    <w:nsid w:val="1BEFD79F"/>
    <w:multiLevelType w:val="hybridMultilevel"/>
    <w:lvl w:ilvl="0">
      <w:lvlJc w:val="left"/>
      <w:lvlText w:val="(%1)"/>
      <w:numFmt w:val="decimal"/>
      <w:start w:val="2"/>
    </w:lvl>
  </w:abstractNum>
  <w:abstractNum w:abstractNumId="11">
    <w:nsid w:val="41A7C4C9"/>
    <w:multiLevelType w:val="hybridMultilevel"/>
    <w:lvl w:ilvl="0">
      <w:lvlJc w:val="left"/>
      <w:lvlText w:val="•"/>
      <w:numFmt w:val="bullet"/>
      <w:start w:val="1"/>
    </w:lvl>
  </w:abstractNum>
  <w:abstractNum w:abstractNumId="12">
    <w:nsid w:val="6B68079A"/>
    <w:multiLevelType w:val="hybridMultilevel"/>
    <w:lvl w:ilvl="0">
      <w:lvlJc w:val="left"/>
      <w:lvlText w:val="•"/>
      <w:numFmt w:val="bullet"/>
      <w:start w:val="1"/>
    </w:lvl>
  </w:abstractNum>
  <w:abstractNum w:abstractNumId="13">
    <w:nsid w:val="4E6AFB66"/>
    <w:multiLevelType w:val="hybridMultilevel"/>
    <w:lvl w:ilvl="0">
      <w:lvlJc w:val="left"/>
      <w:lvlText w:val="(%1)"/>
      <w:numFmt w:val="decimal"/>
      <w:start w:val="1"/>
    </w:lvl>
  </w:abstractNum>
  <w:abstractNum w:abstractNumId="14">
    <w:nsid w:val="25E45D32"/>
    <w:multiLevelType w:val="hybridMultilevel"/>
    <w:lvl w:ilvl="0">
      <w:lvlJc w:val="left"/>
      <w:lvlText w:val="(%1)"/>
      <w:numFmt w:val="decimal"/>
      <w:start w:val="1"/>
    </w:lvl>
  </w:abstractNum>
  <w:abstractNum w:abstractNumId="15">
    <w:nsid w:val="519B500D"/>
    <w:multiLevelType w:val="hybridMultilevel"/>
    <w:lvl w:ilvl="0">
      <w:lvlJc w:val="left"/>
      <w:lvlText w:val="(%1)"/>
      <w:numFmt w:val="decimal"/>
      <w:start w:val="1"/>
    </w:lvl>
  </w:abstractNum>
  <w:abstractNum w:abstractNumId="16">
    <w:nsid w:val="431BD7B7"/>
    <w:multiLevelType w:val="hybridMultilevel"/>
    <w:lvl w:ilvl="0">
      <w:lvlJc w:val="left"/>
      <w:lvlText w:val="%1"/>
      <w:numFmt w:val="decimal"/>
      <w:start w:val="104"/>
    </w:lvl>
  </w:abstractNum>
  <w:abstractNum w:abstractNumId="17">
    <w:nsid w:val="3F2DBA31"/>
    <w:multiLevelType w:val="hybridMultilevel"/>
    <w:lvl w:ilvl="0">
      <w:lvlJc w:val="left"/>
      <w:lvlText w:val="%1)"/>
      <w:numFmt w:val="decimal"/>
      <w:start w:val="1"/>
    </w:lvl>
    <w:lvl w:ilvl="1">
      <w:lvlJc w:val="left"/>
      <w:lvlText w:val="%2)"/>
      <w:numFmt w:val="lowerLetter"/>
      <w:start w:val="1"/>
    </w:lvl>
  </w:abstractNum>
  <w:abstractNum w:abstractNumId="18">
    <w:nsid w:val="7C83E458"/>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4" Type="http://schemas.openxmlformats.org/officeDocument/2006/relationships/image" Target="media/image46.png"/><Relationship Id="rId53" Type="http://schemas.openxmlformats.org/officeDocument/2006/relationships/hyperlink" Target="http://www.sec.gov/Archives/edgar/data/918541/000091854122000030/exhibit101amendmentno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2022-05-06T09:53:52Z</dcterms:created>
  <dcterms:modified xsi:type="dcterms:W3CDTF">2022-05-06T09:53:52Z</dcterms:modified>
</cp:coreProperties>
</file>