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5930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59308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Gautam Rajeev</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6210 ARDREY KELL ROAD</w:t>
      </w:r>
    </w:p>
    <w:p>
      <w:pPr>
        <w:spacing w:after="0" w:line="20" w:lineRule="exact"/>
        <w:rPr>
          <w:sz w:val="24"/>
          <w:szCs w:val="24"/>
          <w:color w:val="auto"/>
        </w:rPr>
      </w:pPr>
      <w:r>
        <w:rPr>
          <w:sz w:val="24"/>
          <w:szCs w:val="24"/>
          <w:color w:val="auto"/>
        </w:rPr>
        <w:br w:type="column"/>
      </w:r>
    </w:p>
    <w:p>
      <w:pPr>
        <w:ind w:left="9"/>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ind w:left="369" w:hanging="369"/>
        <w:spacing w:after="0"/>
        <w:tabs>
          <w:tab w:leader="none" w:pos="369" w:val="left"/>
        </w:tabs>
        <w:numPr>
          <w:ilvl w:val="0"/>
          <w:numId w:val="1"/>
        </w:numPr>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NNBR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ind w:left="9"/>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ind w:left="9"/>
        <w:spacing w:after="0"/>
        <w:rPr>
          <w:sz w:val="20"/>
          <w:szCs w:val="20"/>
          <w:color w:val="auto"/>
        </w:rPr>
      </w:pPr>
      <w:r>
        <w:rPr>
          <w:rFonts w:ascii="Times New Roman" w:cs="Times New Roman" w:eastAsia="Times New Roman" w:hAnsi="Times New Roman"/>
          <w:sz w:val="17"/>
          <w:szCs w:val="17"/>
          <w:color w:val="0000FF"/>
        </w:rPr>
        <w:t>05/15/2025</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2"/>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191" w:space="720"/>
            <w:col w:w="3104"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CHARLOTTE</w:t>
            </w: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NC</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28277</w:t>
            </w:r>
          </w:p>
        </w:tc>
      </w:tr>
      <w:tr>
        <w:trPr>
          <w:trHeight w:val="155"/>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92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spacing w:after="0"/>
              <w:rPr>
                <w:sz w:val="20"/>
                <w:szCs w:val="20"/>
                <w:color w:val="auto"/>
              </w:rPr>
            </w:pPr>
            <w:r>
              <w:rPr>
                <w:rFonts w:ascii="Arial" w:cs="Arial" w:eastAsia="Arial" w:hAnsi="Arial"/>
                <w:sz w:val="12"/>
                <w:szCs w:val="12"/>
                <w:b w:val="1"/>
                <w:bCs w:val="1"/>
                <w:color w:val="auto"/>
                <w:w w:val="99"/>
              </w:rPr>
              <w:t>3.</w:t>
            </w:r>
          </w:p>
        </w:tc>
        <w:tc>
          <w:tcPr>
            <w:tcW w:w="620" w:type="dxa"/>
            <w:vAlign w:val="bottom"/>
          </w:tcPr>
          <w:p>
            <w:pPr>
              <w:spacing w:after="0"/>
              <w:rPr>
                <w:sz w:val="13"/>
                <w:szCs w:val="13"/>
                <w:color w:val="auto"/>
              </w:rPr>
            </w:pPr>
          </w:p>
        </w:tc>
        <w:tc>
          <w:tcPr>
            <w:tcW w:w="19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4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4"/>
          </w:tcPr>
          <w:p>
            <w:pPr>
              <w:jc w:val="right"/>
              <w:ind w:righ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56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20" w:type="dxa"/>
            <w:vAlign w:val="bottom"/>
          </w:tcPr>
          <w:p>
            <w:pPr>
              <w:spacing w:after="0" w:line="133" w:lineRule="exact"/>
              <w:rPr>
                <w:sz w:val="20"/>
                <w:szCs w:val="20"/>
                <w:color w:val="auto"/>
              </w:rPr>
            </w:pPr>
            <w:r>
              <w:rPr>
                <w:rFonts w:ascii="Arial" w:cs="Arial" w:eastAsia="Arial" w:hAnsi="Arial"/>
                <w:sz w:val="12"/>
                <w:szCs w:val="12"/>
                <w:b w:val="1"/>
                <w:bCs w:val="1"/>
                <w:color w:val="auto"/>
                <w:w w:val="93"/>
              </w:rPr>
              <w:t>(D) or</w:t>
            </w:r>
          </w:p>
        </w:tc>
        <w:tc>
          <w:tcPr>
            <w:tcW w:w="520" w:type="dxa"/>
            <w:vAlign w:val="bottom"/>
          </w:tcPr>
          <w:p>
            <w:pPr>
              <w:spacing w:after="0"/>
              <w:rPr>
                <w:sz w:val="11"/>
                <w:szCs w:val="11"/>
                <w:color w:val="auto"/>
              </w:rPr>
            </w:pPr>
          </w:p>
        </w:tc>
        <w:tc>
          <w:tcPr>
            <w:tcW w:w="10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spacing w:after="0" w:line="133" w:lineRule="exact"/>
              <w:rPr>
                <w:sz w:val="20"/>
                <w:szCs w:val="20"/>
                <w:color w:val="auto"/>
              </w:rPr>
            </w:pPr>
            <w:r>
              <w:rPr>
                <w:rFonts w:ascii="Arial" w:cs="Arial" w:eastAsia="Arial" w:hAnsi="Arial"/>
                <w:sz w:val="12"/>
                <w:szCs w:val="12"/>
                <w:b w:val="1"/>
                <w:bCs w:val="1"/>
                <w:color w:val="auto"/>
                <w:w w:val="93"/>
              </w:rPr>
              <w:t>8)</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0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840" w:type="dxa"/>
            <w:vAlign w:val="bottom"/>
            <w:gridSpan w:val="2"/>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104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104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4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4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By MFG</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940" w:type="dxa"/>
            <w:vAlign w:val="bottom"/>
            <w:gridSpan w:val="3"/>
          </w:tcPr>
          <w:p>
            <w:pPr>
              <w:ind w:left="440"/>
              <w:spacing w:after="0"/>
              <w:rPr>
                <w:sz w:val="20"/>
                <w:szCs w:val="20"/>
                <w:color w:val="auto"/>
              </w:rPr>
            </w:pPr>
            <w:r>
              <w:rPr>
                <w:rFonts w:ascii="Times New Roman" w:cs="Times New Roman" w:eastAsia="Times New Roman" w:hAnsi="Times New Roman"/>
                <w:sz w:val="17"/>
                <w:szCs w:val="17"/>
                <w:color w:val="0000FF"/>
              </w:rPr>
              <w:t>05/15/2025</w:t>
            </w: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3"/>
                <w:szCs w:val="13"/>
                <w:color w:val="0000FF"/>
              </w:rPr>
              <w:t>P</w:t>
            </w:r>
          </w:p>
        </w:tc>
        <w:tc>
          <w:tcPr>
            <w:tcW w:w="84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0000FF"/>
              </w:rPr>
              <w:t>10,000</w:t>
            </w:r>
          </w:p>
        </w:tc>
        <w:tc>
          <w:tcPr>
            <w:tcW w:w="44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A</w:t>
            </w:r>
          </w:p>
        </w:tc>
        <w:tc>
          <w:tcPr>
            <w:tcW w:w="680" w:type="dxa"/>
            <w:vAlign w:val="bottom"/>
            <w:gridSpan w:val="2"/>
          </w:tcPr>
          <w:p>
            <w:pPr>
              <w:jc w:val="right"/>
              <w:ind w:right="20"/>
              <w:spacing w:after="0" w:line="213" w:lineRule="exact"/>
              <w:rPr>
                <w:sz w:val="20"/>
                <w:szCs w:val="20"/>
                <w:color w:val="auto"/>
              </w:rPr>
            </w:pPr>
            <w:r>
              <w:rPr>
                <w:rFonts w:ascii="Arial" w:cs="Arial" w:eastAsia="Arial" w:hAnsi="Arial"/>
                <w:sz w:val="17"/>
                <w:szCs w:val="17"/>
                <w:color w:val="auto"/>
                <w:w w:val="98"/>
              </w:rPr>
              <w:t>$</w:t>
            </w:r>
            <w:r>
              <w:rPr>
                <w:rFonts w:ascii="Times New Roman" w:cs="Times New Roman" w:eastAsia="Times New Roman" w:hAnsi="Times New Roman"/>
                <w:sz w:val="17"/>
                <w:szCs w:val="17"/>
                <w:color w:val="0000FF"/>
                <w:w w:val="98"/>
              </w:rPr>
              <w:t>2.222</w:t>
            </w:r>
            <w:r>
              <w:rPr>
                <w:rFonts w:ascii="Times New Roman" w:cs="Times New Roman" w:eastAsia="Times New Roman" w:hAnsi="Times New Roman"/>
                <w:sz w:val="22"/>
                <w:szCs w:val="22"/>
                <w:color w:val="008000"/>
                <w:w w:val="98"/>
                <w:vertAlign w:val="superscript"/>
              </w:rPr>
              <w:t>(1)</w:t>
            </w:r>
          </w:p>
        </w:tc>
        <w:tc>
          <w:tcPr>
            <w:tcW w:w="126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8"/>
              </w:rPr>
              <w:t>60,000</w:t>
            </w:r>
          </w:p>
        </w:tc>
        <w:tc>
          <w:tcPr>
            <w:tcW w:w="320" w:type="dxa"/>
            <w:vAlign w:val="bottom"/>
          </w:tcPr>
          <w:p>
            <w:pPr>
              <w:spacing w:after="0"/>
              <w:rPr>
                <w:sz w:val="18"/>
                <w:szCs w:val="18"/>
                <w:color w:val="auto"/>
              </w:rPr>
            </w:pPr>
          </w:p>
        </w:tc>
        <w:tc>
          <w:tcPr>
            <w:tcW w:w="520" w:type="dxa"/>
            <w:vAlign w:val="bottom"/>
          </w:tcPr>
          <w:p>
            <w:pPr>
              <w:jc w:val="center"/>
              <w:ind w:right="311"/>
              <w:spacing w:after="0"/>
              <w:rPr>
                <w:sz w:val="20"/>
                <w:szCs w:val="20"/>
                <w:color w:val="auto"/>
              </w:rPr>
            </w:pPr>
            <w:r>
              <w:rPr>
                <w:rFonts w:ascii="Times New Roman" w:cs="Times New Roman" w:eastAsia="Times New Roman" w:hAnsi="Times New Roman"/>
                <w:sz w:val="17"/>
                <w:szCs w:val="17"/>
                <w:color w:val="0000FF"/>
              </w:rPr>
              <w:t>I</w:t>
            </w:r>
          </w:p>
        </w:tc>
        <w:tc>
          <w:tcPr>
            <w:tcW w:w="104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Enterprises</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LLC</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gridSpan w:val="3"/>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6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rPr>
              <w:t>276,632</w:t>
            </w:r>
          </w:p>
        </w:tc>
        <w:tc>
          <w:tcPr>
            <w:tcW w:w="320" w:type="dxa"/>
            <w:vAlign w:val="bottom"/>
          </w:tcPr>
          <w:p>
            <w:pPr>
              <w:spacing w:after="0"/>
              <w:rPr>
                <w:sz w:val="23"/>
                <w:szCs w:val="23"/>
                <w:color w:val="auto"/>
              </w:rPr>
            </w:pPr>
          </w:p>
        </w:tc>
        <w:tc>
          <w:tcPr>
            <w:tcW w:w="520" w:type="dxa"/>
            <w:vAlign w:val="bottom"/>
          </w:tcPr>
          <w:p>
            <w:pPr>
              <w:jc w:val="center"/>
              <w:ind w:right="311"/>
              <w:spacing w:after="0"/>
              <w:rPr>
                <w:sz w:val="20"/>
                <w:szCs w:val="20"/>
                <w:color w:val="auto"/>
              </w:rPr>
            </w:pPr>
            <w:r>
              <w:rPr>
                <w:rFonts w:ascii="Times New Roman" w:cs="Times New Roman" w:eastAsia="Times New Roman" w:hAnsi="Times New Roman"/>
                <w:sz w:val="17"/>
                <w:szCs w:val="17"/>
                <w:color w:val="0000FF"/>
              </w:rPr>
              <w:t>D</w:t>
            </w:r>
          </w:p>
        </w:tc>
        <w:tc>
          <w:tcPr>
            <w:tcW w:w="2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4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By Rajeev</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8"/>
              </w:rPr>
              <w:t>10,000</w:t>
            </w:r>
          </w:p>
        </w:tc>
        <w:tc>
          <w:tcPr>
            <w:tcW w:w="320" w:type="dxa"/>
            <w:vAlign w:val="bottom"/>
          </w:tcPr>
          <w:p>
            <w:pPr>
              <w:spacing w:after="0"/>
              <w:rPr>
                <w:sz w:val="18"/>
                <w:szCs w:val="18"/>
                <w:color w:val="auto"/>
              </w:rPr>
            </w:pPr>
          </w:p>
        </w:tc>
        <w:tc>
          <w:tcPr>
            <w:tcW w:w="520" w:type="dxa"/>
            <w:vAlign w:val="bottom"/>
          </w:tcPr>
          <w:p>
            <w:pPr>
              <w:jc w:val="center"/>
              <w:ind w:right="311"/>
              <w:spacing w:after="0"/>
              <w:rPr>
                <w:sz w:val="20"/>
                <w:szCs w:val="20"/>
                <w:color w:val="auto"/>
              </w:rPr>
            </w:pPr>
            <w:r>
              <w:rPr>
                <w:rFonts w:ascii="Times New Roman" w:cs="Times New Roman" w:eastAsia="Times New Roman" w:hAnsi="Times New Roman"/>
                <w:sz w:val="17"/>
                <w:szCs w:val="17"/>
                <w:color w:val="0000FF"/>
              </w:rPr>
              <w:t>I</w:t>
            </w:r>
          </w:p>
        </w:tc>
        <w:tc>
          <w:tcPr>
            <w:tcW w:w="104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Gautam</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gridSpan w:val="2"/>
          </w:tcPr>
          <w:p>
            <w:pPr>
              <w:spacing w:after="0"/>
              <w:rPr>
                <w:sz w:val="8"/>
                <w:szCs w:val="8"/>
                <w:color w:val="auto"/>
              </w:rPr>
            </w:pPr>
          </w:p>
        </w:tc>
        <w:tc>
          <w:tcPr>
            <w:tcW w:w="1400" w:type="dxa"/>
            <w:vAlign w:val="bottom"/>
            <w:tcBorders>
              <w:bottom w:val="single" w:sz="8" w:color="2C2C2C"/>
            </w:tcBorders>
            <w:gridSpan w:val="3"/>
          </w:tcPr>
          <w:p>
            <w:pPr>
              <w:spacing w:after="0"/>
              <w:rPr>
                <w:sz w:val="8"/>
                <w:szCs w:val="8"/>
                <w:color w:val="auto"/>
              </w:rPr>
            </w:pPr>
          </w:p>
        </w:tc>
        <w:tc>
          <w:tcPr>
            <w:tcW w:w="2680" w:type="dxa"/>
            <w:vAlign w:val="bottom"/>
            <w:tcBorders>
              <w:bottom w:val="single" w:sz="8" w:color="2C2C2C"/>
            </w:tcBorders>
            <w:gridSpan w:val="6"/>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66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20" w:type="dxa"/>
            <w:vAlign w:val="bottom"/>
            <w:tcBorders>
              <w:top w:val="single" w:sz="8" w:color="2C2C2C"/>
            </w:tcBorders>
          </w:tcPr>
          <w:p>
            <w:pPr>
              <w:spacing w:after="0"/>
              <w:rPr>
                <w:sz w:val="19"/>
                <w:szCs w:val="19"/>
                <w:color w:val="auto"/>
              </w:rPr>
            </w:pPr>
          </w:p>
        </w:tc>
        <w:tc>
          <w:tcPr>
            <w:tcW w:w="52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jc w:val="right"/>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2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26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4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w:t>
            </w:r>
          </w:p>
        </w:tc>
        <w:tc>
          <w:tcPr>
            <w:tcW w:w="26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Reported</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5"/>
              </w:rPr>
              <w:t>(Instr. 3, 4</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40"/>
              <w:spacing w:after="0" w:line="133" w:lineRule="exact"/>
              <w:rPr>
                <w:sz w:val="20"/>
                <w:szCs w:val="20"/>
                <w:color w:val="auto"/>
              </w:rPr>
            </w:pPr>
            <w:r>
              <w:rPr>
                <w:rFonts w:ascii="Arial" w:cs="Arial" w:eastAsia="Arial" w:hAnsi="Arial"/>
                <w:sz w:val="12"/>
                <w:szCs w:val="12"/>
                <w:b w:val="1"/>
                <w:bCs w:val="1"/>
                <w:color w:val="auto"/>
                <w:w w:val="98"/>
              </w:rPr>
              <w:t>Expiration</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20" w:type="dxa"/>
            <w:vAlign w:val="bottom"/>
          </w:tcPr>
          <w:p>
            <w:pPr>
              <w:spacing w:after="0"/>
              <w:rPr>
                <w:sz w:val="14"/>
                <w:szCs w:val="14"/>
                <w:color w:val="auto"/>
              </w:rPr>
            </w:pPr>
          </w:p>
        </w:tc>
        <w:tc>
          <w:tcPr>
            <w:tcW w:w="14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jc w:val="both"/>
        <w:ind w:left="40" w:right="360" w:firstLine="7"/>
        <w:spacing w:after="0" w:line="253" w:lineRule="auto"/>
        <w:tabs>
          <w:tab w:leader="none" w:pos="17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The specific price range of the transactions is not available. The Reporting Person undertakes to provide to the Issuer, any security holder of the Issuer or the staff of the Securities and Exchange Commission, upon request, full information regarding the number of shares purchased at each separate transaction price.</w:t>
      </w:r>
    </w:p>
    <w:p>
      <w:pPr>
        <w:sectPr>
          <w:pgSz w:w="11900" w:h="16838" w:orient="portrait"/>
          <w:cols w:equalWidth="0" w:num="1">
            <w:col w:w="11080"/>
          </w:cols>
          <w:pgMar w:left="460" w:top="219" w:right="359" w:bottom="1440" w:gutter="0" w:footer="0" w:header="0"/>
          <w:type w:val="continuous"/>
        </w:sectPr>
      </w:pP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Jami Statham, by Power 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201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0165"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91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91160" cy="8255"/>
                    </a:xfrm>
                    <a:prstGeom prst="rect">
                      <a:avLst/>
                    </a:prstGeom>
                    <a:noFill/>
                  </pic:spPr>
                </pic:pic>
              </a:graphicData>
            </a:graphic>
          </wp:anchor>
        </w:drawing>
      </w:r>
    </w:p>
    <w:p>
      <w:pPr>
        <w:spacing w:after="0" w:line="40"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05/19/2025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4"/>
          <w:szCs w:val="24"/>
          <w:color w:val="auto"/>
        </w:rPr>
      </w:pPr>
    </w:p>
    <w:p>
      <w:pPr>
        <w:sectPr>
          <w:pgSz w:w="11900" w:h="16838" w:orient="portrait"/>
          <w:cols w:equalWidth="0" w:num="2">
            <w:col w:w="8660" w:space="12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upperLetter"/>
      <w:start w:val="40"/>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671688" TargetMode="External"/><Relationship Id="rId14" Type="http://schemas.openxmlformats.org/officeDocument/2006/relationships/hyperlink" Target="http://www.sec.gov/cgi-bin/browse-edgar?action=getcompany&amp;CIK=000091854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2025-05-19T15:18:53Z</dcterms:created>
  <dcterms:modified xsi:type="dcterms:W3CDTF">2025-05-19T15:18:53Z</dcterms:modified>
</cp:coreProperties>
</file>