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116840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3"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Date of Report (Date of earliest event reported):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108585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168275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53975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9" w:lineRule="exact"/>
        <w:rPr>
          <w:sz w:val="24"/>
          <w:szCs w:val="24"/>
          <w:color w:val="auto"/>
        </w:rPr>
      </w:pPr>
    </w:p>
    <w:tbl>
      <w:tblPr>
        <w:tblLayout w:type="fixed"/>
        <w:tblInd w:w="940" w:type="dxa"/>
        <w:tblCellMar>
          <w:top w:w="0" w:type="dxa"/>
          <w:left w:w="0" w:type="dxa"/>
          <w:bottom w:w="0" w:type="dxa"/>
          <w:right w:w="0" w:type="dxa"/>
        </w:tblCellMar>
      </w:tblPr>
      <w:tr>
        <w:trPr>
          <w:trHeight w:val="251"/>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000-23486</w:t>
            </w:r>
          </w:p>
        </w:tc>
        <w:tc>
          <w:tcPr>
            <w:tcW w:w="140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2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9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61"/>
        </w:trPr>
        <w:tc>
          <w:tcPr>
            <w:tcW w:w="556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3"/>
              </w:rPr>
              <w:t>6210 Ardrey Kell Road, Suite 600</w:t>
            </w:r>
          </w:p>
        </w:tc>
        <w:tc>
          <w:tcPr>
            <w:tcW w:w="1400" w:type="dxa"/>
            <w:vAlign w:val="bottom"/>
          </w:tcPr>
          <w:p>
            <w:pPr>
              <w:spacing w:after="0"/>
              <w:rPr>
                <w:sz w:val="24"/>
                <w:szCs w:val="24"/>
                <w:color w:val="auto"/>
              </w:rPr>
            </w:pPr>
          </w:p>
        </w:tc>
      </w:tr>
      <w:tr>
        <w:trPr>
          <w:trHeight w:val="256"/>
        </w:trPr>
        <w:tc>
          <w:tcPr>
            <w:tcW w:w="5560" w:type="dxa"/>
            <w:vAlign w:val="bottom"/>
            <w:gridSpan w:val="2"/>
          </w:tcPr>
          <w:p>
            <w:pPr>
              <w:jc w:val="center"/>
              <w:ind w:right="161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3640" w:type="dxa"/>
            <w:vAlign w:val="bottom"/>
          </w:tcPr>
          <w:p>
            <w:pPr>
              <w:jc w:val="center"/>
              <w:ind w:right="11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400" w:type="dxa"/>
            <w:vAlign w:val="bottom"/>
          </w:tcPr>
          <w:p>
            <w:pPr>
              <w:spacing w:after="0"/>
              <w:rPr>
                <w:sz w:val="17"/>
                <w:szCs w:val="17"/>
                <w:color w:val="auto"/>
              </w:rPr>
            </w:pPr>
          </w:p>
        </w:tc>
      </w:tr>
    </w:tbl>
    <w:p>
      <w:pPr>
        <w:spacing w:after="0" w:line="13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40640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79"/>
        <w:spacing w:after="0" w:line="246"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15" w:lineRule="exact"/>
        <w:rPr>
          <w:rFonts w:ascii="MS PGothic" w:cs="MS PGothic" w:eastAsia="MS PGothic" w:hAnsi="MS PGothic"/>
          <w:sz w:val="17"/>
          <w:szCs w:val="17"/>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5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19"/>
          </w:cols>
          <w:pgMar w:left="1340" w:top="1295" w:right="1440" w:bottom="1440" w:gutter="0" w:footer="0" w:header="0"/>
        </w:sectPr>
      </w:pPr>
    </w:p>
    <w:p>
      <w:pPr>
        <w:spacing w:after="0" w:line="59" w:lineRule="exact"/>
        <w:rPr>
          <w:sz w:val="24"/>
          <w:szCs w:val="24"/>
          <w:color w:val="auto"/>
        </w:rPr>
      </w:pPr>
    </w:p>
    <w:p>
      <w:pPr>
        <w:ind w:left="120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20" w:space="720"/>
            <w:col w:w="1340" w:space="720"/>
            <w:col w:w="2919"/>
          </w:cols>
          <w:pgMar w:left="1340" w:top="1295" w:right="1440"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19"/>
          </w:cols>
          <w:pgMar w:left="1340" w:top="1295" w:right="1440" w:bottom="1440" w:gutter="0" w:footer="0" w:header="0"/>
          <w:type w:val="continuous"/>
        </w:sectPr>
      </w:pPr>
    </w:p>
    <w:p>
      <w:pPr>
        <w:spacing w:after="0" w:line="253" w:lineRule="exact"/>
        <w:rPr>
          <w:sz w:val="24"/>
          <w:szCs w:val="24"/>
          <w:color w:val="auto"/>
        </w:rPr>
      </w:pPr>
    </w:p>
    <w:p>
      <w:pPr>
        <w:ind w:right="79"/>
        <w:spacing w:after="0" w:line="27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60"/>
        <w:spacing w:after="0" w:line="322"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28"/>
          <w:szCs w:val="28"/>
          <w:color w:val="auto"/>
          <w:vertAlign w:val="subscript"/>
        </w:rPr>
        <w:t>☐</w:t>
      </w:r>
    </w:p>
    <w:p>
      <w:pPr>
        <w:spacing w:after="0" w:line="42" w:lineRule="exact"/>
        <w:rPr>
          <w:sz w:val="24"/>
          <w:szCs w:val="24"/>
          <w:color w:val="auto"/>
        </w:rPr>
      </w:pPr>
    </w:p>
    <w:p>
      <w:pPr>
        <w:ind w:right="139"/>
        <w:spacing w:after="0" w:line="24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767715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617855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643255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19"/>
          </w:cols>
          <w:pgMar w:left="1340" w:top="1295" w:right="1440"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67"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On November 1, 2022, NN, Inc. (the “Company”) issued a press release announcing the Company’s financial results for the quarter ended September 30, 2022. The full text of the press release is furnished as Exhibit 99.1 to this Current Report on Form 8-K (the "Current Report").</w:t>
      </w:r>
    </w:p>
    <w:p>
      <w:pPr>
        <w:spacing w:after="0" w:line="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27" w:lineRule="exact"/>
        <w:rPr>
          <w:sz w:val="20"/>
          <w:szCs w:val="20"/>
          <w:color w:val="auto"/>
        </w:rPr>
      </w:pPr>
    </w:p>
    <w:p>
      <w:pPr>
        <w:ind w:left="1020" w:right="520" w:hanging="105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November 1, 2022, Warren Veltman announced that he will be retiring from his position as President and Chief Executive Officer, and John R. Buchan announced that he will be retiring from his position as Executive Vice President, Mobile Solutions and Power Solutions. Mr. Veltman’s and Mr. Buchan’s retirements were not the result of any disagreement regarding any matter relating to the Company’s operations, policies or practices, and each of Mr. Veltman and Mr. Buchan will remain in their current positions until March 31, 2023, however, such date may be extended in order to facilitate an orderly transition.</w:t>
      </w:r>
    </w:p>
    <w:p>
      <w:pPr>
        <w:spacing w:after="0" w:line="8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Additionally, the Board of Directors of the Company (the “Board”) has implemented a management transition plan to address the pending retirements of Mr. Veltman and Mr. Buchan (the “Management Transition Plan”). In connection with the Management Transition Plan, the Board has engaged Korn Ferry, a global organizational consulting firm, to assist in identifying candidates for the President and Chief Executive Officer position.</w:t>
      </w:r>
    </w:p>
    <w:p>
      <w:pPr>
        <w:spacing w:after="0" w:line="3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6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November 1, 2022, the Company issued a press release announcing the Board’s Management Transition Plan. The full text of the press release is furnished as Exhibit 99.2 to this Current Report.</w:t>
      </w:r>
    </w:p>
    <w:p>
      <w:pPr>
        <w:spacing w:after="0" w:line="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90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No.</w:t>
            </w:r>
          </w:p>
        </w:tc>
        <w:tc>
          <w:tcPr>
            <w:tcW w:w="1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9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0" w:type="dxa"/>
            <w:vAlign w:val="bottom"/>
            <w:gridSpan w:val="4"/>
          </w:tcPr>
          <w:p>
            <w:pPr>
              <w:jc w:val="center"/>
              <w:spacing w:after="0"/>
              <w:rPr>
                <w:sz w:val="20"/>
                <w:szCs w:val="20"/>
                <w:color w:val="auto"/>
              </w:rPr>
            </w:pPr>
            <w:r>
              <w:rPr>
                <w:rFonts w:ascii="Arial" w:cs="Arial" w:eastAsia="Arial" w:hAnsi="Arial"/>
                <w:sz w:val="18"/>
                <w:szCs w:val="18"/>
                <w:color w:val="auto"/>
                <w:w w:val="91"/>
              </w:rPr>
              <w:t>99.1</w:t>
            </w:r>
          </w:p>
        </w:tc>
        <w:tc>
          <w:tcPr>
            <w:tcW w:w="320" w:type="dxa"/>
            <w:vAlign w:val="bottom"/>
          </w:tcPr>
          <w:p>
            <w:pPr>
              <w:spacing w:after="0"/>
              <w:rPr>
                <w:sz w:val="21"/>
                <w:szCs w:val="21"/>
                <w:color w:val="auto"/>
              </w:rPr>
            </w:pPr>
          </w:p>
        </w:tc>
        <w:tc>
          <w:tcPr>
            <w:tcW w:w="4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Press Release issued by NN, Inc., dated November 1, 2022</w:t>
            </w:r>
          </w:p>
        </w:tc>
        <w:tc>
          <w:tcPr>
            <w:tcW w:w="6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60" w:type="dxa"/>
            <w:vAlign w:val="bottom"/>
            <w:gridSpan w:val="4"/>
          </w:tcPr>
          <w:p>
            <w:pPr>
              <w:jc w:val="center"/>
              <w:spacing w:after="0"/>
              <w:rPr>
                <w:sz w:val="20"/>
                <w:szCs w:val="20"/>
                <w:color w:val="auto"/>
              </w:rPr>
            </w:pPr>
            <w:r>
              <w:rPr>
                <w:rFonts w:ascii="Arial" w:cs="Arial" w:eastAsia="Arial" w:hAnsi="Arial"/>
                <w:sz w:val="18"/>
                <w:szCs w:val="18"/>
                <w:color w:val="auto"/>
                <w:w w:val="91"/>
              </w:rPr>
              <w:t>99.2</w:t>
            </w:r>
          </w:p>
        </w:tc>
        <w:tc>
          <w:tcPr>
            <w:tcW w:w="320" w:type="dxa"/>
            <w:vAlign w:val="bottom"/>
          </w:tcPr>
          <w:p>
            <w:pPr>
              <w:spacing w:after="0"/>
              <w:rPr>
                <w:sz w:val="18"/>
                <w:szCs w:val="18"/>
                <w:color w:val="auto"/>
              </w:rPr>
            </w:pPr>
          </w:p>
        </w:tc>
        <w:tc>
          <w:tcPr>
            <w:tcW w:w="4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Press Release issued by NN, Inc., dated November 1, 2022</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60" w:type="dxa"/>
            <w:vAlign w:val="bottom"/>
            <w:gridSpan w:val="4"/>
          </w:tcPr>
          <w:p>
            <w:pPr>
              <w:jc w:val="center"/>
              <w:ind w:left="15"/>
              <w:spacing w:after="0"/>
              <w:rPr>
                <w:sz w:val="20"/>
                <w:szCs w:val="20"/>
                <w:color w:val="auto"/>
              </w:rPr>
            </w:pPr>
            <w:r>
              <w:rPr>
                <w:rFonts w:ascii="Arial" w:cs="Arial" w:eastAsia="Arial" w:hAnsi="Arial"/>
                <w:sz w:val="18"/>
                <w:szCs w:val="18"/>
                <w:color w:val="auto"/>
                <w:w w:val="86"/>
              </w:rPr>
              <w:t>104</w:t>
            </w:r>
          </w:p>
        </w:tc>
        <w:tc>
          <w:tcPr>
            <w:tcW w:w="320" w:type="dxa"/>
            <w:vAlign w:val="bottom"/>
          </w:tcPr>
          <w:p>
            <w:pPr>
              <w:spacing w:after="0"/>
              <w:rPr>
                <w:sz w:val="24"/>
                <w:szCs w:val="24"/>
                <w:color w:val="auto"/>
              </w:rPr>
            </w:pPr>
          </w:p>
        </w:tc>
        <w:tc>
          <w:tcPr>
            <w:tcW w:w="103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27"/>
        </w:trPr>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November 1, 2022</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9220"/>
          </w:cols>
          <w:pgMar w:left="1340" w:top="891" w:right="1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285875" cy="1259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1003300</wp:posOffset>
            </wp:positionV>
            <wp:extent cx="192849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FINANCIAL RESULTS FOR THIRD QUARTER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Net sales increased 8.6% over the prior year;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Continued progress on strategic initiatives despite challenging inflation and supply chain environment</w:t>
      </w:r>
    </w:p>
    <w:p>
      <w:pPr>
        <w:spacing w:after="0" w:line="232" w:lineRule="exact"/>
        <w:rPr>
          <w:sz w:val="20"/>
          <w:szCs w:val="20"/>
          <w:color w:val="auto"/>
        </w:rPr>
      </w:pPr>
    </w:p>
    <w:p>
      <w:pPr>
        <w:ind w:right="780"/>
        <w:spacing w:after="0" w:line="276" w:lineRule="auto"/>
        <w:rPr>
          <w:sz w:val="20"/>
          <w:szCs w:val="20"/>
          <w:color w:val="auto"/>
        </w:rPr>
      </w:pPr>
      <w:r>
        <w:rPr>
          <w:rFonts w:ascii="Arial" w:cs="Arial" w:eastAsia="Arial" w:hAnsi="Arial"/>
          <w:sz w:val="20"/>
          <w:szCs w:val="20"/>
          <w:b w:val="1"/>
          <w:bCs w:val="1"/>
          <w:color w:val="auto"/>
        </w:rPr>
        <w:t xml:space="preserve">CHARLOTTE, N.C., November 1, 2022 </w:t>
      </w:r>
      <w:r>
        <w:rPr>
          <w:rFonts w:ascii="Arial" w:cs="Arial" w:eastAsia="Arial" w:hAnsi="Arial"/>
          <w:sz w:val="20"/>
          <w:szCs w:val="20"/>
          <w:color w:val="auto"/>
        </w:rPr>
        <w:t>– NN, Inc. (NASDAQ: NNBR), a global diversified industrial company that</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manufactures high-precision components and assemblies, today reported its financial results for the third quarter ended September 30, 2022.</w:t>
      </w:r>
    </w:p>
    <w:p>
      <w:pPr>
        <w:spacing w:after="0" w:line="14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Warren Veltman, President and Chief Executive Officer, said, “Our team made solid progress against our long-term strategic goals during the third quarter. We generated sales growth with increased volumes and improved pricing reflecting our efforts to recover inflation throughout the year and made considerable progress in optimizing our production footprint to be more cost competitive. Although our third quarter results show an improvement from the prior year, the results did not meet our expectations which is disappointing, and we continue to focus on increasing sales in key strategic sectors, additional inflation recovery, and improving operational efficiency. We remain confident that the actions we have taken, including the recently announced closure of our Irvine location, will enable us to deliver for our customers, position the company for success and provide improved shareholder returns.”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GAAP Results</w:t>
      </w:r>
    </w:p>
    <w:p>
      <w:pPr>
        <w:spacing w:after="0" w:line="78" w:lineRule="exact"/>
        <w:rPr>
          <w:sz w:val="20"/>
          <w:szCs w:val="20"/>
          <w:color w:val="auto"/>
        </w:rPr>
      </w:pPr>
    </w:p>
    <w:p>
      <w:pPr>
        <w:ind w:right="780"/>
        <w:spacing w:after="0" w:line="246" w:lineRule="auto"/>
        <w:rPr>
          <w:sz w:val="20"/>
          <w:szCs w:val="20"/>
          <w:color w:val="auto"/>
        </w:rPr>
      </w:pPr>
      <w:r>
        <w:rPr>
          <w:rFonts w:ascii="Arial" w:cs="Arial" w:eastAsia="Arial" w:hAnsi="Arial"/>
          <w:sz w:val="20"/>
          <w:szCs w:val="20"/>
          <w:color w:val="auto"/>
        </w:rPr>
        <w:t>Net sales were $127.3 million, an increase of 8.6% from the third quarter of 2021, primarily due to increased pricing and improved demand in Mobile Solutions, partially offset by unfavorable foreign exchange effects.</w:t>
      </w:r>
    </w:p>
    <w:p>
      <w:pPr>
        <w:spacing w:after="0" w:line="231" w:lineRule="exact"/>
        <w:rPr>
          <w:sz w:val="20"/>
          <w:szCs w:val="20"/>
          <w:color w:val="auto"/>
        </w:rPr>
      </w:pPr>
    </w:p>
    <w:p>
      <w:pPr>
        <w:ind w:right="820"/>
        <w:spacing w:after="0" w:line="264" w:lineRule="auto"/>
        <w:rPr>
          <w:sz w:val="20"/>
          <w:szCs w:val="20"/>
          <w:color w:val="auto"/>
        </w:rPr>
      </w:pPr>
      <w:r>
        <w:rPr>
          <w:rFonts w:ascii="Arial" w:cs="Arial" w:eastAsia="Arial" w:hAnsi="Arial"/>
          <w:sz w:val="20"/>
          <w:szCs w:val="20"/>
          <w:color w:val="auto"/>
        </w:rPr>
        <w:t>Loss from operations was $2.1 million compared to loss from operations of $4.6 million in the third quarter of 2021. The reduction in loss from operations was primarily driven by an increase in sales and lower incentive and stock-based compensation expenses.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Income from operations for the Power Solutions segment was $2.6 million compared to $1.3 million for the same period in 2021.</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Loss from operations for Mobile Solutions was $0.5 million compared a loss of $0.3 million for the same period in 2021.</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color w:val="auto"/>
        </w:rPr>
        <w:t>Net loss was $2.2 million compared to a net loss of $3.4 million for the same period in 2021. The decrease in net loss was primarily driven by higher sales, lower incentive and stock-based compensation expenses, and an increase in the share of net income from the China joint venture.</w:t>
      </w:r>
    </w:p>
    <w:p>
      <w:pPr>
        <w:sectPr>
          <w:pgSz w:w="11900" w:h="16838" w:orient="portrait"/>
          <w:cols w:equalWidth="0" w:num="1">
            <w:col w:w="11240"/>
          </w:cols>
          <w:pgMar w:left="320" w:top="125" w:right="339" w:bottom="1440" w:gutter="0" w:footer="0" w:header="0"/>
        </w:sectPr>
      </w:pPr>
    </w:p>
    <w:p>
      <w:pPr>
        <w:spacing w:after="0" w:line="389"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Adjusted Results</w:t>
      </w:r>
    </w:p>
    <w:p>
      <w:pPr>
        <w:spacing w:after="0" w:line="105"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Adjusted income from operations for the third quarter of 2022 was $2.5 million compared to adjusted loss from operations of $0.2 million for the same period in 2021. Adjusted EBITDA was $11.8 million, or 9.3% of sales, compared to $9.7 million, or 8.3% of sales, for the same period in 2021. Adjusted net income was $1.5 million, or $0.03 per diluted share, compared to adjusted net income of $0.5 million, or $0.01 per diluted share, for the same period in 2021.</w:t>
      </w:r>
    </w:p>
    <w:p>
      <w:pPr>
        <w:spacing w:after="0" w:line="164" w:lineRule="exact"/>
        <w:rPr>
          <w:sz w:val="20"/>
          <w:szCs w:val="20"/>
          <w:color w:val="auto"/>
        </w:rPr>
      </w:pPr>
    </w:p>
    <w:p>
      <w:pPr>
        <w:ind w:right="460"/>
        <w:spacing w:after="0" w:line="275" w:lineRule="auto"/>
        <w:rPr>
          <w:sz w:val="20"/>
          <w:szCs w:val="20"/>
          <w:color w:val="auto"/>
        </w:rPr>
      </w:pPr>
      <w:r>
        <w:rPr>
          <w:rFonts w:ascii="Arial" w:cs="Arial" w:eastAsia="Arial" w:hAnsi="Arial"/>
          <w:sz w:val="20"/>
          <w:szCs w:val="20"/>
          <w:color w:val="auto"/>
        </w:rPr>
        <w:t>Free cash flow was a use of cash of $4.4 million compared to a use of cash of $3.7 million for the same period in 2021. The decrease in free cash flow was primarily driven by an increase in capital expenditures during the third quarter.</w:t>
      </w:r>
    </w:p>
    <w:p>
      <w:pPr>
        <w:spacing w:after="0" w:line="148"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On October 13, 2022, the Company announced the planned closure of its production facility in Irvine, California. This announcement follows the closure of the Company’s Taunton, Massachusetts facility which was announced in February 2022. Through the first nine months of 2022, the two facilities generated combined adjusted operating losses of $7.5 million and adjusted EBITDA losses of $5.8 million.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Power Solutions</w:t>
      </w:r>
    </w:p>
    <w:p>
      <w:pPr>
        <w:spacing w:after="0" w:line="78"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Net sales for the third quarter of 2022 were $51.1 million compared to $48.7 million in the third quarter of 2021, an increase of 5.0% or $2.4 million. The increase in sales was primarily due to higher customer pricing and volume, partially offset by lower precious metals pass-through pricing and unfavorable foreign exchange effects. Adjusted income from operations was $5.8 million compared to $4.0 million in the third quarter of 2021. The increase in adjusted income from operations was primarily due to the increase in sales and lower incentive compensation expense and favorable mix, partially offset by a gain on the sale of a facility in the third quarter of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Mobile Solutions</w:t>
      </w:r>
    </w:p>
    <w:p>
      <w:pPr>
        <w:spacing w:after="0" w:line="78" w:lineRule="exact"/>
        <w:rPr>
          <w:sz w:val="20"/>
          <w:szCs w:val="20"/>
          <w:color w:val="auto"/>
        </w:rPr>
      </w:pPr>
    </w:p>
    <w:p>
      <w:pPr>
        <w:ind w:right="360"/>
        <w:spacing w:after="0" w:line="249" w:lineRule="auto"/>
        <w:rPr>
          <w:sz w:val="20"/>
          <w:szCs w:val="20"/>
          <w:color w:val="auto"/>
        </w:rPr>
      </w:pPr>
      <w:r>
        <w:rPr>
          <w:rFonts w:ascii="Arial" w:cs="Arial" w:eastAsia="Arial" w:hAnsi="Arial"/>
          <w:sz w:val="19"/>
          <w:szCs w:val="19"/>
          <w:color w:val="auto"/>
        </w:rPr>
        <w:t>Net sales for the third quarter of 2022 were $76.1 million compared to $68.6 million in the third quarter of 2021, a increase of 11.0% or $7.5 million. The increase in sales was primarily due to increased pricing and volume demand, partially offset by negative foreign exchange effects. Adjusted income from operations was $0.7 million compared to $1.0 million of adjusted income from operations in the third quarter of 2021. The decrease in adjusted operating income was primarily driven by inflationary costs not fully recovered in customer pricing partially offset by lower incentive compensation expense.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2022 Outlook</w:t>
      </w:r>
    </w:p>
    <w:p>
      <w:pPr>
        <w:spacing w:after="0" w:line="91" w:lineRule="exact"/>
        <w:rPr>
          <w:sz w:val="20"/>
          <w:szCs w:val="20"/>
          <w:color w:val="auto"/>
        </w:rPr>
      </w:pPr>
    </w:p>
    <w:p>
      <w:pPr>
        <w:ind w:right="320"/>
        <w:spacing w:after="0" w:line="261" w:lineRule="auto"/>
        <w:rPr>
          <w:sz w:val="20"/>
          <w:szCs w:val="20"/>
          <w:color w:val="auto"/>
        </w:rPr>
      </w:pPr>
      <w:r>
        <w:rPr>
          <w:rFonts w:ascii="Arial" w:cs="Arial" w:eastAsia="Arial" w:hAnsi="Arial"/>
          <w:sz w:val="20"/>
          <w:szCs w:val="20"/>
          <w:color w:val="auto"/>
        </w:rPr>
        <w:t>Based on results for the first nine months of the year, as well as expectations for the remainder of the year, the Company has revised its expectations for financial results for the full year as follows:</w:t>
      </w:r>
    </w:p>
    <w:p>
      <w:pPr>
        <w:spacing w:after="0" w:line="2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in the range of $503 million to $510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 the range of $45 million to $48 million</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in the range of ($12) to ($9) million</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outlook does not include CARES Act tax refund of ~$11 million due to uncertain timing</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November 2, 2022, at 9:00 a.m. ET. The call and</w:t>
      </w:r>
    </w:p>
    <w:p>
      <w:pPr>
        <w:ind w:right="260"/>
        <w:spacing w:after="0" w:line="243" w:lineRule="auto"/>
        <w:rPr>
          <w:rFonts w:ascii="Arial" w:cs="Arial" w:eastAsia="Arial" w:hAnsi="Arial"/>
          <w:sz w:val="20"/>
          <w:szCs w:val="20"/>
          <w:color w:val="auto"/>
        </w:rPr>
      </w:pPr>
      <w:r>
        <w:rPr>
          <w:rFonts w:ascii="Arial" w:cs="Arial" w:eastAsia="Arial" w:hAnsi="Arial"/>
          <w:sz w:val="20"/>
          <w:szCs w:val="20"/>
          <w:color w:val="auto"/>
        </w:rPr>
        <w:t>supplemental presentation may be accessed via NN's website, www.nninc.com. The conference call can also be accessed by dialing 1-877-317-6789 or 1-412-317-6789, Conference ID: 10170581. For those who are unavailable to listen to the live broadcast, a replay will be available shortly after the call until November 2, 2023.</w:t>
      </w:r>
    </w:p>
    <w:p>
      <w:pPr>
        <w:spacing w:after="0" w:line="246" w:lineRule="exact"/>
        <w:rPr>
          <w:sz w:val="20"/>
          <w:szCs w:val="20"/>
          <w:color w:val="auto"/>
        </w:rPr>
      </w:pPr>
    </w:p>
    <w:p>
      <w:pPr>
        <w:ind w:right="180" w:firstLine="8"/>
        <w:spacing w:after="0" w:line="271" w:lineRule="auto"/>
        <w:tabs>
          <w:tab w:leader="none" w:pos="341" w:val="left"/>
        </w:tabs>
        <w:numPr>
          <w:ilvl w:val="0"/>
          <w:numId w:val="5"/>
        </w:numPr>
        <w:rPr>
          <w:rFonts w:ascii="Arial" w:cs="Arial" w:eastAsia="Arial" w:hAnsi="Arial"/>
          <w:sz w:val="19"/>
          <w:szCs w:val="19"/>
          <w:color w:val="auto"/>
        </w:rPr>
      </w:pPr>
      <w:r>
        <w:rPr>
          <w:rFonts w:ascii="Arial" w:cs="Arial" w:eastAsia="Arial" w:hAnsi="Arial"/>
          <w:sz w:val="19"/>
          <w:szCs w:val="19"/>
          <w:color w:val="auto"/>
        </w:rPr>
        <w:t>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w:t>
      </w:r>
    </w:p>
    <w:p>
      <w:pPr>
        <w:spacing w:after="0" w:line="2" w:lineRule="exact"/>
        <w:rPr>
          <w:rFonts w:ascii="Arial" w:cs="Arial" w:eastAsia="Arial" w:hAnsi="Arial"/>
          <w:sz w:val="19"/>
          <w:szCs w:val="19"/>
          <w:color w:val="auto"/>
        </w:rPr>
      </w:pPr>
    </w:p>
    <w:p>
      <w:pPr>
        <w:ind w:right="100"/>
        <w:spacing w:after="0" w:line="261" w:lineRule="auto"/>
        <w:rPr>
          <w:rFonts w:ascii="Arial" w:cs="Arial" w:eastAsia="Arial" w:hAnsi="Arial"/>
          <w:sz w:val="19"/>
          <w:szCs w:val="19"/>
          <w:color w:val="auto"/>
        </w:rPr>
      </w:pPr>
      <w:r>
        <w:rPr>
          <w:rFonts w:ascii="Arial" w:cs="Arial" w:eastAsia="Arial" w:hAnsi="Arial"/>
          <w:sz w:val="20"/>
          <w:szCs w:val="20"/>
          <w:color w:val="auto"/>
        </w:rPr>
        <w:t>acquisition and transition expenses, foreign exchange impacts on inter-company loans, amortization of intangibles and deferred financing costs, and other non-operating impacts on our business.</w:t>
      </w:r>
    </w:p>
    <w:p>
      <w:pPr>
        <w:sectPr>
          <w:pgSz w:w="11900" w:h="16838" w:orient="portrait"/>
          <w:cols w:equalWidth="0" w:num="1">
            <w:col w:w="11240"/>
          </w:cols>
          <w:pgMar w:left="320" w:top="1440" w:right="339" w:bottom="1440" w:gutter="0" w:footer="0" w:header="0"/>
        </w:sect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ind w:right="20"/>
        <w:spacing w:after="0" w:line="260"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pacing w:after="0" w:line="91"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Asia.</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presentation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including, but not limited to, inflation, rising interest rates and labor shortages;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supply chain shortages and disruptions; economic, social, political and geopolitical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or failing to recognize the expected benefits of divestitures;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339"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2021 and when filed, the Company’s Quarterly Report on Form 10-Q for the three months ended September 30, 2022. Except as required by law, we undertake no obligation to update or revise any forward-looking statements we make in our press releases, whether as a result of new information, future events or otherwise.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rPr>
          <w:sz w:val="20"/>
          <w:szCs w:val="20"/>
          <w:color w:val="auto"/>
        </w:rPr>
      </w:pPr>
      <w:r>
        <w:rPr>
          <w:rFonts w:ascii="Arial" w:cs="Arial" w:eastAsia="Arial" w:hAnsi="Arial"/>
          <w:sz w:val="20"/>
          <w:szCs w:val="20"/>
          <w:color w:val="auto"/>
        </w:rPr>
        <w:t>Investor Relations Contact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 258-5766</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8" w:right="339" w:bottom="1440" w:gutter="0" w:footer="0" w:header="0"/>
        </w:sectPr>
      </w:pPr>
    </w:p>
    <w:bookmarkStart w:id="6" w:name="page7"/>
    <w:bookmarkEnd w:id="6"/>
    <w:p>
      <w:pPr>
        <w:ind w:left="53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340" w:type="dxa"/>
            <w:vAlign w:val="bottom"/>
            <w:gridSpan w:val="4"/>
          </w:tcPr>
          <w:p>
            <w:pPr>
              <w:jc w:val="right"/>
              <w:ind w:right="55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12"/>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127,297</w:t>
            </w:r>
          </w:p>
        </w:tc>
        <w:tc>
          <w:tcPr>
            <w:tcW w:w="120" w:type="dxa"/>
            <w:vAlign w:val="bottom"/>
            <w:shd w:val="clear" w:color="auto" w:fill="BFE4FF"/>
          </w:tcPr>
          <w:p>
            <w:pPr>
              <w:spacing w:after="0"/>
              <w:rPr>
                <w:sz w:val="18"/>
                <w:szCs w:val="18"/>
                <w:color w:val="auto"/>
              </w:rPr>
            </w:pPr>
          </w:p>
        </w:tc>
        <w:tc>
          <w:tcPr>
            <w:tcW w:w="460" w:type="dxa"/>
            <w:vAlign w:val="bottom"/>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117,244</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380,726</w:t>
            </w:r>
          </w:p>
        </w:tc>
        <w:tc>
          <w:tcPr>
            <w:tcW w:w="100" w:type="dxa"/>
            <w:vAlign w:val="bottom"/>
            <w:shd w:val="clear" w:color="auto" w:fill="BFE4FF"/>
          </w:tcPr>
          <w:p>
            <w:pPr>
              <w:spacing w:after="0"/>
              <w:rPr>
                <w:sz w:val="18"/>
                <w:szCs w:val="18"/>
                <w:color w:val="auto"/>
              </w:rPr>
            </w:pPr>
          </w:p>
        </w:tc>
        <w:tc>
          <w:tcPr>
            <w:tcW w:w="460" w:type="dxa"/>
            <w:vAlign w:val="bottom"/>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367,205</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w w:val="95"/>
              </w:rPr>
              <w:t>Cost of sales (exclusive of depreciation and amortization shown separately below)</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108,033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316,500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298,127</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10,205</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12,181</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38,453</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40,341</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34,860</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1,862</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3,746</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3,578</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90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Loss on interest rate swap</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(4,219)</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146"/>
        </w:trPr>
        <w:tc>
          <w:tcPr>
            <w:tcW w:w="5900" w:type="dxa"/>
            <w:vAlign w:val="bottom"/>
          </w:tcPr>
          <w:p>
            <w:pPr>
              <w:ind w:left="20"/>
              <w:spacing w:after="0" w:line="146" w:lineRule="exact"/>
              <w:rPr>
                <w:sz w:val="20"/>
                <w:szCs w:val="20"/>
                <w:color w:val="auto"/>
              </w:rPr>
            </w:pPr>
            <w:r>
              <w:rPr>
                <w:rFonts w:ascii="Arial" w:cs="Arial" w:eastAsia="Arial" w:hAnsi="Arial"/>
                <w:sz w:val="16"/>
                <w:szCs w:val="16"/>
                <w:color w:val="auto"/>
              </w:rPr>
              <w:t>Loss before benefit (provision) for income taxes and share of net income from joint</w:t>
            </w: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(4,707)</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(16,505)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(17,749)</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venture</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1,068</w:t>
            </w: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w:t>
            </w:r>
          </w:p>
        </w:tc>
        <w:tc>
          <w:tcPr>
            <w:tcW w:w="12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w:t>
            </w:r>
          </w:p>
        </w:tc>
        <w:tc>
          <w:tcPr>
            <w:tcW w:w="10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212"/>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Loss from continuing operations</w:t>
            </w:r>
          </w:p>
        </w:tc>
        <w:tc>
          <w:tcPr>
            <w:tcW w:w="280" w:type="dxa"/>
            <w:vAlign w:val="bottom"/>
            <w:tcBorders>
              <w:bottom w:val="single" w:sz="8" w:color="auto"/>
            </w:tcBorders>
            <w:shd w:val="clear" w:color="auto" w:fill="BFE4FF"/>
          </w:tcPr>
          <w:p>
            <w:pPr>
              <w:spacing w:after="0"/>
              <w:rPr>
                <w:sz w:val="18"/>
                <w:szCs w:val="18"/>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(2,215)</w:t>
            </w:r>
          </w:p>
        </w:tc>
        <w:tc>
          <w:tcPr>
            <w:tcW w:w="12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(3,377)</w:t>
            </w:r>
          </w:p>
        </w:tc>
        <w:tc>
          <w:tcPr>
            <w:tcW w:w="100" w:type="dxa"/>
            <w:vAlign w:val="bottom"/>
            <w:shd w:val="clear" w:color="auto" w:fill="BFE4FF"/>
          </w:tcPr>
          <w:p>
            <w:pPr>
              <w:spacing w:after="0"/>
              <w:rPr>
                <w:sz w:val="18"/>
                <w:szCs w:val="18"/>
                <w:color w:val="auto"/>
              </w:rPr>
            </w:pPr>
          </w:p>
        </w:tc>
        <w:tc>
          <w:tcPr>
            <w:tcW w:w="280" w:type="dxa"/>
            <w:vAlign w:val="bottom"/>
            <w:tcBorders>
              <w:bottom w:val="single" w:sz="8" w:color="auto"/>
            </w:tcBorders>
            <w:shd w:val="clear" w:color="auto" w:fill="BFE4FF"/>
          </w:tcPr>
          <w:p>
            <w:pPr>
              <w:spacing w:after="0"/>
              <w:rPr>
                <w:sz w:val="18"/>
                <w:szCs w:val="18"/>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shd w:val="clear" w:color="auto" w:fill="BFE4FF"/>
          </w:tcPr>
          <w:p>
            <w:pPr>
              <w:spacing w:after="0"/>
              <w:rPr>
                <w:sz w:val="18"/>
                <w:szCs w:val="18"/>
                <w:color w:val="auto"/>
              </w:rPr>
            </w:pPr>
          </w:p>
        </w:tc>
        <w:tc>
          <w:tcPr>
            <w:tcW w:w="460" w:type="dxa"/>
            <w:vAlign w:val="bottom"/>
            <w:tcBorders>
              <w:bottom w:val="single" w:sz="8" w:color="auto"/>
            </w:tcBorders>
            <w:shd w:val="clear" w:color="auto" w:fill="BFE4FF"/>
          </w:tcPr>
          <w:p>
            <w:pPr>
              <w:spacing w:after="0"/>
              <w:rPr>
                <w:sz w:val="18"/>
                <w:szCs w:val="18"/>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07"/>
        </w:trPr>
        <w:tc>
          <w:tcPr>
            <w:tcW w:w="590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w:t>
            </w:r>
          </w:p>
        </w:tc>
        <w:tc>
          <w:tcPr>
            <w:tcW w:w="120" w:type="dxa"/>
            <w:vAlign w:val="bottom"/>
            <w:tcBorders>
              <w:bottom w:val="single" w:sz="8" w:color="BFE4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w:t>
            </w:r>
          </w:p>
        </w:tc>
        <w:tc>
          <w:tcPr>
            <w:tcW w:w="100" w:type="dxa"/>
            <w:vAlign w:val="bottom"/>
            <w:tcBorders>
              <w:bottom w:val="single" w:sz="8" w:color="BFE4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tcBorders>
              <w:bottom w:val="single" w:sz="8" w:color="BFE4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199"/>
        </w:trPr>
        <w:tc>
          <w:tcPr>
            <w:tcW w:w="590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280" w:type="dxa"/>
            <w:vAlign w:val="bottom"/>
            <w:shd w:val="clear" w:color="auto" w:fill="BFE4FF"/>
          </w:tcPr>
          <w:p>
            <w:pPr>
              <w:spacing w:after="0"/>
              <w:rPr>
                <w:sz w:val="17"/>
                <w:szCs w:val="17"/>
                <w:color w:val="auto"/>
              </w:rPr>
            </w:pPr>
          </w:p>
        </w:tc>
        <w:tc>
          <w:tcPr>
            <w:tcW w:w="9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46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360"/>
              <w:spacing w:after="0"/>
              <w:rPr>
                <w:sz w:val="20"/>
                <w:szCs w:val="20"/>
                <w:color w:val="auto"/>
              </w:rPr>
            </w:pPr>
            <w:r>
              <w:rPr>
                <w:rFonts w:ascii="Arial" w:cs="Arial" w:eastAsia="Arial" w:hAnsi="Arial"/>
                <w:sz w:val="16"/>
                <w:szCs w:val="16"/>
                <w:color w:val="auto"/>
              </w:rPr>
              <w:t>Foreign currency transaction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(7,653)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Interest rate swap:</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560"/>
              <w:spacing w:after="0"/>
              <w:rPr>
                <w:sz w:val="20"/>
                <w:szCs w:val="20"/>
                <w:color w:val="auto"/>
              </w:rPr>
            </w:pPr>
            <w:r>
              <w:rPr>
                <w:rFonts w:ascii="Arial" w:cs="Arial" w:eastAsia="Arial" w:hAnsi="Arial"/>
                <w:sz w:val="16"/>
                <w:szCs w:val="16"/>
                <w:color w:val="auto"/>
              </w:rPr>
              <w:t>Change in fair value, net of tax</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560"/>
              <w:spacing w:after="0"/>
              <w:rPr>
                <w:sz w:val="20"/>
                <w:szCs w:val="20"/>
                <w:color w:val="auto"/>
              </w:rPr>
            </w:pPr>
            <w:r>
              <w:rPr>
                <w:rFonts w:ascii="Arial" w:cs="Arial" w:eastAsia="Arial" w:hAnsi="Arial"/>
                <w:sz w:val="16"/>
                <w:szCs w:val="16"/>
                <w:color w:val="auto"/>
                <w:w w:val="99"/>
              </w:rPr>
              <w:t>Reclassification adjustment for losses (gains) included in net loss, net of tax</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06"/>
        </w:trPr>
        <w:tc>
          <w:tcPr>
            <w:tcW w:w="590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(6,865)</w:t>
            </w:r>
          </w:p>
        </w:tc>
        <w:tc>
          <w:tcPr>
            <w:tcW w:w="120" w:type="dxa"/>
            <w:vAlign w:val="bottom"/>
            <w:tcBorders>
              <w:bottom w:val="single" w:sz="8" w:color="BFE4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w:t>
            </w:r>
          </w:p>
        </w:tc>
        <w:tc>
          <w:tcPr>
            <w:tcW w:w="100" w:type="dxa"/>
            <w:vAlign w:val="bottom"/>
            <w:tcBorders>
              <w:bottom w:val="single" w:sz="8" w:color="BFE4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BFE4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(9,080)</w:t>
            </w:r>
          </w:p>
        </w:tc>
        <w:tc>
          <w:tcPr>
            <w:tcW w:w="12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(6,143)</w:t>
            </w:r>
          </w:p>
        </w:tc>
        <w:tc>
          <w:tcPr>
            <w:tcW w:w="100" w:type="dxa"/>
            <w:vAlign w:val="bottom"/>
            <w:tcBorders>
              <w:bottom w:val="single" w:sz="8" w:color="BFE4FF"/>
            </w:tcBorders>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(25,214)</w:t>
            </w:r>
          </w:p>
        </w:tc>
        <w:tc>
          <w:tcPr>
            <w:tcW w:w="100" w:type="dxa"/>
            <w:vAlign w:val="bottom"/>
            <w:tcBorders>
              <w:bottom w:val="single" w:sz="8" w:color="BFE4FF"/>
            </w:tcBorders>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(12,534)</w:t>
            </w:r>
          </w:p>
        </w:tc>
        <w:tc>
          <w:tcPr>
            <w:tcW w:w="0" w:type="dxa"/>
            <w:vAlign w:val="bottom"/>
          </w:tcPr>
          <w:p>
            <w:pPr>
              <w:spacing w:after="0"/>
              <w:rPr>
                <w:sz w:val="1"/>
                <w:szCs w:val="1"/>
                <w:color w:val="auto"/>
              </w:rPr>
            </w:pPr>
          </w:p>
        </w:tc>
      </w:tr>
      <w:tr>
        <w:trPr>
          <w:trHeight w:val="20"/>
        </w:trPr>
        <w:tc>
          <w:tcPr>
            <w:tcW w:w="59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Basic net loss per common share:</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7"/>
        </w:trPr>
        <w:tc>
          <w:tcPr>
            <w:tcW w:w="5900" w:type="dxa"/>
            <w:vAlign w:val="bottom"/>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44,711</w:t>
            </w:r>
          </w:p>
        </w:tc>
        <w:tc>
          <w:tcPr>
            <w:tcW w:w="12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44,455</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44,670</w:t>
            </w:r>
          </w:p>
        </w:tc>
        <w:tc>
          <w:tcPr>
            <w:tcW w:w="10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43,862</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Diluted net loss per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BFE4FF"/>
          </w:tcPr>
          <w:p>
            <w:pPr>
              <w:spacing w:after="0"/>
              <w:rPr>
                <w:sz w:val="19"/>
                <w:szCs w:val="19"/>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6"/>
        </w:trPr>
        <w:tc>
          <w:tcPr>
            <w:tcW w:w="5900" w:type="dxa"/>
            <w:vAlign w:val="bottom"/>
          </w:tcPr>
          <w:p>
            <w:pPr>
              <w:ind w:left="36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44,711</w:t>
            </w:r>
          </w:p>
        </w:tc>
        <w:tc>
          <w:tcPr>
            <w:tcW w:w="12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44,455</w:t>
            </w: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44,670</w:t>
            </w:r>
          </w:p>
        </w:tc>
        <w:tc>
          <w:tcPr>
            <w:tcW w:w="10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43,862</w:t>
            </w:r>
          </w:p>
        </w:tc>
        <w:tc>
          <w:tcPr>
            <w:tcW w:w="0" w:type="dxa"/>
            <w:vAlign w:val="bottom"/>
          </w:tcPr>
          <w:p>
            <w:pPr>
              <w:spacing w:after="0"/>
              <w:rPr>
                <w:sz w:val="1"/>
                <w:szCs w:val="1"/>
                <w:color w:val="auto"/>
              </w:rPr>
            </w:pPr>
          </w:p>
        </w:tc>
      </w:tr>
      <w:tr>
        <w:trPr>
          <w:trHeight w:val="59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90" w:right="339" w:bottom="1440" w:gutter="0" w:footer="0" w:header="0"/>
        </w:sectPr>
      </w:pPr>
    </w:p>
    <w:bookmarkStart w:id="7" w:name="page8"/>
    <w:bookmarkEnd w:id="7"/>
    <w:p>
      <w:pPr>
        <w:ind w:left="5300"/>
        <w:spacing w:after="0"/>
        <w:rPr>
          <w:sz w:val="20"/>
          <w:szCs w:val="20"/>
          <w:color w:val="auto"/>
        </w:rPr>
      </w:pPr>
      <w:r>
        <w:rPr>
          <w:rFonts w:ascii="Arial" w:cs="Arial" w:eastAsia="Arial" w:hAnsi="Arial"/>
          <w:sz w:val="18"/>
          <w:szCs w:val="18"/>
          <w:b w:val="1"/>
          <w:bCs w:val="1"/>
          <w:color w:val="auto"/>
        </w:rPr>
        <w:t>NN, Inc.</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 except per share data)</w:t>
            </w: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6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4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12,551</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28,656</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71,419</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84,172</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75,027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11,808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12,768</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207"/>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204,091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196,282</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195,084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209,105</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46,443</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77,958</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88,718</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Investment in joint venture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34,045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assets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34"/>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557,615</w:t>
            </w:r>
          </w:p>
        </w:tc>
        <w:tc>
          <w:tcPr>
            <w:tcW w:w="1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45,107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36,710</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salaries, wages and benefits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13,024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17,739</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3,150</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11,351</w:t>
            </w:r>
          </w:p>
        </w:tc>
        <w:tc>
          <w:tcPr>
            <w:tcW w:w="120" w:type="dxa"/>
            <w:vAlign w:val="bottom"/>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206"/>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78,567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74,017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6,408</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7,456</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151,052</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51,102</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51,295</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17,289</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301,063</w:t>
            </w:r>
          </w:p>
        </w:tc>
        <w:tc>
          <w:tcPr>
            <w:tcW w:w="120" w:type="dxa"/>
            <w:vAlign w:val="bottom"/>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301,109</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BFE4FF"/>
          </w:tcPr>
          <w:p>
            <w:pPr>
              <w:ind w:left="140"/>
              <w:spacing w:after="0" w:line="169" w:lineRule="exact"/>
              <w:rPr>
                <w:sz w:val="20"/>
                <w:szCs w:val="20"/>
                <w:color w:val="auto"/>
              </w:rPr>
            </w:pPr>
            <w:r>
              <w:rPr>
                <w:rFonts w:ascii="Arial" w:cs="Arial" w:eastAsia="Arial" w:hAnsi="Arial"/>
                <w:sz w:val="16"/>
                <w:szCs w:val="16"/>
                <w:color w:val="auto"/>
                <w:w w:val="93"/>
              </w:rPr>
              <w:t>Series D perpetual preferred stock - $0.01 par value per share, 65 shares authorized, issued and outstanding at September 30,</w:t>
            </w: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61,786</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53,807</w:t>
            </w:r>
          </w:p>
        </w:tc>
        <w:tc>
          <w:tcPr>
            <w:tcW w:w="0" w:type="dxa"/>
            <w:vAlign w:val="bottom"/>
          </w:tcPr>
          <w:p>
            <w:pPr>
              <w:spacing w:after="0"/>
              <w:rPr>
                <w:sz w:val="1"/>
                <w:szCs w:val="1"/>
                <w:color w:val="auto"/>
              </w:rPr>
            </w:pPr>
          </w:p>
        </w:tc>
      </w:tr>
      <w:tr>
        <w:trPr>
          <w:trHeight w:val="212"/>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2022 and December 31, 2021, respectively</w:t>
            </w: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0" w:type="dxa"/>
            <w:vAlign w:val="bottom"/>
            <w:shd w:val="clear" w:color="auto" w:fill="BFE4FF"/>
          </w:tcPr>
          <w:p>
            <w:pPr>
              <w:ind w:left="360"/>
              <w:spacing w:after="0" w:line="169" w:lineRule="exact"/>
              <w:rPr>
                <w:sz w:val="20"/>
                <w:szCs w:val="20"/>
                <w:color w:val="auto"/>
              </w:rPr>
            </w:pPr>
            <w:r>
              <w:rPr>
                <w:rFonts w:ascii="Arial" w:cs="Arial" w:eastAsia="Arial" w:hAnsi="Arial"/>
                <w:sz w:val="16"/>
                <w:szCs w:val="16"/>
                <w:color w:val="auto"/>
                <w:w w:val="94"/>
              </w:rPr>
              <w:t>Common stock - $0.01 par value per share, 90,000 shares authorized, 43,882 and 43,027 shares issued and outstanding at</w:t>
            </w: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1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2"/>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September 30, 2022 and December 31, 2021, respectively</w:t>
            </w: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4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470,543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474,757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(233,184)</w:t>
            </w: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(219,100)</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(43,032)</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(31,902)</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194,766</w:t>
            </w:r>
          </w:p>
        </w:tc>
        <w:tc>
          <w:tcPr>
            <w:tcW w:w="120" w:type="dxa"/>
            <w:vAlign w:val="bottom"/>
            <w:shd w:val="clear" w:color="auto" w:fill="BFE4FF"/>
          </w:tcPr>
          <w:p>
            <w:pPr>
              <w:spacing w:after="0"/>
              <w:rPr>
                <w:sz w:val="18"/>
                <w:szCs w:val="18"/>
                <w:color w:val="auto"/>
              </w:rPr>
            </w:pPr>
          </w:p>
        </w:tc>
        <w:tc>
          <w:tcPr>
            <w:tcW w:w="12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224,185</w:t>
            </w:r>
          </w:p>
        </w:tc>
        <w:tc>
          <w:tcPr>
            <w:tcW w:w="0" w:type="dxa"/>
            <w:vAlign w:val="bottom"/>
          </w:tcPr>
          <w:p>
            <w:pPr>
              <w:spacing w:after="0"/>
              <w:rPr>
                <w:sz w:val="1"/>
                <w:szCs w:val="1"/>
                <w:color w:val="auto"/>
              </w:rPr>
            </w:pPr>
          </w:p>
        </w:tc>
      </w:tr>
      <w:tr>
        <w:trPr>
          <w:trHeight w:val="206"/>
        </w:trPr>
        <w:tc>
          <w:tcPr>
            <w:tcW w:w="8600" w:type="dxa"/>
            <w:vAlign w:val="bottom"/>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557,615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579,101</w:t>
            </w:r>
          </w:p>
        </w:tc>
        <w:tc>
          <w:tcPr>
            <w:tcW w:w="0" w:type="dxa"/>
            <w:vAlign w:val="bottom"/>
          </w:tcPr>
          <w:p>
            <w:pPr>
              <w:spacing w:after="0"/>
              <w:rPr>
                <w:sz w:val="1"/>
                <w:szCs w:val="1"/>
                <w:color w:val="auto"/>
              </w:rPr>
            </w:pPr>
          </w:p>
        </w:tc>
      </w:tr>
      <w:tr>
        <w:trPr>
          <w:trHeight w:val="24"/>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90" w:right="339" w:bottom="1440" w:gutter="0" w:footer="0" w:header="0"/>
        </w:sectPr>
      </w:pPr>
    </w:p>
    <w:bookmarkStart w:id="8" w:name="page9"/>
    <w:bookmarkEnd w:id="8"/>
    <w:p>
      <w:pPr>
        <w:ind w:left="53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12"/>
        </w:trPr>
        <w:tc>
          <w:tcPr>
            <w:tcW w:w="838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BFE4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2021</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80" w:type="dxa"/>
            <w:vAlign w:val="bottom"/>
            <w:shd w:val="clear" w:color="auto" w:fill="BFE4FF"/>
          </w:tcPr>
          <w:p>
            <w:pPr>
              <w:spacing w:after="0"/>
              <w:rPr>
                <w:sz w:val="17"/>
                <w:szCs w:val="17"/>
                <w:color w:val="auto"/>
              </w:rPr>
            </w:pPr>
          </w:p>
        </w:tc>
        <w:tc>
          <w:tcPr>
            <w:tcW w:w="88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(14,084)</w:t>
            </w:r>
          </w:p>
        </w:tc>
        <w:tc>
          <w:tcPr>
            <w:tcW w:w="14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(13,681)</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33,962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34,860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1,021</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1,049</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Total derivative loss (gain), net of cash settlements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(4,858)</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(856)</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Share of net income from joint venture, net of cash dividends received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(3,456)</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3,862</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2,580</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(3,720)</w:t>
            </w:r>
          </w:p>
        </w:tc>
      </w:tr>
      <w:tr>
        <w:trPr>
          <w:trHeight w:val="219"/>
        </w:trPr>
        <w:tc>
          <w:tcPr>
            <w:tcW w:w="8380" w:type="dxa"/>
            <w:vAlign w:val="bottom"/>
            <w:shd w:val="clear" w:color="auto" w:fill="BFE4FF"/>
          </w:tcPr>
          <w:p>
            <w:pPr>
              <w:ind w:left="4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(3,096)</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(1,834)</w:t>
            </w:r>
          </w:p>
        </w:tc>
      </w:tr>
      <w:tr>
        <w:trPr>
          <w:trHeight w:val="213"/>
        </w:trPr>
        <w:tc>
          <w:tcPr>
            <w:tcW w:w="838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(15,667)</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(13,252)</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9,827</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7,982</w:t>
            </w:r>
          </w:p>
        </w:tc>
      </w:tr>
      <w:tr>
        <w:trPr>
          <w:trHeight w:val="213"/>
        </w:trPr>
        <w:tc>
          <w:tcPr>
            <w:tcW w:w="8380" w:type="dxa"/>
            <w:vAlign w:val="bottom"/>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(5,171)</w:t>
            </w:r>
          </w:p>
        </w:tc>
      </w:tr>
      <w:tr>
        <w:trPr>
          <w:trHeight w:val="219"/>
        </w:trPr>
        <w:tc>
          <w:tcPr>
            <w:tcW w:w="8380" w:type="dxa"/>
            <w:vAlign w:val="bottom"/>
            <w:shd w:val="clear" w:color="auto" w:fill="BFE4FF"/>
          </w:tcPr>
          <w:p>
            <w:pPr>
              <w:ind w:left="8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BFE4FF"/>
          </w:tcPr>
          <w:p>
            <w:pPr>
              <w:spacing w:after="0"/>
              <w:rPr>
                <w:sz w:val="19"/>
                <w:szCs w:val="19"/>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(2,400)</w:t>
            </w:r>
          </w:p>
        </w:tc>
        <w:tc>
          <w:tcPr>
            <w:tcW w:w="140" w:type="dxa"/>
            <w:vAlign w:val="bottom"/>
            <w:shd w:val="clear" w:color="auto" w:fill="BFE4FF"/>
          </w:tcPr>
          <w:p>
            <w:pPr>
              <w:spacing w:after="0"/>
              <w:rPr>
                <w:sz w:val="19"/>
                <w:szCs w:val="19"/>
                <w:color w:val="auto"/>
              </w:rPr>
            </w:pPr>
          </w:p>
        </w:tc>
        <w:tc>
          <w:tcPr>
            <w:tcW w:w="480" w:type="dxa"/>
            <w:vAlign w:val="bottom"/>
            <w:tcBorders>
              <w:bottom w:val="single" w:sz="8" w:color="auto"/>
            </w:tcBorders>
            <w:shd w:val="clear" w:color="auto" w:fill="BFE4FF"/>
          </w:tcPr>
          <w:p>
            <w:pPr>
              <w:spacing w:after="0"/>
              <w:rPr>
                <w:sz w:val="19"/>
                <w:szCs w:val="19"/>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(1,336)</w:t>
            </w:r>
          </w:p>
        </w:tc>
      </w:tr>
      <w:tr>
        <w:trPr>
          <w:trHeight w:val="206"/>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140" w:type="dxa"/>
            <w:vAlign w:val="bottom"/>
            <w:tcBorders>
              <w:bottom w:val="single" w:sz="8" w:color="BFE4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80" w:type="dxa"/>
            <w:vAlign w:val="bottom"/>
            <w:shd w:val="clear" w:color="auto" w:fill="BFE4FF"/>
          </w:tcPr>
          <w:p>
            <w:pPr>
              <w:spacing w:after="0"/>
              <w:rPr>
                <w:sz w:val="17"/>
                <w:szCs w:val="17"/>
                <w:color w:val="auto"/>
              </w:rPr>
            </w:pPr>
          </w:p>
        </w:tc>
        <w:tc>
          <w:tcPr>
            <w:tcW w:w="88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(14,011)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(14,556)</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460</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1,177</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Proceeds from (cash paid for post-closing adjustments on) sale of business, net of cash sold</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(3,880)</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(15,420)</w:t>
            </w:r>
          </w:p>
        </w:tc>
      </w:tr>
      <w:tr>
        <w:trPr>
          <w:trHeight w:val="206"/>
        </w:trPr>
        <w:tc>
          <w:tcPr>
            <w:tcW w:w="838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(13,551)</w:t>
            </w:r>
          </w:p>
        </w:tc>
        <w:tc>
          <w:tcPr>
            <w:tcW w:w="140" w:type="dxa"/>
            <w:vAlign w:val="bottom"/>
            <w:tcBorders>
              <w:bottom w:val="single" w:sz="8" w:color="BFE4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(32,679)</w:t>
            </w:r>
          </w:p>
        </w:tc>
      </w:tr>
      <w:tr>
        <w:trPr>
          <w:trHeight w:val="199"/>
        </w:trPr>
        <w:tc>
          <w:tcPr>
            <w:tcW w:w="838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BFE4FF"/>
          </w:tcPr>
          <w:p>
            <w:pPr>
              <w:spacing w:after="0"/>
              <w:rPr>
                <w:sz w:val="17"/>
                <w:szCs w:val="17"/>
                <w:color w:val="auto"/>
              </w:rPr>
            </w:pPr>
          </w:p>
        </w:tc>
        <w:tc>
          <w:tcPr>
            <w:tcW w:w="10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480" w:type="dxa"/>
            <w:vAlign w:val="bottom"/>
            <w:shd w:val="clear" w:color="auto" w:fill="BFE4FF"/>
          </w:tcPr>
          <w:p>
            <w:pPr>
              <w:spacing w:after="0"/>
              <w:rPr>
                <w:sz w:val="17"/>
                <w:szCs w:val="17"/>
                <w:color w:val="auto"/>
              </w:rPr>
            </w:pPr>
          </w:p>
        </w:tc>
        <w:tc>
          <w:tcPr>
            <w:tcW w:w="880" w:type="dxa"/>
            <w:vAlign w:val="bottom"/>
            <w:shd w:val="clear" w:color="auto" w:fill="BFE4FF"/>
          </w:tcPr>
          <w:p>
            <w:pPr>
              <w:spacing w:after="0"/>
              <w:rPr>
                <w:sz w:val="17"/>
                <w:szCs w:val="17"/>
                <w:color w:val="auto"/>
              </w:rPr>
            </w:pP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Cash paid for debt issuance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(7,360)</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61,793</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Redemption of preferred stock</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(122,434)</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Proceeds from long-term debt</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32,000</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166,000</w:t>
            </w:r>
          </w:p>
        </w:tc>
      </w:tr>
      <w:tr>
        <w:trPr>
          <w:trHeight w:val="213"/>
        </w:trPr>
        <w:tc>
          <w:tcPr>
            <w:tcW w:w="838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(28,158)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(88,058)</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short-term debt, net</w:t>
            </w:r>
          </w:p>
        </w:tc>
        <w:tc>
          <w:tcPr>
            <w:tcW w:w="300" w:type="dxa"/>
            <w:vAlign w:val="bottom"/>
            <w:shd w:val="clear" w:color="auto" w:fill="BFE4FF"/>
          </w:tcPr>
          <w:p>
            <w:pPr>
              <w:spacing w:after="0"/>
              <w:rPr>
                <w:sz w:val="19"/>
                <w:szCs w:val="19"/>
                <w:color w:val="auto"/>
              </w:rPr>
            </w:pPr>
          </w:p>
        </w:tc>
        <w:tc>
          <w:tcPr>
            <w:tcW w:w="120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(1,563)</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40" w:type="dxa"/>
            <w:vAlign w:val="bottom"/>
            <w:tcBorders>
              <w:bottom w:val="single" w:sz="8" w:color="BFE4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w:t>
            </w:r>
          </w:p>
        </w:tc>
      </w:tr>
      <w:tr>
        <w:trPr>
          <w:trHeight w:val="213"/>
        </w:trPr>
        <w:tc>
          <w:tcPr>
            <w:tcW w:w="838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BFE4FF"/>
          </w:tcPr>
          <w:p>
            <w:pPr>
              <w:spacing w:after="0"/>
              <w:rPr>
                <w:sz w:val="18"/>
                <w:szCs w:val="18"/>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1,441</w:t>
            </w:r>
          </w:p>
        </w:tc>
        <w:tc>
          <w:tcPr>
            <w:tcW w:w="140" w:type="dxa"/>
            <w:vAlign w:val="bottom"/>
            <w:shd w:val="clear" w:color="auto" w:fill="BFE4FF"/>
          </w:tcPr>
          <w:p>
            <w:pPr>
              <w:spacing w:after="0"/>
              <w:rPr>
                <w:sz w:val="18"/>
                <w:szCs w:val="18"/>
                <w:color w:val="auto"/>
              </w:rPr>
            </w:pPr>
          </w:p>
        </w:tc>
        <w:tc>
          <w:tcPr>
            <w:tcW w:w="480" w:type="dxa"/>
            <w:vAlign w:val="bottom"/>
            <w:tcBorders>
              <w:bottom w:val="single" w:sz="8" w:color="auto"/>
            </w:tcBorders>
            <w:shd w:val="clear" w:color="auto" w:fill="BFE4FF"/>
          </w:tcPr>
          <w:p>
            <w:pPr>
              <w:spacing w:after="0"/>
              <w:rPr>
                <w:sz w:val="18"/>
                <w:szCs w:val="18"/>
                <w:color w:val="auto"/>
              </w:rPr>
            </w:pP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4,519</w:t>
            </w:r>
          </w:p>
        </w:tc>
      </w:tr>
      <w:tr>
        <w:trPr>
          <w:trHeight w:val="207"/>
        </w:trPr>
        <w:tc>
          <w:tcPr>
            <w:tcW w:w="8380" w:type="dxa"/>
            <w:vAlign w:val="bottom"/>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(1,324)</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219"/>
        </w:trPr>
        <w:tc>
          <w:tcPr>
            <w:tcW w:w="8380" w:type="dxa"/>
            <w:vAlign w:val="bottom"/>
            <w:shd w:val="clear" w:color="auto" w:fill="BFE4FF"/>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BFE4FF"/>
          </w:tcPr>
          <w:p>
            <w:pPr>
              <w:spacing w:after="0"/>
              <w:rPr>
                <w:sz w:val="19"/>
                <w:szCs w:val="19"/>
                <w:color w:val="auto"/>
              </w:rPr>
            </w:pPr>
          </w:p>
        </w:tc>
        <w:tc>
          <w:tcPr>
            <w:tcW w:w="10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(16,105)</w:t>
            </w:r>
          </w:p>
        </w:tc>
        <w:tc>
          <w:tcPr>
            <w:tcW w:w="140" w:type="dxa"/>
            <w:vAlign w:val="bottom"/>
            <w:shd w:val="clear" w:color="auto" w:fill="BFE4FF"/>
          </w:tcPr>
          <w:p>
            <w:pPr>
              <w:spacing w:after="0"/>
              <w:rPr>
                <w:sz w:val="19"/>
                <w:szCs w:val="19"/>
                <w:color w:val="auto"/>
              </w:rPr>
            </w:pPr>
          </w:p>
        </w:tc>
        <w:tc>
          <w:tcPr>
            <w:tcW w:w="48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(23,527)</w:t>
            </w:r>
          </w:p>
        </w:tc>
      </w:tr>
      <w:tr>
        <w:trPr>
          <w:trHeight w:val="213"/>
        </w:trPr>
        <w:tc>
          <w:tcPr>
            <w:tcW w:w="838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28,656</w:t>
            </w:r>
          </w:p>
        </w:tc>
        <w:tc>
          <w:tcPr>
            <w:tcW w:w="140" w:type="dxa"/>
            <w:vAlign w:val="bottom"/>
            <w:tcBorders>
              <w:bottom w:val="single" w:sz="8" w:color="BFE4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48,138</w:t>
            </w:r>
          </w:p>
        </w:tc>
      </w:tr>
      <w:tr>
        <w:trPr>
          <w:trHeight w:val="235"/>
        </w:trPr>
        <w:tc>
          <w:tcPr>
            <w:tcW w:w="8380" w:type="dxa"/>
            <w:vAlign w:val="bottom"/>
            <w:tcBorders>
              <w:bottom w:val="single" w:sz="8" w:color="BFE4FF"/>
            </w:tcBorders>
            <w:shd w:val="clear" w:color="auto" w:fill="BFE4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12,551</w:t>
            </w:r>
          </w:p>
        </w:tc>
        <w:tc>
          <w:tcPr>
            <w:tcW w:w="14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auto"/>
            </w:tcBorders>
            <w:shd w:val="clear" w:color="auto" w:fill="BFE4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24,611</w:t>
            </w:r>
          </w:p>
        </w:tc>
      </w:tr>
      <w:tr>
        <w:trPr>
          <w:trHeight w:val="20"/>
        </w:trPr>
        <w:tc>
          <w:tcPr>
            <w:tcW w:w="838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6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Reconciliation of GAAP Income (Loss) from Operations to Non-GAAP Adjusted Income (Loss) from Operations</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 thousands)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NN, Inc. Consolidated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and transition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4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40" w:lineRule="exact"/>
        <w:rPr>
          <w:sz w:val="20"/>
          <w:szCs w:val="20"/>
          <w:color w:val="auto"/>
        </w:rPr>
      </w:pPr>
    </w:p>
    <w:p>
      <w:pPr>
        <w:ind w:left="40" w:right="120"/>
        <w:spacing w:after="0" w:line="275" w:lineRule="auto"/>
        <w:rPr>
          <w:sz w:val="20"/>
          <w:szCs w:val="20"/>
          <w:color w:val="auto"/>
        </w:rPr>
      </w:pPr>
      <w:r>
        <w:rPr>
          <w:rFonts w:ascii="Arial" w:cs="Arial" w:eastAsia="Arial" w:hAnsi="Arial"/>
          <w:sz w:val="16"/>
          <w:szCs w:val="16"/>
          <w:color w:val="auto"/>
        </w:rPr>
        <w:t>Non-GAAP adjusted operating margin (1)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w w:val="91"/>
              </w:rPr>
              <w:t>Three Months Ended September 30,</w:t>
            </w:r>
          </w:p>
        </w:tc>
        <w:tc>
          <w:tcPr>
            <w:tcW w:w="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20"/>
                <w:szCs w:val="20"/>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40" w:type="dxa"/>
            <w:vAlign w:val="bottom"/>
          </w:tcPr>
          <w:p>
            <w:pPr>
              <w:spacing w:after="0"/>
              <w:rPr>
                <w:sz w:val="20"/>
                <w:szCs w:val="20"/>
                <w:color w:val="auto"/>
              </w:rPr>
            </w:pPr>
          </w:p>
        </w:tc>
        <w:tc>
          <w:tcPr>
            <w:tcW w:w="268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w w:val="91"/>
              </w:rPr>
              <w:t>Three Months Ended September 30,</w:t>
            </w:r>
          </w:p>
        </w:tc>
        <w:tc>
          <w:tcPr>
            <w:tcW w:w="0" w:type="dxa"/>
            <w:vAlign w:val="bottom"/>
          </w:tcPr>
          <w:p>
            <w:pPr>
              <w:spacing w:after="0"/>
              <w:rPr>
                <w:sz w:val="1"/>
                <w:szCs w:val="1"/>
                <w:color w:val="auto"/>
              </w:rPr>
            </w:pPr>
          </w:p>
        </w:tc>
      </w:tr>
      <w:tr>
        <w:trPr>
          <w:trHeight w:val="142"/>
        </w:trPr>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99"/>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(4,612)</w:t>
            </w:r>
          </w:p>
        </w:tc>
        <w:tc>
          <w:tcPr>
            <w:tcW w:w="4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Mobile Solutions</w:t>
            </w:r>
          </w:p>
        </w:tc>
        <w:tc>
          <w:tcPr>
            <w:tcW w:w="140" w:type="dxa"/>
            <w:vAlign w:val="bottom"/>
          </w:tcPr>
          <w:p>
            <w:pPr>
              <w:spacing w:after="0"/>
              <w:rPr>
                <w:sz w:val="5"/>
                <w:szCs w:val="5"/>
                <w:color w:val="auto"/>
              </w:rPr>
            </w:pPr>
          </w:p>
        </w:tc>
        <w:tc>
          <w:tcPr>
            <w:tcW w:w="12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240" w:type="dxa"/>
            <w:vAlign w:val="bottom"/>
          </w:tcPr>
          <w:p>
            <w:pPr>
              <w:jc w:val="right"/>
              <w:ind w:right="139"/>
              <w:spacing w:after="0" w:line="175" w:lineRule="exact"/>
              <w:rPr>
                <w:sz w:val="20"/>
                <w:szCs w:val="20"/>
                <w:color w:val="auto"/>
              </w:rPr>
            </w:pPr>
            <w:r>
              <w:rPr>
                <w:rFonts w:ascii="Arial" w:cs="Arial" w:eastAsia="Arial" w:hAnsi="Arial"/>
                <w:sz w:val="16"/>
                <w:szCs w:val="16"/>
                <w:color w:val="auto"/>
              </w:rPr>
              <w:t>1,002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832</w:t>
            </w:r>
          </w:p>
        </w:tc>
        <w:tc>
          <w:tcPr>
            <w:tcW w:w="40" w:type="dxa"/>
            <w:vAlign w:val="bottom"/>
          </w:tcPr>
          <w:p>
            <w:pPr>
              <w:spacing w:after="0"/>
              <w:rPr>
                <w:sz w:val="15"/>
                <w:szCs w:val="15"/>
                <w:color w:val="auto"/>
              </w:rPr>
            </w:pPr>
          </w:p>
        </w:tc>
        <w:tc>
          <w:tcPr>
            <w:tcW w:w="2760" w:type="dxa"/>
            <w:vAlign w:val="bottom"/>
            <w:tcBorders>
              <w:bottom w:val="single" w:sz="8" w:color="BFE4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3,587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3,586</w:t>
            </w:r>
          </w:p>
        </w:tc>
        <w:tc>
          <w:tcPr>
            <w:tcW w:w="40" w:type="dxa"/>
            <w:vAlign w:val="bottom"/>
          </w:tcPr>
          <w:p>
            <w:pPr>
              <w:spacing w:after="0"/>
              <w:rPr>
                <w:sz w:val="19"/>
                <w:szCs w:val="19"/>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income (loss) from operations</w:t>
            </w:r>
          </w:p>
        </w:tc>
        <w:tc>
          <w:tcPr>
            <w:tcW w:w="14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62"/>
        </w:trPr>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Acquisition and transition expense</w:t>
            </w:r>
          </w:p>
        </w:tc>
        <w:tc>
          <w:tcPr>
            <w:tcW w:w="140" w:type="dxa"/>
            <w:vAlign w:val="bottom"/>
          </w:tcPr>
          <w:p>
            <w:pPr>
              <w:spacing w:after="0"/>
              <w:rPr>
                <w:sz w:val="5"/>
                <w:szCs w:val="5"/>
                <w:color w:val="auto"/>
              </w:rPr>
            </w:pP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w:t>
            </w:r>
          </w:p>
        </w:tc>
        <w:tc>
          <w:tcPr>
            <w:tcW w:w="40" w:type="dxa"/>
            <w:vAlign w:val="bottom"/>
          </w:tcPr>
          <w:p>
            <w:pPr>
              <w:spacing w:after="0"/>
              <w:rPr>
                <w:sz w:val="21"/>
                <w:szCs w:val="21"/>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auto"/>
            </w:tcBorders>
            <w:shd w:val="clear" w:color="auto" w:fill="BFE4FF"/>
          </w:tcPr>
          <w:p>
            <w:pPr>
              <w:spacing w:after="0"/>
              <w:rPr>
                <w:sz w:val="21"/>
                <w:szCs w:val="21"/>
                <w:color w:val="auto"/>
              </w:rPr>
            </w:pPr>
          </w:p>
        </w:tc>
        <w:tc>
          <w:tcPr>
            <w:tcW w:w="124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BFE4FF"/>
          </w:tcPr>
          <w:p>
            <w:pPr>
              <w:spacing w:after="0"/>
              <w:rPr>
                <w:sz w:val="21"/>
                <w:szCs w:val="21"/>
                <w:color w:val="auto"/>
              </w:rPr>
            </w:pPr>
          </w:p>
        </w:tc>
        <w:tc>
          <w:tcPr>
            <w:tcW w:w="320" w:type="dxa"/>
            <w:vAlign w:val="bottom"/>
            <w:tcBorders>
              <w:bottom w:val="single" w:sz="8" w:color="auto"/>
            </w:tcBorders>
            <w:shd w:val="clear" w:color="auto" w:fill="BFE4FF"/>
          </w:tcPr>
          <w:p>
            <w:pPr>
              <w:spacing w:after="0"/>
              <w:rPr>
                <w:sz w:val="21"/>
                <w:szCs w:val="21"/>
                <w:color w:val="auto"/>
              </w:rPr>
            </w:pPr>
          </w:p>
        </w:tc>
        <w:tc>
          <w:tcPr>
            <w:tcW w:w="102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color w:val="auto"/>
                <w:w w:val="97"/>
              </w:rPr>
              <w:t>Non-GAAP adjusted income (loss) from</w:t>
            </w: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operations (a)</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BFE4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7"/>
                <w:szCs w:val="17"/>
                <w:color w:val="auto"/>
              </w:rPr>
            </w:pPr>
          </w:p>
        </w:tc>
        <w:tc>
          <w:tcPr>
            <w:tcW w:w="276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124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127,297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117,244</w:t>
            </w:r>
          </w:p>
        </w:tc>
        <w:tc>
          <w:tcPr>
            <w:tcW w:w="40" w:type="dxa"/>
            <w:vAlign w:val="bottom"/>
          </w:tcPr>
          <w:p>
            <w:pPr>
              <w:spacing w:after="0"/>
              <w:rPr>
                <w:sz w:val="18"/>
                <w:szCs w:val="18"/>
                <w:color w:val="auto"/>
              </w:rPr>
            </w:pPr>
          </w:p>
        </w:tc>
        <w:tc>
          <w:tcPr>
            <w:tcW w:w="276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Share of net income from joint venture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BFE4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60" w:type="dxa"/>
            <w:vAlign w:val="bottom"/>
            <w:shd w:val="clear" w:color="auto" w:fill="BFE4FF"/>
          </w:tcPr>
          <w:p>
            <w:pPr>
              <w:ind w:left="20"/>
              <w:spacing w:after="0" w:line="146" w:lineRule="exact"/>
              <w:rPr>
                <w:sz w:val="20"/>
                <w:szCs w:val="20"/>
                <w:color w:val="auto"/>
              </w:rPr>
            </w:pPr>
            <w:r>
              <w:rPr>
                <w:rFonts w:ascii="Arial" w:cs="Arial" w:eastAsia="Arial" w:hAnsi="Arial"/>
                <w:sz w:val="16"/>
                <w:szCs w:val="16"/>
                <w:color w:val="auto"/>
                <w:w w:val="97"/>
              </w:rPr>
              <w:t>Non-GAAP adjusted income (loss) from</w:t>
            </w: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BFE4FF"/>
          </w:tcPr>
          <w:p>
            <w:pPr>
              <w:spacing w:after="0"/>
              <w:rPr>
                <w:sz w:val="12"/>
                <w:szCs w:val="12"/>
                <w:color w:val="auto"/>
              </w:rPr>
            </w:pPr>
          </w:p>
        </w:tc>
        <w:tc>
          <w:tcPr>
            <w:tcW w:w="3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BFE4FF"/>
          </w:tcPr>
          <w:p>
            <w:pPr>
              <w:jc w:val="right"/>
              <w:ind w:right="119"/>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operations with JV</w:t>
            </w:r>
          </w:p>
        </w:tc>
        <w:tc>
          <w:tcPr>
            <w:tcW w:w="140" w:type="dxa"/>
            <w:vAlign w:val="bottom"/>
            <w:tcBorders>
              <w:bottom w:val="single" w:sz="8" w:color="auto"/>
            </w:tcBorders>
            <w:vMerge w:val="continue"/>
            <w:shd w:val="clear" w:color="auto" w:fill="BFE4FF"/>
          </w:tcPr>
          <w:p>
            <w:pPr>
              <w:spacing w:after="0"/>
              <w:rPr>
                <w:sz w:val="17"/>
                <w:szCs w:val="17"/>
                <w:color w:val="auto"/>
              </w:rPr>
            </w:pPr>
          </w:p>
        </w:tc>
        <w:tc>
          <w:tcPr>
            <w:tcW w:w="1240" w:type="dxa"/>
            <w:vAlign w:val="bottom"/>
            <w:tcBorders>
              <w:bottom w:val="single" w:sz="8" w:color="auto"/>
            </w:tcBorders>
            <w:vMerge w:val="continue"/>
            <w:shd w:val="clear" w:color="auto" w:fill="BFE4FF"/>
          </w:tcPr>
          <w:p>
            <w:pPr>
              <w:spacing w:after="0"/>
              <w:rPr>
                <w:sz w:val="17"/>
                <w:szCs w:val="17"/>
                <w:color w:val="auto"/>
              </w:rPr>
            </w:pPr>
          </w:p>
        </w:tc>
        <w:tc>
          <w:tcPr>
            <w:tcW w:w="100" w:type="dxa"/>
            <w:vAlign w:val="bottom"/>
            <w:tcBorders>
              <w:bottom w:val="single" w:sz="8" w:color="BFE4FF"/>
            </w:tcBorders>
            <w:shd w:val="clear" w:color="auto" w:fill="BFE4FF"/>
          </w:tcPr>
          <w:p>
            <w:pPr>
              <w:spacing w:after="0"/>
              <w:rPr>
                <w:sz w:val="17"/>
                <w:szCs w:val="17"/>
                <w:color w:val="auto"/>
              </w:rPr>
            </w:pPr>
          </w:p>
        </w:tc>
        <w:tc>
          <w:tcPr>
            <w:tcW w:w="320" w:type="dxa"/>
            <w:vAlign w:val="bottom"/>
            <w:tcBorders>
              <w:bottom w:val="single" w:sz="8" w:color="auto"/>
            </w:tcBorders>
            <w:vMerge w:val="continue"/>
            <w:shd w:val="clear" w:color="auto" w:fill="BFE4FF"/>
          </w:tcPr>
          <w:p>
            <w:pPr>
              <w:spacing w:after="0"/>
              <w:rPr>
                <w:sz w:val="17"/>
                <w:szCs w:val="17"/>
                <w:color w:val="auto"/>
              </w:rPr>
            </w:pPr>
          </w:p>
        </w:tc>
        <w:tc>
          <w:tcPr>
            <w:tcW w:w="1020" w:type="dxa"/>
            <w:vAlign w:val="bottom"/>
            <w:tcBorders>
              <w:bottom w:val="single" w:sz="8" w:color="auto"/>
            </w:tcBorders>
            <w:vMerge w:val="continue"/>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2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-1542415</wp:posOffset>
            </wp:positionV>
            <wp:extent cx="353187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3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-1233805</wp:posOffset>
            </wp:positionV>
            <wp:extent cx="353187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1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-796925</wp:posOffset>
            </wp:positionV>
            <wp:extent cx="35318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1870" cy="13716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-376555</wp:posOffset>
            </wp:positionV>
            <wp:extent cx="35318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1870" cy="15430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680" w:space="100"/>
            <w:col w:w="8460"/>
          </w:cols>
          <w:pgMar w:left="320" w:top="1390" w:right="339" w:bottom="1440" w:gutter="0" w:footer="0" w:header="0"/>
          <w:type w:val="continuous"/>
        </w:sectPr>
      </w:pP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 thousands)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Power Solutions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income (loss) from operations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and transition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intangibles</w:t>
      </w:r>
    </w:p>
    <w:p>
      <w:pPr>
        <w:spacing w:after="0" w:line="59" w:lineRule="exact"/>
        <w:rPr>
          <w:sz w:val="20"/>
          <w:szCs w:val="20"/>
          <w:color w:val="auto"/>
        </w:rPr>
      </w:pPr>
    </w:p>
    <w:p>
      <w:pPr>
        <w:ind w:left="40"/>
        <w:spacing w:after="0" w:line="275" w:lineRule="auto"/>
        <w:rPr>
          <w:sz w:val="20"/>
          <w:szCs w:val="20"/>
          <w:color w:val="auto"/>
        </w:rPr>
      </w:pPr>
      <w:r>
        <w:rPr>
          <w:rFonts w:ascii="Arial" w:cs="Arial" w:eastAsia="Arial" w:hAnsi="Arial"/>
          <w:sz w:val="16"/>
          <w:szCs w:val="16"/>
          <w:color w:val="auto"/>
        </w:rPr>
        <w:t>Non-GAAP adjusted income (loss) from operations (a)</w:t>
      </w:r>
    </w:p>
    <w:p>
      <w:pPr>
        <w:spacing w:after="0" w:line="240" w:lineRule="exact"/>
        <w:rPr>
          <w:sz w:val="20"/>
          <w:szCs w:val="20"/>
          <w:color w:val="auto"/>
        </w:rPr>
      </w:pPr>
    </w:p>
    <w:p>
      <w:pPr>
        <w:ind w:left="40" w:right="120"/>
        <w:spacing w:after="0" w:line="275" w:lineRule="auto"/>
        <w:rPr>
          <w:sz w:val="20"/>
          <w:szCs w:val="20"/>
          <w:color w:val="auto"/>
        </w:rPr>
      </w:pPr>
      <w:r>
        <w:rPr>
          <w:rFonts w:ascii="Arial" w:cs="Arial" w:eastAsia="Arial" w:hAnsi="Arial"/>
          <w:sz w:val="16"/>
          <w:szCs w:val="16"/>
          <w:color w:val="auto"/>
        </w:rPr>
        <w:t>Non-GAAP adjusted operating margin (1)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GAAP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68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w w:val="91"/>
              </w:rPr>
              <w:t>Three Months Ended September 30,</w:t>
            </w:r>
          </w:p>
        </w:tc>
        <w:tc>
          <w:tcPr>
            <w:tcW w:w="40" w:type="dxa"/>
            <w:vAlign w:val="bottom"/>
          </w:tcPr>
          <w:p>
            <w:pPr>
              <w:spacing w:after="0"/>
              <w:rPr>
                <w:sz w:val="16"/>
                <w:szCs w:val="16"/>
                <w:color w:val="auto"/>
              </w:rPr>
            </w:pPr>
          </w:p>
        </w:tc>
        <w:tc>
          <w:tcPr>
            <w:tcW w:w="2660" w:type="dxa"/>
            <w:vAlign w:val="bottom"/>
            <w:shd w:val="clear" w:color="auto" w:fill="BFE4FF"/>
          </w:tcPr>
          <w:p>
            <w:pPr>
              <w:ind w:left="20"/>
              <w:spacing w:after="0"/>
              <w:rPr>
                <w:sz w:val="20"/>
                <w:szCs w:val="20"/>
                <w:color w:val="auto"/>
              </w:rPr>
            </w:pPr>
            <w:r>
              <w:rPr>
                <w:rFonts w:ascii="Arial" w:cs="Arial" w:eastAsia="Arial" w:hAnsi="Arial"/>
                <w:sz w:val="16"/>
                <w:szCs w:val="16"/>
                <w:color w:val="auto"/>
                <w:w w:val="97"/>
              </w:rPr>
              <w:t>Non-GAAP adjusted operating margin</w:t>
            </w:r>
          </w:p>
        </w:tc>
        <w:tc>
          <w:tcPr>
            <w:tcW w:w="520" w:type="dxa"/>
            <w:vAlign w:val="bottom"/>
            <w:shd w:val="clear" w:color="auto" w:fill="BFE4FF"/>
          </w:tcPr>
          <w:p>
            <w:pPr>
              <w:spacing w:after="0"/>
              <w:rPr>
                <w:sz w:val="16"/>
                <w:szCs w:val="16"/>
                <w:color w:val="auto"/>
              </w:rPr>
            </w:pPr>
          </w:p>
        </w:tc>
        <w:tc>
          <w:tcPr>
            <w:tcW w:w="10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2.8 %</w:t>
            </w:r>
          </w:p>
        </w:tc>
        <w:tc>
          <w:tcPr>
            <w:tcW w:w="440" w:type="dxa"/>
            <w:vAlign w:val="bottom"/>
            <w:shd w:val="clear" w:color="auto" w:fill="BFE4FF"/>
          </w:tcPr>
          <w:p>
            <w:pPr>
              <w:spacing w:after="0"/>
              <w:rPr>
                <w:sz w:val="16"/>
                <w:szCs w:val="16"/>
                <w:color w:val="auto"/>
              </w:rPr>
            </w:pPr>
          </w:p>
        </w:tc>
        <w:tc>
          <w:tcPr>
            <w:tcW w:w="9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25"/>
        </w:trPr>
        <w:tc>
          <w:tcPr>
            <w:tcW w:w="1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Borders>
              <w:bottom w:val="single" w:sz="8" w:color="BFE4FF"/>
            </w:tcBorders>
            <w:vMerge w:val="restart"/>
            <w:shd w:val="clear" w:color="auto" w:fill="BFE4FF"/>
          </w:tcPr>
          <w:p>
            <w:pPr>
              <w:ind w:left="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BFE4FF"/>
            </w:tcBorders>
            <w:shd w:val="clear" w:color="auto" w:fill="BFE4FF"/>
          </w:tcPr>
          <w:p>
            <w:pPr>
              <w:spacing w:after="0"/>
              <w:rPr>
                <w:sz w:val="10"/>
                <w:szCs w:val="10"/>
                <w:color w:val="auto"/>
              </w:rPr>
            </w:pPr>
          </w:p>
        </w:tc>
        <w:tc>
          <w:tcPr>
            <w:tcW w:w="1020" w:type="dxa"/>
            <w:vAlign w:val="bottom"/>
            <w:tcBorders>
              <w:bottom w:val="single" w:sz="8" w:color="BFE4FF"/>
            </w:tcBorders>
            <w:vMerge w:val="continue"/>
            <w:shd w:val="clear" w:color="auto" w:fill="BFE4FF"/>
          </w:tcPr>
          <w:p>
            <w:pPr>
              <w:spacing w:after="0"/>
              <w:rPr>
                <w:sz w:val="10"/>
                <w:szCs w:val="10"/>
                <w:color w:val="auto"/>
              </w:rPr>
            </w:pPr>
          </w:p>
        </w:tc>
        <w:tc>
          <w:tcPr>
            <w:tcW w:w="440" w:type="dxa"/>
            <w:vAlign w:val="bottom"/>
            <w:tcBorders>
              <w:bottom w:val="single" w:sz="8" w:color="BFE4FF"/>
            </w:tcBorders>
            <w:shd w:val="clear" w:color="auto" w:fill="BFE4FF"/>
          </w:tcPr>
          <w:p>
            <w:pPr>
              <w:spacing w:after="0"/>
              <w:rPr>
                <w:sz w:val="10"/>
                <w:szCs w:val="10"/>
                <w:color w:val="auto"/>
              </w:rPr>
            </w:pPr>
          </w:p>
        </w:tc>
        <w:tc>
          <w:tcPr>
            <w:tcW w:w="940" w:type="dxa"/>
            <w:vAlign w:val="bottom"/>
            <w:tcBorders>
              <w:bottom w:val="single" w:sz="8" w:color="BFE4FF"/>
            </w:tcBorders>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5"/>
                <w:szCs w:val="5"/>
                <w:color w:val="auto"/>
              </w:rPr>
            </w:pPr>
          </w:p>
        </w:tc>
        <w:tc>
          <w:tcPr>
            <w:tcW w:w="2660" w:type="dxa"/>
            <w:vAlign w:val="bottom"/>
            <w:vMerge w:val="continue"/>
            <w:shd w:val="clear" w:color="auto" w:fill="BFE4FF"/>
          </w:tcPr>
          <w:p>
            <w:pPr>
              <w:spacing w:after="0"/>
              <w:rPr>
                <w:sz w:val="5"/>
                <w:szCs w:val="5"/>
                <w:color w:val="auto"/>
              </w:rPr>
            </w:pPr>
          </w:p>
        </w:tc>
        <w:tc>
          <w:tcPr>
            <w:tcW w:w="520" w:type="dxa"/>
            <w:vAlign w:val="bottom"/>
            <w:shd w:val="clear" w:color="auto" w:fill="BFE4FF"/>
          </w:tcPr>
          <w:p>
            <w:pPr>
              <w:spacing w:after="0"/>
              <w:rPr>
                <w:sz w:val="5"/>
                <w:szCs w:val="5"/>
                <w:color w:val="auto"/>
              </w:rPr>
            </w:pPr>
          </w:p>
        </w:tc>
        <w:tc>
          <w:tcPr>
            <w:tcW w:w="1020" w:type="dxa"/>
            <w:vAlign w:val="bottom"/>
            <w:vMerge w:val="continue"/>
            <w:shd w:val="clear" w:color="auto" w:fill="BFE4FF"/>
          </w:tcPr>
          <w:p>
            <w:pPr>
              <w:spacing w:after="0"/>
              <w:rPr>
                <w:sz w:val="5"/>
                <w:szCs w:val="5"/>
                <w:color w:val="auto"/>
              </w:rPr>
            </w:pPr>
          </w:p>
        </w:tc>
        <w:tc>
          <w:tcPr>
            <w:tcW w:w="440" w:type="dxa"/>
            <w:vAlign w:val="bottom"/>
            <w:shd w:val="clear" w:color="auto" w:fill="BFE4FF"/>
          </w:tcPr>
          <w:p>
            <w:pPr>
              <w:spacing w:after="0"/>
              <w:rPr>
                <w:sz w:val="5"/>
                <w:szCs w:val="5"/>
                <w:color w:val="auto"/>
              </w:rPr>
            </w:pPr>
          </w:p>
        </w:tc>
        <w:tc>
          <w:tcPr>
            <w:tcW w:w="940" w:type="dxa"/>
            <w:vAlign w:val="bottom"/>
            <w:vMerge w:val="continue"/>
            <w:shd w:val="clear" w:color="auto" w:fill="BFE4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20"/>
              <w:spacing w:after="0" w:line="175" w:lineRule="exact"/>
              <w:rPr>
                <w:sz w:val="20"/>
                <w:szCs w:val="20"/>
                <w:color w:val="auto"/>
              </w:rPr>
            </w:pPr>
            <w:r>
              <w:rPr>
                <w:rFonts w:ascii="Arial" w:cs="Arial" w:eastAsia="Arial" w:hAnsi="Arial"/>
                <w:sz w:val="16"/>
                <w:szCs w:val="16"/>
                <w:color w:val="auto"/>
              </w:rPr>
              <w:t>GAAP net sales</w:t>
            </w:r>
          </w:p>
        </w:tc>
        <w:tc>
          <w:tcPr>
            <w:tcW w:w="520" w:type="dxa"/>
            <w:vAlign w:val="bottom"/>
          </w:tcPr>
          <w:p>
            <w:pPr>
              <w:jc w:val="right"/>
              <w:ind w:right="239"/>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79"/>
              <w:spacing w:after="0" w:line="175" w:lineRule="exact"/>
              <w:rPr>
                <w:sz w:val="20"/>
                <w:szCs w:val="20"/>
                <w:color w:val="auto"/>
              </w:rPr>
            </w:pPr>
            <w:r>
              <w:rPr>
                <w:rFonts w:ascii="Arial" w:cs="Arial" w:eastAsia="Arial" w:hAnsi="Arial"/>
                <w:sz w:val="16"/>
                <w:szCs w:val="16"/>
                <w:color w:val="auto"/>
              </w:rPr>
              <w:t>76,122</w:t>
            </w:r>
          </w:p>
        </w:tc>
        <w:tc>
          <w:tcPr>
            <w:tcW w:w="440" w:type="dxa"/>
            <w:vAlign w:val="bottom"/>
          </w:tcPr>
          <w:p>
            <w:pPr>
              <w:jc w:val="right"/>
              <w:ind w:right="199"/>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line="175" w:lineRule="exact"/>
              <w:rPr>
                <w:sz w:val="20"/>
                <w:szCs w:val="20"/>
                <w:color w:val="auto"/>
              </w:rPr>
            </w:pPr>
            <w:r>
              <w:rPr>
                <w:rFonts w:ascii="Arial" w:cs="Arial" w:eastAsia="Arial" w:hAnsi="Arial"/>
                <w:sz w:val="16"/>
                <w:szCs w:val="16"/>
                <w:color w:val="auto"/>
              </w:rPr>
              <w:t>68,586</w:t>
            </w: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1,252</w:t>
            </w: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-149860</wp:posOffset>
            </wp:positionV>
            <wp:extent cx="35318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1870" cy="154305"/>
                    </a:xfrm>
                    <a:prstGeom prst="rect">
                      <a:avLst/>
                    </a:prstGeom>
                    <a:noFill/>
                  </pic:spPr>
                </pic:pic>
              </a:graphicData>
            </a:graphic>
          </wp:anchor>
        </w:drawing>
      </w:r>
    </w:p>
    <w:p>
      <w:pPr>
        <w:spacing w:after="0" w:line="17" w:lineRule="exact"/>
        <w:rPr>
          <w:sz w:val="20"/>
          <w:szCs w:val="20"/>
          <w:color w:val="auto"/>
        </w:rPr>
      </w:pPr>
    </w:p>
    <w:p>
      <w:pPr>
        <w:ind w:left="2380" w:hanging="1457"/>
        <w:spacing w:after="0"/>
        <w:tabs>
          <w:tab w:leader="none" w:pos="2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(17)</w:t>
      </w:r>
    </w:p>
    <w:p>
      <w:pPr>
        <w:spacing w:after="0" w:line="59"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2,749</w:t>
      </w:r>
      <w:r>
        <w:rPr>
          <w:rFonts w:ascii="Arial" w:cs="Arial" w:eastAsia="Arial" w:hAnsi="Arial"/>
          <w:sz w:val="15"/>
          <w:szCs w:val="15"/>
          <w:color w:val="auto"/>
        </w:rPr>
        <w:t>2,748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-135890</wp:posOffset>
            </wp:positionV>
            <wp:extent cx="353187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1870" cy="16319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5,805</w:t>
            </w:r>
          </w:p>
        </w:tc>
        <w:tc>
          <w:tcPr>
            <w:tcW w:w="100" w:type="dxa"/>
            <w:vAlign w:val="bottom"/>
          </w:tcPr>
          <w:p>
            <w:pPr>
              <w:spacing w:after="0"/>
              <w:rPr>
                <w:sz w:val="19"/>
                <w:szCs w:val="19"/>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3,983</w:t>
            </w:r>
          </w:p>
        </w:tc>
        <w:tc>
          <w:tcPr>
            <w:tcW w:w="4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w w:val="97"/>
              </w:rPr>
              <w:t>Three Months Ended September 30,</w:t>
            </w:r>
          </w:p>
        </w:tc>
        <w:tc>
          <w:tcPr>
            <w:tcW w:w="0" w:type="dxa"/>
            <w:vAlign w:val="bottom"/>
          </w:tcPr>
          <w:p>
            <w:pPr>
              <w:spacing w:after="0"/>
              <w:rPr>
                <w:sz w:val="1"/>
                <w:szCs w:val="1"/>
                <w:color w:val="auto"/>
              </w:rPr>
            </w:pPr>
          </w:p>
        </w:tc>
      </w:tr>
      <w:tr>
        <w:trPr>
          <w:trHeight w:val="93"/>
        </w:trPr>
        <w:tc>
          <w:tcPr>
            <w:tcW w:w="42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Elimination</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76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760" w:type="dxa"/>
            <w:vAlign w:val="bottom"/>
            <w:tcBorders>
              <w:bottom w:val="single" w:sz="8" w:color="BFE4FF"/>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BFE4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6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940" w:type="dxa"/>
            <w:vAlign w:val="bottom"/>
            <w:shd w:val="clear" w:color="auto" w:fill="BFE4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8"/>
        </w:trPr>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8.2 %</w:t>
            </w: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51,124</w:t>
            </w:r>
          </w:p>
        </w:tc>
        <w:tc>
          <w:tcPr>
            <w:tcW w:w="100" w:type="dxa"/>
            <w:vAlign w:val="bottom"/>
          </w:tcPr>
          <w:p>
            <w:pPr>
              <w:spacing w:after="0"/>
              <w:rPr>
                <w:sz w:val="22"/>
                <w:szCs w:val="22"/>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48,680</w:t>
            </w:r>
          </w:p>
        </w:tc>
        <w:tc>
          <w:tcPr>
            <w:tcW w:w="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-569595</wp:posOffset>
            </wp:positionV>
            <wp:extent cx="35318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31870" cy="13716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-149860</wp:posOffset>
            </wp:positionV>
            <wp:extent cx="35318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3187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100"/>
            <w:col w:w="8460"/>
          </w:cols>
          <w:pgMar w:left="320" w:top="1390" w:right="339" w:bottom="1440" w:gutter="0" w:footer="0" w:header="0"/>
          <w:type w:val="continuous"/>
        </w:sectPr>
      </w:pPr>
    </w:p>
    <w:p>
      <w:pPr>
        <w:spacing w:after="0" w:line="1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Non-GAAP adjusted operating margin = Non-GAAP adjusted income (loss) from operations / GAAP net sales</w:t>
      </w:r>
    </w:p>
    <w:p>
      <w:pPr>
        <w:spacing w:after="0" w:line="73" w:lineRule="exact"/>
        <w:rPr>
          <w:sz w:val="20"/>
          <w:szCs w:val="20"/>
          <w:color w:val="auto"/>
        </w:rPr>
      </w:pPr>
    </w:p>
    <w:p>
      <w:pPr>
        <w:ind w:left="80" w:right="100" w:hanging="80"/>
        <w:spacing w:after="0" w:line="275" w:lineRule="auto"/>
        <w:rPr>
          <w:sz w:val="20"/>
          <w:szCs w:val="20"/>
          <w:color w:val="auto"/>
        </w:rPr>
      </w:pPr>
      <w:r>
        <w:rPr>
          <w:rFonts w:ascii="Arial" w:cs="Arial" w:eastAsia="Arial" w:hAnsi="Arial"/>
          <w:sz w:val="16"/>
          <w:szCs w:val="16"/>
          <w:color w:val="auto"/>
        </w:rPr>
        <w:t>*2022 expense includes $0.3 million of professional fees and $0.7 million of integration &amp; transformation fees. 2021 expense includes $0.4 million of professional fees and $0.4 million of integration &amp; transformation fees.</w:t>
      </w:r>
    </w:p>
    <w:p>
      <w:pPr>
        <w:sectPr>
          <w:pgSz w:w="11900" w:h="16838" w:orient="portrait"/>
          <w:cols w:equalWidth="0" w:num="1">
            <w:col w:w="11240"/>
          </w:cols>
          <w:pgMar w:left="320" w:top="13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90" w:right="339" w:bottom="1440" w:gutter="0" w:footer="0" w:header="0"/>
          <w:type w:val="continuous"/>
        </w:sectPr>
      </w:pPr>
    </w:p>
    <w:bookmarkStart w:id="10" w:name="page11"/>
    <w:bookmarkEnd w:id="10"/>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6520" w:type="dxa"/>
            <w:vAlign w:val="bottom"/>
            <w:gridSpan w:val="5"/>
          </w:tcPr>
          <w:p>
            <w:pPr>
              <w:ind w:left="1100"/>
              <w:spacing w:after="0"/>
              <w:rPr>
                <w:sz w:val="20"/>
                <w:szCs w:val="20"/>
                <w:color w:val="auto"/>
              </w:rPr>
            </w:pPr>
            <w:r>
              <w:rPr>
                <w:rFonts w:ascii="Arial" w:cs="Arial" w:eastAsia="Arial" w:hAnsi="Arial"/>
                <w:sz w:val="16"/>
                <w:szCs w:val="16"/>
                <w:b w:val="1"/>
                <w:bCs w:val="1"/>
                <w:color w:val="auto"/>
                <w:w w:val="95"/>
              </w:rPr>
              <w:t>Reconciliation of GAAP Net Income (Loss) to Non-GAAP Adjusted EBITDA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4"/>
              </w:rPr>
              <w:t>Three Months Ended September 30,</w:t>
            </w:r>
          </w:p>
        </w:tc>
        <w:tc>
          <w:tcPr>
            <w:tcW w:w="0" w:type="dxa"/>
            <w:vAlign w:val="bottom"/>
          </w:tcPr>
          <w:p>
            <w:pPr>
              <w:spacing w:after="0"/>
              <w:rPr>
                <w:sz w:val="1"/>
                <w:szCs w:val="1"/>
                <w:color w:val="auto"/>
              </w:rPr>
            </w:pPr>
          </w:p>
        </w:tc>
      </w:tr>
      <w:tr>
        <w:trPr>
          <w:trHeight w:val="114"/>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BFE4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(2,215)</w:t>
            </w:r>
          </w:p>
        </w:tc>
        <w:tc>
          <w:tcPr>
            <w:tcW w:w="120" w:type="dxa"/>
            <w:vAlign w:val="bottom"/>
            <w:shd w:val="clear" w:color="auto" w:fill="BFE4FF"/>
          </w:tcPr>
          <w:p>
            <w:pPr>
              <w:spacing w:after="0"/>
              <w:rPr>
                <w:sz w:val="18"/>
                <w:szCs w:val="18"/>
                <w:color w:val="auto"/>
              </w:rPr>
            </w:pPr>
          </w:p>
        </w:tc>
        <w:tc>
          <w:tcPr>
            <w:tcW w:w="440" w:type="dxa"/>
            <w:vAlign w:val="bottom"/>
            <w:shd w:val="clear" w:color="auto" w:fill="BFE4FF"/>
          </w:tcPr>
          <w:p>
            <w:pPr>
              <w:jc w:val="right"/>
              <w:ind w:right="2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shd w:val="clear" w:color="auto" w:fill="BFE4FF"/>
          </w:tcPr>
          <w:p>
            <w:pPr>
              <w:spacing w:after="0"/>
              <w:rPr>
                <w:sz w:val="18"/>
                <w:szCs w:val="18"/>
                <w:color w:val="auto"/>
              </w:rPr>
            </w:pPr>
          </w:p>
        </w:tc>
        <w:tc>
          <w:tcPr>
            <w:tcW w:w="1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(1,068)</w:t>
            </w:r>
          </w:p>
        </w:tc>
        <w:tc>
          <w:tcPr>
            <w:tcW w:w="12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46"/>
        </w:trPr>
        <w:tc>
          <w:tcPr>
            <w:tcW w:w="4500" w:type="dxa"/>
            <w:vAlign w:val="bottom"/>
            <w:shd w:val="clear" w:color="auto" w:fill="BFE4FF"/>
          </w:tcPr>
          <w:p>
            <w:pPr>
              <w:ind w:left="20"/>
              <w:spacing w:after="0"/>
              <w:rPr>
                <w:sz w:val="20"/>
                <w:szCs w:val="20"/>
                <w:color w:val="auto"/>
              </w:rPr>
            </w:pPr>
            <w:r>
              <w:rPr>
                <w:rFonts w:ascii="Arial" w:cs="Arial" w:eastAsia="Arial" w:hAnsi="Arial"/>
                <w:sz w:val="16"/>
                <w:szCs w:val="16"/>
                <w:color w:val="auto"/>
                <w:w w:val="99"/>
              </w:rPr>
              <w:t>Change in fair value of preferred stock derivatives and warrants</w:t>
            </w:r>
          </w:p>
        </w:tc>
        <w:tc>
          <w:tcPr>
            <w:tcW w:w="180" w:type="dxa"/>
            <w:vAlign w:val="bottom"/>
            <w:shd w:val="clear" w:color="auto" w:fill="BFE4FF"/>
          </w:tcPr>
          <w:p>
            <w:pPr>
              <w:spacing w:after="0"/>
              <w:rPr>
                <w:sz w:val="21"/>
                <w:szCs w:val="21"/>
                <w:color w:val="auto"/>
              </w:rPr>
            </w:pPr>
          </w:p>
        </w:tc>
        <w:tc>
          <w:tcPr>
            <w:tcW w:w="12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BFE4FF"/>
          </w:tcPr>
          <w:p>
            <w:pPr>
              <w:spacing w:after="0"/>
              <w:rPr>
                <w:sz w:val="21"/>
                <w:szCs w:val="21"/>
                <w:color w:val="auto"/>
              </w:rPr>
            </w:pPr>
          </w:p>
        </w:tc>
        <w:tc>
          <w:tcPr>
            <w:tcW w:w="44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(4,829)</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11,193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11,605</w:t>
            </w:r>
          </w:p>
        </w:tc>
        <w:tc>
          <w:tcPr>
            <w:tcW w:w="0" w:type="dxa"/>
            <w:vAlign w:val="bottom"/>
          </w:tcPr>
          <w:p>
            <w:pPr>
              <w:spacing w:after="0"/>
              <w:rPr>
                <w:sz w:val="1"/>
                <w:szCs w:val="1"/>
                <w:color w:val="auto"/>
              </w:rPr>
            </w:pPr>
          </w:p>
        </w:tc>
      </w:tr>
      <w:tr>
        <w:trPr>
          <w:trHeight w:val="246"/>
        </w:trPr>
        <w:tc>
          <w:tcPr>
            <w:tcW w:w="4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Acquisition and transition expense</w:t>
            </w:r>
          </w:p>
        </w:tc>
        <w:tc>
          <w:tcPr>
            <w:tcW w:w="180" w:type="dxa"/>
            <w:vAlign w:val="bottom"/>
            <w:shd w:val="clear" w:color="auto" w:fill="BFE4FF"/>
          </w:tcPr>
          <w:p>
            <w:pPr>
              <w:spacing w:after="0"/>
              <w:rPr>
                <w:sz w:val="21"/>
                <w:szCs w:val="21"/>
                <w:color w:val="auto"/>
              </w:rPr>
            </w:pPr>
          </w:p>
        </w:tc>
        <w:tc>
          <w:tcPr>
            <w:tcW w:w="12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BFE4FF"/>
          </w:tcPr>
          <w:p>
            <w:pPr>
              <w:spacing w:after="0"/>
              <w:rPr>
                <w:sz w:val="21"/>
                <w:szCs w:val="21"/>
                <w:color w:val="auto"/>
              </w:rPr>
            </w:pPr>
          </w:p>
        </w:tc>
        <w:tc>
          <w:tcPr>
            <w:tcW w:w="44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40"/>
        </w:trPr>
        <w:tc>
          <w:tcPr>
            <w:tcW w:w="4500" w:type="dxa"/>
            <w:vAlign w:val="bottom"/>
          </w:tcPr>
          <w:p>
            <w:pPr>
              <w:ind w:left="20"/>
              <w:spacing w:after="0"/>
              <w:rPr>
                <w:sz w:val="20"/>
                <w:szCs w:val="20"/>
                <w:color w:val="auto"/>
              </w:rPr>
            </w:pPr>
            <w:r>
              <w:rPr>
                <w:rFonts w:ascii="Arial" w:cs="Arial" w:eastAsia="Arial" w:hAnsi="Arial"/>
                <w:sz w:val="16"/>
                <w:szCs w:val="16"/>
                <w:color w:val="auto"/>
              </w:rPr>
              <w:t>Non-cash stock compensation</w:t>
            </w:r>
          </w:p>
        </w:tc>
        <w:tc>
          <w:tcPr>
            <w:tcW w:w="18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43"/>
        </w:trPr>
        <w:tc>
          <w:tcPr>
            <w:tcW w:w="4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Non-cash foreign exchange (gain) loss on inter-company loans</w:t>
            </w:r>
          </w:p>
        </w:tc>
        <w:tc>
          <w:tcPr>
            <w:tcW w:w="180" w:type="dxa"/>
            <w:vAlign w:val="bottom"/>
            <w:tcBorders>
              <w:bottom w:val="single" w:sz="8" w:color="auto"/>
            </w:tcBorders>
            <w:shd w:val="clear" w:color="auto" w:fill="BFE4FF"/>
          </w:tcPr>
          <w:p>
            <w:pPr>
              <w:spacing w:after="0"/>
              <w:rPr>
                <w:sz w:val="21"/>
                <w:szCs w:val="21"/>
                <w:color w:val="auto"/>
              </w:rPr>
            </w:pPr>
          </w:p>
        </w:tc>
        <w:tc>
          <w:tcPr>
            <w:tcW w:w="128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BFE4FF"/>
          </w:tcPr>
          <w:p>
            <w:pPr>
              <w:spacing w:after="0"/>
              <w:rPr>
                <w:sz w:val="21"/>
                <w:szCs w:val="21"/>
                <w:color w:val="auto"/>
              </w:rPr>
            </w:pPr>
          </w:p>
        </w:tc>
        <w:tc>
          <w:tcPr>
            <w:tcW w:w="440" w:type="dxa"/>
            <w:vAlign w:val="bottom"/>
            <w:tcBorders>
              <w:bottom w:val="single" w:sz="8" w:color="auto"/>
            </w:tcBorders>
            <w:shd w:val="clear" w:color="auto" w:fill="BFE4FF"/>
          </w:tcPr>
          <w:p>
            <w:pPr>
              <w:spacing w:after="0"/>
              <w:rPr>
                <w:sz w:val="21"/>
                <w:szCs w:val="21"/>
                <w:color w:val="auto"/>
              </w:rPr>
            </w:pPr>
          </w:p>
        </w:tc>
        <w:tc>
          <w:tcPr>
            <w:tcW w:w="10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6"/>
                <w:szCs w:val="16"/>
                <w:color w:val="auto"/>
              </w:rPr>
              <w:t>Non-GAAP adjusted EBITDA (b)</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11,786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9,730</w:t>
            </w:r>
          </w:p>
        </w:tc>
        <w:tc>
          <w:tcPr>
            <w:tcW w:w="0" w:type="dxa"/>
            <w:vAlign w:val="bottom"/>
          </w:tcPr>
          <w:p>
            <w:pPr>
              <w:spacing w:after="0"/>
              <w:rPr>
                <w:sz w:val="1"/>
                <w:szCs w:val="1"/>
                <w:color w:val="auto"/>
              </w:rPr>
            </w:pPr>
          </w:p>
        </w:tc>
      </w:tr>
      <w:tr>
        <w:trPr>
          <w:trHeight w:val="20"/>
        </w:trPr>
        <w:tc>
          <w:tcPr>
            <w:tcW w:w="450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Non-GAAP adjusted EBITDA margin (2)</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46"/>
        </w:trPr>
        <w:tc>
          <w:tcPr>
            <w:tcW w:w="450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sales</w:t>
            </w: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127,297</w:t>
            </w:r>
          </w:p>
        </w:tc>
        <w:tc>
          <w:tcPr>
            <w:tcW w:w="120" w:type="dxa"/>
            <w:vAlign w:val="bottom"/>
            <w:shd w:val="clear" w:color="auto" w:fill="BFE4FF"/>
          </w:tcPr>
          <w:p>
            <w:pPr>
              <w:spacing w:after="0"/>
              <w:rPr>
                <w:sz w:val="21"/>
                <w:szCs w:val="21"/>
                <w:color w:val="auto"/>
              </w:rPr>
            </w:pPr>
          </w:p>
        </w:tc>
        <w:tc>
          <w:tcPr>
            <w:tcW w:w="440" w:type="dxa"/>
            <w:vAlign w:val="bottom"/>
            <w:shd w:val="clear" w:color="auto" w:fill="BFE4FF"/>
          </w:tcPr>
          <w:p>
            <w:pPr>
              <w:jc w:val="right"/>
              <w:ind w:right="2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117,244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20" w:hanging="3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280" w:right="1400"/>
        <w:spacing w:after="0" w:line="329" w:lineRule="auto"/>
        <w:rPr>
          <w:sz w:val="20"/>
          <w:szCs w:val="20"/>
          <w:color w:val="auto"/>
        </w:rPr>
      </w:pPr>
      <w:r>
        <w:rPr>
          <w:rFonts w:ascii="Arial" w:cs="Arial" w:eastAsia="Arial" w:hAnsi="Arial"/>
          <w:sz w:val="17"/>
          <w:szCs w:val="17"/>
          <w:b w:val="1"/>
          <w:bCs w:val="1"/>
          <w:color w:val="auto"/>
        </w:rPr>
        <w:t>Reconciliation of GAAP Net Income (Loss) to Non-GAAP Adjusted Net Income and GAAP Net Income (Loss) per Diluted Common Share to Non-GAAP Adjusted Net Income (Loss) per Diluted Common Share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440" w:right="339" w:bottom="1440" w:gutter="0" w:footer="0" w:header="0"/>
        </w:sectPr>
      </w:pPr>
    </w:p>
    <w:bookmarkStart w:id="11" w:name="page12"/>
    <w:bookmarkEnd w:id="11"/>
    <w:tbl>
      <w:tblPr>
        <w:tblLayout w:type="fixed"/>
        <w:tblInd w:w="8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w w:val="94"/>
              </w:rPr>
              <w:t>Three Months Ended September 30,</w:t>
            </w:r>
          </w:p>
        </w:tc>
      </w:tr>
      <w:tr>
        <w:trPr>
          <w:trHeight w:val="213"/>
        </w:trPr>
        <w:tc>
          <w:tcPr>
            <w:tcW w:w="57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2"/>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w:t>
            </w:r>
          </w:p>
        </w:tc>
        <w:tc>
          <w:tcPr>
            <w:tcW w:w="2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(2,215)</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(3,377)</w:t>
            </w:r>
          </w:p>
        </w:tc>
      </w:tr>
      <w:tr>
        <w:trPr>
          <w:trHeight w:val="270"/>
        </w:trPr>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0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1,002</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832</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(1,623)</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(4,829)</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3,918</w:t>
            </w: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(800)</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574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Non-GAAP discrete tax adjustments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6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w:t>
            </w:r>
          </w:p>
        </w:tc>
      </w:tr>
      <w:tr>
        <w:trPr>
          <w:trHeight w:val="238"/>
        </w:trPr>
        <w:tc>
          <w:tcPr>
            <w:tcW w:w="5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Non-GAAP adjusted net income (loss) (d)</w:t>
            </w:r>
          </w:p>
        </w:tc>
        <w:tc>
          <w:tcPr>
            <w:tcW w:w="20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1,503</w:t>
            </w:r>
          </w:p>
        </w:tc>
        <w:tc>
          <w:tcPr>
            <w:tcW w:w="16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574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40" w:type="dxa"/>
            <w:vAlign w:val="bottom"/>
            <w:tcBorders>
              <w:top w:val="single" w:sz="8" w:color="BFE4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w w:val="94"/>
              </w:rPr>
              <w:t>Three Months Ended September 30,</w:t>
            </w:r>
          </w:p>
        </w:tc>
      </w:tr>
      <w:tr>
        <w:trPr>
          <w:trHeight w:val="213"/>
        </w:trPr>
        <w:tc>
          <w:tcPr>
            <w:tcW w:w="574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(per diluted common share)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2"/>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GAAP net income (loss) per diluted common share</w:t>
            </w:r>
          </w:p>
        </w:tc>
        <w:tc>
          <w:tcPr>
            <w:tcW w:w="2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(0.11)</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(0.13)</w:t>
            </w:r>
          </w:p>
        </w:tc>
      </w:tr>
      <w:tr>
        <w:trPr>
          <w:trHeight w:val="270"/>
        </w:trPr>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acquisition and transition expense</w:t>
            </w:r>
          </w:p>
        </w:tc>
        <w:tc>
          <w:tcPr>
            <w:tcW w:w="20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foreign exchange (gain) loss on inter-company loans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Pre-tax change in fair value of preferred stock derivatives and warrants</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(0.11)</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Pre-tax amortization of intangibles and deferred financing costs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9"/>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Tax effect of adjustments reflected above (c)</w:t>
            </w:r>
          </w:p>
        </w:tc>
        <w:tc>
          <w:tcPr>
            <w:tcW w:w="2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Non-GAAP discrete tax adjustments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6"/>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Preferred stock cumulative dividends and deemed dividends</w:t>
            </w:r>
          </w:p>
        </w:tc>
        <w:tc>
          <w:tcPr>
            <w:tcW w:w="200" w:type="dxa"/>
            <w:vAlign w:val="bottom"/>
            <w:tcBorders>
              <w:bottom w:val="single" w:sz="8" w:color="auto"/>
            </w:tcBorders>
            <w:shd w:val="clear" w:color="auto" w:fill="BFE4FF"/>
          </w:tcPr>
          <w:p>
            <w:pPr>
              <w:spacing w:after="0"/>
              <w:rPr>
                <w:sz w:val="18"/>
                <w:szCs w:val="18"/>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Non-GAAP adjusted net income (loss) per diluted common share (d)</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5740" w:type="dxa"/>
            <w:vAlign w:val="bottom"/>
            <w:tcBorders>
              <w:bottom w:val="single" w:sz="8" w:color="BFE4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BFE4FF"/>
          </w:tcPr>
          <w:p>
            <w:pPr>
              <w:spacing w:after="0"/>
              <w:rPr>
                <w:sz w:val="18"/>
                <w:szCs w:val="18"/>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44,711</w:t>
            </w:r>
          </w:p>
        </w:tc>
        <w:tc>
          <w:tcPr>
            <w:tcW w:w="16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1435" w:right="339" w:bottom="1440" w:gutter="0" w:footer="0" w:header="0"/>
        </w:sectPr>
      </w:pPr>
    </w:p>
    <w:bookmarkStart w:id="12" w:name="page13"/>
    <w:bookmarkEnd w:id="1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8"/>
                <w:szCs w:val="18"/>
                <w:color w:val="auto"/>
              </w:rPr>
            </w:pPr>
          </w:p>
        </w:tc>
      </w:tr>
      <w:tr>
        <w:trPr>
          <w:trHeight w:val="212"/>
        </w:trPr>
        <w:tc>
          <w:tcPr>
            <w:tcW w:w="432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2021</w:t>
            </w:r>
          </w:p>
        </w:tc>
      </w:tr>
      <w:tr>
        <w:trPr>
          <w:trHeight w:val="212"/>
        </w:trPr>
        <w:tc>
          <w:tcPr>
            <w:tcW w:w="432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43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Acquisition of property, plant and equipment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w:t>
            </w:r>
          </w:p>
        </w:tc>
        <w:tc>
          <w:tcPr>
            <w:tcW w:w="12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r>
      <w:tr>
        <w:trPr>
          <w:trHeight w:val="237"/>
        </w:trPr>
        <w:tc>
          <w:tcPr>
            <w:tcW w:w="4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(4,435)</w:t>
            </w:r>
          </w:p>
        </w:tc>
        <w:tc>
          <w:tcPr>
            <w:tcW w:w="12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auto"/>
            </w:tcBorders>
            <w:shd w:val="clear" w:color="auto" w:fill="BFE4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(3,748)</w:t>
            </w:r>
          </w:p>
        </w:tc>
      </w:tr>
      <w:tr>
        <w:trPr>
          <w:trHeight w:val="20"/>
        </w:trPr>
        <w:tc>
          <w:tcPr>
            <w:tcW w:w="43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59" w:lineRule="exact"/>
        <w:rPr>
          <w:sz w:val="20"/>
          <w:szCs w:val="20"/>
          <w:color w:val="auto"/>
        </w:rPr>
      </w:pPr>
    </w:p>
    <w:p>
      <w:pPr>
        <w:ind w:right="14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49" w:lineRule="exact"/>
        <w:rPr>
          <w:rFonts w:ascii="Arial" w:cs="Arial" w:eastAsia="Arial" w:hAnsi="Arial"/>
          <w:sz w:val="16"/>
          <w:szCs w:val="16"/>
          <w:i w:val="1"/>
          <w:iCs w:val="1"/>
          <w:color w:val="auto"/>
        </w:rPr>
      </w:pPr>
    </w:p>
    <w:p>
      <w:pPr>
        <w:ind w:right="4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50" w:lineRule="exact"/>
        <w:rPr>
          <w:rFonts w:ascii="Arial" w:cs="Arial" w:eastAsia="Arial" w:hAnsi="Arial"/>
          <w:sz w:val="16"/>
          <w:szCs w:val="16"/>
          <w:i w:val="1"/>
          <w:iCs w:val="1"/>
          <w:color w:val="auto"/>
        </w:rPr>
      </w:pPr>
    </w:p>
    <w:p>
      <w:pPr>
        <w:ind w:right="20" w:firstLine="8"/>
        <w:spacing w:after="0" w:line="269" w:lineRule="auto"/>
        <w:tabs>
          <w:tab w:leader="none" w:pos="243"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94"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685800</wp:posOffset>
            </wp:positionV>
            <wp:extent cx="1285875" cy="1260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126047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1003300</wp:posOffset>
            </wp:positionV>
            <wp:extent cx="1928495"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Announces Executive Team Transition</w:t>
      </w:r>
    </w:p>
    <w:p>
      <w:pPr>
        <w:spacing w:after="0" w:line="267"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CHARLOTTE, N.C., November 1, 2022 /Globe Newswire/ -- NN, Inc. (NASDAQ: NNBR), a global diversified industrial company, today announced that its Board of Directors has implemented a management transition plan to address the planned retirements of Warren Veltman, President and Chief Executive Officer, and John Buchan, Executive Vice President, Mobile Solutions and Power Solutions. NN anticipates that Mr. Veltman and Mr. Buchan will remain in their current positions until March 31, 2023, which may be extended in order to facilitate an orderly transition. Following their respective retirements, the Company expects that Mr. Veltman and Mr. Buchan will remain available on a consulting basis to assist with the management transition as needed.</w:t>
      </w:r>
    </w:p>
    <w:p>
      <w:pPr>
        <w:spacing w:after="0" w:line="200" w:lineRule="exact"/>
        <w:rPr>
          <w:sz w:val="20"/>
          <w:szCs w:val="20"/>
          <w:color w:val="auto"/>
        </w:rPr>
      </w:pP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The Board has engaged Korn Ferry, a global organizational consulting firm, to assist in identifying candidates for the President and Chief Executive Officer position, with expertise in the electrical and electric vehicle industries to further NN’s focus on these rapidly growing markets.</w:t>
      </w:r>
    </w:p>
    <w:p>
      <w:pPr>
        <w:spacing w:after="0" w:line="247"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color w:val="auto"/>
        </w:rPr>
        <w:t>In connection with the planned retirements, the Company has named Gunars Vinkels as the interim Chief Operating Officer of Power Solutions and Douglas Campos as the interim Chief Operating Officer of Mobile Solutions. Each will report to John Buchan to facilitate a smooth transition and continuity of operational leadership.</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“We have accomplished much over the past three plus years as we positioned NN for sustainable long-term growth and improved operating performance. With the reduction in our debt, strengthening of our customer-focused continuous improvement culture, rightsizing our operational footprint to be more cost competitive and the refining of our growth strategy to be focused on the high-growth electric vehicle and electrical markets, we have made significant progress in the transformation of our business,” said Warren Veltman, President and Chief Executive Officer of NN. “I am proud of and appreciate the significant contributions that all our NN associates have made to this transformation and though much work remains to be accomplished, am confident that NN is on a path to continued success.”</w:t>
      </w:r>
    </w:p>
    <w:p>
      <w:pPr>
        <w:spacing w:after="0" w:line="227"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“Over the last three years we have improved the effectiveness of our operations and IT systems while combating the COVID pandemic, supply interruptions and labor shortages,” stated John Buchan, Executive Vice President, Mobile Solutions and Power Solutions. “We have a strong bench of talent within our operating groups, and I am confident that in their interim roles, Douglas and Gunars will provide leadership to continue streamlining our operations while maintaining exceptional customer relationships.”</w:t>
      </w:r>
    </w:p>
    <w:p>
      <w:pPr>
        <w:sectPr>
          <w:pgSz w:w="11900" w:h="16838" w:orient="portrait"/>
          <w:cols w:equalWidth="0" w:num="1">
            <w:col w:w="11240"/>
          </w:cols>
          <w:pgMar w:left="320" w:top="125" w:right="339" w:bottom="1440" w:gutter="0" w:footer="0" w:header="0"/>
        </w:sectPr>
      </w:pPr>
    </w:p>
    <w:p>
      <w:pPr>
        <w:spacing w:after="0" w:line="203"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20"/>
          <w:szCs w:val="20"/>
          <w:color w:val="auto"/>
        </w:rPr>
        <w:t>Jeri Harman, Chairman of the Board of NN, commented, “The Board deeply appreciates the leadership and commitment that Warren and John have demonstrated and the results they achieved during their careers with NN, and we wish them well in their respective retirements. We believe NN’s broad portfolio of close-tolerance technologies and co-engineering capabilities positions us exceptionally well for future growth. We are focused on filling the CEO position with a proven leader that ideally has demonstrated the ability to drive commercial success in the electric and electrical vehicle industries.”</w:t>
      </w:r>
    </w:p>
    <w:p>
      <w:pPr>
        <w:spacing w:after="0" w:line="217" w:lineRule="exact"/>
        <w:rPr>
          <w:sz w:val="20"/>
          <w:szCs w:val="20"/>
          <w:color w:val="auto"/>
        </w:rPr>
      </w:pPr>
    </w:p>
    <w:p>
      <w:pPr>
        <w:ind w:right="440"/>
        <w:spacing w:after="0" w:line="266" w:lineRule="auto"/>
        <w:rPr>
          <w:sz w:val="20"/>
          <w:szCs w:val="20"/>
          <w:color w:val="auto"/>
        </w:rPr>
      </w:pPr>
      <w:r>
        <w:rPr>
          <w:rFonts w:ascii="Arial" w:cs="Arial" w:eastAsia="Arial" w:hAnsi="Arial"/>
          <w:sz w:val="20"/>
          <w:szCs w:val="20"/>
          <w:color w:val="auto"/>
        </w:rPr>
        <w:t>Mr. Gunars Vinkels has almost thirty years of experience in the Power Solutions business beginning as an engineer and advancing to Operations Director at PEP Group at the time of its acquisition by NN in 2015. Since that time, Mr. Vinkels has progressed to Group Vice President of Operations for Power Solutions with a focus on the electrical businesses at NN. Mr. Vinkels holds a Bachelor of Science in Manufacturing from Worcester Polytechnic Institute and a Master of Science in Manufacturing Engineering from the University of Massachusetts at Lowell.</w:t>
      </w:r>
    </w:p>
    <w:p>
      <w:pPr>
        <w:spacing w:after="0" w:line="224"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Mr. Douglas Campos began his career as a Commercial Director at Autocam's Brazil operations in 2004, and served in roles of increasing responsibility following NN’s acquisition of Autocam in 2014, including General Manager of South America Operations, and most recently as North American Sales Director of Mobile Solutions. Mr. Campos holds a Bachelor of Science in Chemical Engineering from Universidade Federal do Rio de Janeiro in Brazil, an Executive MBA from Fundação Dom Cabral/Northwestern (Kellogg School of Management) and a Master of Professional Administration, Business from Fundação Dom Cabral in Brazil.</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About NN, Inc.</w:t>
      </w:r>
    </w:p>
    <w:p>
      <w:pPr>
        <w:spacing w:after="0" w:line="13" w:lineRule="exact"/>
        <w:rPr>
          <w:sz w:val="20"/>
          <w:szCs w:val="20"/>
          <w:color w:val="auto"/>
        </w:rPr>
      </w:pPr>
    </w:p>
    <w:p>
      <w:pPr>
        <w:jc w:val="both"/>
        <w:ind w:right="280"/>
        <w:spacing w:after="0" w:line="284"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30 facilities in North America, Europe, South America, and Asia.</w:t>
      </w:r>
    </w:p>
    <w:p>
      <w:pPr>
        <w:spacing w:after="0" w:line="200" w:lineRule="exact"/>
        <w:rPr>
          <w:sz w:val="20"/>
          <w:szCs w:val="20"/>
          <w:color w:val="auto"/>
        </w:rPr>
      </w:pPr>
    </w:p>
    <w:p>
      <w:pPr>
        <w:spacing w:after="0" w:line="25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Except for specific historical information, many of the matters discussed in this presentation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statements regarding the planned management transition, general economic conditions and economic conditions in the industrial sector, including, but not limited to, inflation, rising interest rates and labor shortages;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supply chain shortages and disruptions; economic, social, political and geopolitical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or failing to recognize the expected benefits of divestitures; new laws and governmental regulations; the impact of climate change on our operations; cyber liability or potential liability for breaches of our or our service providers’ information technology systems or business operations disruptions; the ability to attract and retain talent, risks associated with the senior management transition and identifying a qualified CEO, and other risk factors and cautionary statements listed from time-to-time in our period reports filed with the Securities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16" w:name="page17"/>
    <w:bookmarkEnd w:id="16"/>
    <w:p>
      <w:pPr>
        <w:ind w:right="840"/>
        <w:spacing w:after="0" w:line="287" w:lineRule="auto"/>
        <w:rPr>
          <w:sz w:val="20"/>
          <w:szCs w:val="20"/>
          <w:color w:val="auto"/>
        </w:rPr>
      </w:pPr>
      <w:r>
        <w:rPr>
          <w:rFonts w:ascii="Arial" w:cs="Arial" w:eastAsia="Arial" w:hAnsi="Arial"/>
          <w:sz w:val="19"/>
          <w:szCs w:val="19"/>
          <w:color w:val="auto"/>
        </w:rPr>
        <w:t>Exchange Commission. We disclaim any obligation to update any such factors or to publicly announce the result of any revisions to any of the forward-looking statements included herein or therein to reflect future events or developments.</w:t>
      </w:r>
    </w:p>
    <w:p>
      <w:pPr>
        <w:spacing w:after="0" w:line="39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2021 and, when filed, the Company’s Quarterly Report on Form 10-Q for the three months ended September 30, 2022. Except as required by law, we undertake no obligation to update or revise any forward-looking statements we make in our press releases, whether as a result of new information, future events or otherwise.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 Contact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jtryka@lambert.com</w:t>
      </w:r>
    </w:p>
    <w:p>
      <w:pPr>
        <w:spacing w:after="0"/>
        <w:rPr>
          <w:sz w:val="20"/>
          <w:szCs w:val="20"/>
          <w:color w:val="auto"/>
        </w:rPr>
      </w:pPr>
      <w:r>
        <w:rPr>
          <w:rFonts w:ascii="Arial" w:cs="Arial" w:eastAsia="Arial" w:hAnsi="Arial"/>
          <w:sz w:val="20"/>
          <w:szCs w:val="20"/>
          <w:color w:val="auto"/>
        </w:rPr>
        <w:t>616-295-2509</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40"/>
    </w:lvl>
  </w:abstractNum>
  <w:abstractNum w:abstractNumId="4">
    <w:nsid w:val="2EB141F2"/>
    <w:multiLevelType w:val="hybridMultilevel"/>
    <w:lvl w:ilvl="0">
      <w:lvlJc w:val="left"/>
      <w:lvlText w:val="%1"/>
      <w:numFmt w:val="upperLetter"/>
      <w:start w:val="40"/>
    </w:lvl>
  </w:abstractNum>
  <w:abstractNum w:abstractNumId="5">
    <w:nsid w:val="41B71EFB"/>
    <w:multiLevelType w:val="hybridMultilevel"/>
    <w:lvl w:ilvl="0">
      <w:lvlJc w:val="left"/>
      <w:lvlText w:val="%1"/>
      <w:numFmt w:val="decimal"/>
      <w:start w:val="474"/>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2022-11-01T16:09:39Z</dcterms:created>
  <dcterms:modified xsi:type="dcterms:W3CDTF">2022-11-01T16:09:39Z</dcterms:modified>
</cp:coreProperties>
</file>