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244475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232410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415290</wp:posOffset>
            </wp:positionV>
            <wp:extent cx="631825" cy="63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825" cy="631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2"/>
          <w:szCs w:val="42"/>
          <w:b w:val="1"/>
          <w:bCs w:val="1"/>
          <w:color w:val="auto"/>
        </w:rPr>
        <w:t>NN, INC.</w:t>
      </w:r>
    </w:p>
    <w:p>
      <w:pPr>
        <w:spacing w:after="0" w:line="5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224155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tbl>
      <w:tblPr>
        <w:tblLayout w:type="fixed"/>
        <w:tblInd w:w="1120" w:type="dxa"/>
        <w:tblCellMar>
          <w:top w:w="0" w:type="dxa"/>
          <w:left w:w="0" w:type="dxa"/>
          <w:bottom w:w="0" w:type="dxa"/>
          <w:right w:w="0" w:type="dxa"/>
        </w:tblCellMar>
      </w:tblPr>
      <w:tr>
        <w:trPr>
          <w:trHeight w:val="205"/>
        </w:trPr>
        <w:tc>
          <w:tcPr>
            <w:tcW w:w="4100" w:type="dxa"/>
            <w:vAlign w:val="bottom"/>
          </w:tcPr>
          <w:p>
            <w:pPr>
              <w:jc w:val="center"/>
              <w:ind w:right="236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420" w:type="dxa"/>
            <w:vAlign w:val="bottom"/>
          </w:tcPr>
          <w:p>
            <w:pPr>
              <w:jc w:val="center"/>
              <w:ind w:right="1124"/>
              <w:spacing w:after="0"/>
              <w:rPr>
                <w:sz w:val="20"/>
                <w:szCs w:val="20"/>
                <w:color w:val="auto"/>
              </w:rPr>
            </w:pPr>
            <w:r>
              <w:rPr>
                <w:rFonts w:ascii="Times New Roman" w:cs="Times New Roman" w:eastAsia="Times New Roman" w:hAnsi="Times New Roman"/>
                <w:sz w:val="17"/>
                <w:szCs w:val="17"/>
                <w:b w:val="1"/>
                <w:bCs w:val="1"/>
                <w:color w:val="auto"/>
              </w:rPr>
              <w:t>0-23486</w:t>
            </w:r>
          </w:p>
        </w:tc>
        <w:tc>
          <w:tcPr>
            <w:tcW w:w="2500" w:type="dxa"/>
            <w:vAlign w:val="bottom"/>
          </w:tcPr>
          <w:p>
            <w:pPr>
              <w:jc w:val="right"/>
              <w:ind w:right="43"/>
              <w:spacing w:after="0"/>
              <w:rPr>
                <w:sz w:val="20"/>
                <w:szCs w:val="20"/>
                <w:color w:val="auto"/>
              </w:rPr>
            </w:pPr>
            <w:r>
              <w:rPr>
                <w:rFonts w:ascii="Times New Roman" w:cs="Times New Roman" w:eastAsia="Times New Roman" w:hAnsi="Times New Roman"/>
                <w:sz w:val="17"/>
                <w:szCs w:val="17"/>
                <w:b w:val="1"/>
                <w:bCs w:val="1"/>
                <w:color w:val="auto"/>
              </w:rPr>
              <w:t>62-1096725</w:t>
            </w:r>
          </w:p>
        </w:tc>
      </w:tr>
      <w:tr>
        <w:trPr>
          <w:trHeight w:val="144"/>
        </w:trPr>
        <w:tc>
          <w:tcPr>
            <w:tcW w:w="4100" w:type="dxa"/>
            <w:vAlign w:val="bottom"/>
          </w:tcPr>
          <w:p>
            <w:pPr>
              <w:jc w:val="center"/>
              <w:ind w:right="2363"/>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 or Other Jurisdiction</w:t>
            </w:r>
          </w:p>
        </w:tc>
        <w:tc>
          <w:tcPr>
            <w:tcW w:w="2420" w:type="dxa"/>
            <w:vAlign w:val="bottom"/>
          </w:tcPr>
          <w:p>
            <w:pPr>
              <w:jc w:val="center"/>
              <w:ind w:right="1104"/>
              <w:spacing w:after="0" w:line="144"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343"/>
              <w:spacing w:after="0" w:line="144"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4"/>
        </w:trPr>
        <w:tc>
          <w:tcPr>
            <w:tcW w:w="4100" w:type="dxa"/>
            <w:vAlign w:val="bottom"/>
          </w:tcPr>
          <w:p>
            <w:pPr>
              <w:jc w:val="center"/>
              <w:ind w:right="2383"/>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jc w:val="center"/>
              <w:ind w:right="1104"/>
              <w:spacing w:after="0"/>
              <w:rPr>
                <w:sz w:val="20"/>
                <w:szCs w:val="20"/>
                <w:color w:val="auto"/>
              </w:rPr>
            </w:pPr>
            <w:r>
              <w:rPr>
                <w:rFonts w:ascii="Times New Roman" w:cs="Times New Roman" w:eastAsia="Times New Roman" w:hAnsi="Times New Roman"/>
                <w:sz w:val="14"/>
                <w:szCs w:val="14"/>
                <w:b w:val="1"/>
                <w:bCs w:val="1"/>
                <w:color w:val="auto"/>
                <w:w w:val="99"/>
              </w:rPr>
              <w:t>File Number)</w:t>
            </w:r>
          </w:p>
        </w:tc>
        <w:tc>
          <w:tcPr>
            <w:tcW w:w="2500" w:type="dxa"/>
            <w:vAlign w:val="bottom"/>
          </w:tcPr>
          <w:p>
            <w:pPr>
              <w:jc w:val="center"/>
              <w:ind w:left="13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92"/>
        </w:trPr>
        <w:tc>
          <w:tcPr>
            <w:tcW w:w="6520" w:type="dxa"/>
            <w:vAlign w:val="bottom"/>
            <w:gridSpan w:val="2"/>
          </w:tcPr>
          <w:p>
            <w:pPr>
              <w:jc w:val="center"/>
              <w:ind w:right="1004"/>
              <w:spacing w:after="0"/>
              <w:rPr>
                <w:sz w:val="20"/>
                <w:szCs w:val="20"/>
                <w:color w:val="auto"/>
              </w:rPr>
            </w:pPr>
            <w:r>
              <w:rPr>
                <w:rFonts w:ascii="Times New Roman" w:cs="Times New Roman" w:eastAsia="Times New Roman" w:hAnsi="Times New Roman"/>
                <w:sz w:val="17"/>
                <w:szCs w:val="17"/>
                <w:b w:val="1"/>
                <w:bCs w:val="1"/>
                <w:color w:val="auto"/>
              </w:rPr>
              <w:t>207 Mockingbird Lane, Johnson City, Tennessee</w:t>
            </w:r>
          </w:p>
        </w:tc>
        <w:tc>
          <w:tcPr>
            <w:tcW w:w="2500" w:type="dxa"/>
            <w:vAlign w:val="bottom"/>
          </w:tcPr>
          <w:p>
            <w:pPr>
              <w:jc w:val="right"/>
              <w:ind w:right="243"/>
              <w:spacing w:after="0"/>
              <w:rPr>
                <w:sz w:val="20"/>
                <w:szCs w:val="20"/>
                <w:color w:val="auto"/>
              </w:rPr>
            </w:pPr>
            <w:r>
              <w:rPr>
                <w:rFonts w:ascii="Times New Roman" w:cs="Times New Roman" w:eastAsia="Times New Roman" w:hAnsi="Times New Roman"/>
                <w:sz w:val="17"/>
                <w:szCs w:val="17"/>
                <w:b w:val="1"/>
                <w:bCs w:val="1"/>
                <w:color w:val="auto"/>
              </w:rPr>
              <w:t>37604</w:t>
            </w:r>
          </w:p>
        </w:tc>
      </w:tr>
      <w:tr>
        <w:trPr>
          <w:trHeight w:val="184"/>
        </w:trPr>
        <w:tc>
          <w:tcPr>
            <w:tcW w:w="4100" w:type="dxa"/>
            <w:vAlign w:val="bottom"/>
          </w:tcPr>
          <w:p>
            <w:pPr>
              <w:jc w:val="center"/>
              <w:ind w:left="1243"/>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2420" w:type="dxa"/>
            <w:vAlign w:val="bottom"/>
          </w:tcPr>
          <w:p>
            <w:pPr>
              <w:spacing w:after="0"/>
              <w:rPr>
                <w:sz w:val="16"/>
                <w:szCs w:val="16"/>
                <w:color w:val="auto"/>
              </w:rPr>
            </w:pPr>
          </w:p>
        </w:tc>
        <w:tc>
          <w:tcPr>
            <w:tcW w:w="2500" w:type="dxa"/>
            <w:vAlign w:val="bottom"/>
          </w:tcPr>
          <w:p>
            <w:pPr>
              <w:jc w:val="center"/>
              <w:ind w:left="1343"/>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17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(423) 743-9151</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220980</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Check the appropriate box if the Form 8-K filing is intended to simultaneously satisfy the filing obligation of the registrant under any of the following provisions (see General Instruction A.2. below):</w:t>
      </w:r>
    </w:p>
    <w:p>
      <w:pPr>
        <w:spacing w:after="0" w:line="55"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240.14d- 2(b))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60"/>
          </w:cols>
          <w:pgMar w:left="240" w:top="354" w:right="39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80" w:firstLine="457"/>
        <w:spacing w:after="0" w:line="276" w:lineRule="auto"/>
        <w:rPr>
          <w:sz w:val="20"/>
          <w:szCs w:val="20"/>
          <w:color w:val="auto"/>
        </w:rPr>
      </w:pPr>
      <w:r>
        <w:rPr>
          <w:rFonts w:ascii="Times New Roman" w:cs="Times New Roman" w:eastAsia="Times New Roman" w:hAnsi="Times New Roman"/>
          <w:sz w:val="17"/>
          <w:szCs w:val="17"/>
          <w:color w:val="auto"/>
        </w:rPr>
        <w:t>On Thursday, February 5, 2015, beginning at 8:30 a.m. eastern time, NN, Inc. (the “Company”) will host its Investor &amp; Analyst Day in New York City. A copy of the slide presentation for the event is furnished as Exhibit 99.1 to this Current Report on Form 8-K and will also be accessible through the Company’s website at www.nninc.com in the Investor Relations section under Events and Presentations.</w:t>
      </w:r>
    </w:p>
    <w:p>
      <w:pPr>
        <w:spacing w:after="0" w:line="164" w:lineRule="exact"/>
        <w:rPr>
          <w:sz w:val="20"/>
          <w:szCs w:val="20"/>
          <w:color w:val="auto"/>
        </w:rPr>
      </w:pPr>
    </w:p>
    <w:p>
      <w:pPr>
        <w:ind w:firstLine="457"/>
        <w:spacing w:after="0" w:line="276" w:lineRule="auto"/>
        <w:rPr>
          <w:sz w:val="20"/>
          <w:szCs w:val="20"/>
          <w:color w:val="auto"/>
        </w:rPr>
      </w:pPr>
      <w:r>
        <w:rPr>
          <w:rFonts w:ascii="Times New Roman" w:cs="Times New Roman" w:eastAsia="Times New Roman" w:hAnsi="Times New Roman"/>
          <w:sz w:val="17"/>
          <w:szCs w:val="17"/>
          <w:color w:val="auto"/>
        </w:rPr>
        <w:t>The information presented in Item 7.01 to this Current Report on Form 8-K is being furnished in accordance with Rule 101(e)(1) under Regulation FD and shall not be deemed to be “filed” for purposes of Section 18 of the Securities Exchange Act of 1934, as amended, and will not be incorporated by reference into any registration statement filed under the Securities Act of 1933, as amended, unless specifically identified therein as being incorporated by reference.</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69"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17"/>
          <w:szCs w:val="17"/>
          <w:color w:val="auto"/>
        </w:rPr>
        <w:t>99.1</w:t>
      </w:r>
      <w:r>
        <w:rPr>
          <w:sz w:val="20"/>
          <w:szCs w:val="20"/>
          <w:color w:val="auto"/>
        </w:rPr>
        <w:tab/>
      </w:r>
      <w:r>
        <w:rPr>
          <w:rFonts w:ascii="Times New Roman" w:cs="Times New Roman" w:eastAsia="Times New Roman" w:hAnsi="Times New Roman"/>
          <w:sz w:val="17"/>
          <w:szCs w:val="17"/>
          <w:color w:val="auto"/>
        </w:rPr>
        <w:t>Investor &amp; Analyst Presentation of NN, Inc., dated February 5, 2015.</w:t>
      </w:r>
    </w:p>
    <w:p>
      <w:pPr>
        <w:sectPr>
          <w:pgSz w:w="11900" w:h="16838" w:orient="portrait"/>
          <w:cols w:equalWidth="0" w:num="1">
            <w:col w:w="11280"/>
          </w:cols>
          <w:pgMar w:left="240" w:top="263" w:right="37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2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5, 2015</w:t>
      </w: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b w:val="1"/>
          <w:bCs w:val="1"/>
          <w:color w:val="auto"/>
        </w:rPr>
        <w:t>NN, INC.</w:t>
      </w:r>
    </w:p>
    <w:p>
      <w:pPr>
        <w:spacing w:after="0" w:line="226" w:lineRule="exact"/>
        <w:rPr>
          <w:sz w:val="20"/>
          <w:szCs w:val="20"/>
          <w:color w:val="auto"/>
        </w:rPr>
      </w:pPr>
    </w:p>
    <w:p>
      <w:pPr>
        <w:ind w:left="6860"/>
        <w:spacing w:after="0"/>
        <w:tabs>
          <w:tab w:leader="none" w:pos="74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20320</wp:posOffset>
            </wp:positionV>
            <wp:extent cx="25114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Name:  William C. Kelly, Jr.</w:t>
      </w:r>
    </w:p>
    <w:p>
      <w:pPr>
        <w:spacing w:after="0" w:line="32" w:lineRule="exact"/>
        <w:rPr>
          <w:sz w:val="20"/>
          <w:szCs w:val="20"/>
          <w:color w:val="auto"/>
        </w:rPr>
      </w:pPr>
    </w:p>
    <w:p>
      <w:pPr>
        <w:ind w:left="6860"/>
        <w:spacing w:after="0"/>
        <w:tabs>
          <w:tab w:leader="none" w:pos="7440" w:val="left"/>
        </w:tabs>
        <w:rPr>
          <w:sz w:val="20"/>
          <w:szCs w:val="20"/>
          <w:color w:val="auto"/>
        </w:rPr>
      </w:pPr>
      <w:r>
        <w:rPr>
          <w:rFonts w:ascii="Times New Roman" w:cs="Times New Roman" w:eastAsia="Times New Roman" w:hAnsi="Times New Roman"/>
          <w:sz w:val="17"/>
          <w:szCs w:val="17"/>
          <w:color w:val="auto"/>
        </w:rPr>
        <w:t>Title:</w:t>
        <w:tab/>
        <w:t>Vice President and Chief</w:t>
      </w:r>
    </w:p>
    <w:p>
      <w:pPr>
        <w:spacing w:after="0" w:line="14"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Administrative Officer</w:t>
      </w:r>
    </w:p>
    <w:p>
      <w:pPr>
        <w:sectPr>
          <w:pgSz w:w="11900" w:h="16838" w:orient="portrait"/>
          <w:cols w:equalWidth="0" w:num="1">
            <w:col w:w="10860"/>
          </w:cols>
          <w:pgMar w:left="240" w:top="263" w:right="799" w:bottom="1440" w:gutter="0" w:footer="0" w:header="0"/>
        </w:sectPr>
      </w:pPr>
    </w:p>
    <w:bookmarkStart w:id="3" w:name="page4"/>
    <w:bookmarkEnd w:id="3"/>
    <w:p>
      <w:pPr>
        <w:jc w:val="right"/>
        <w:ind w:right="38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INDEX</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line="184" w:lineRule="auto"/>
        <w:tabs>
          <w:tab w:leader="none" w:pos="980" w:val="left"/>
        </w:tabs>
        <w:rPr>
          <w:sz w:val="20"/>
          <w:szCs w:val="20"/>
          <w:color w:val="auto"/>
        </w:rPr>
      </w:pPr>
      <w:r>
        <w:rPr>
          <w:rFonts w:ascii="Times New Roman" w:cs="Times New Roman" w:eastAsia="Times New Roman" w:hAnsi="Times New Roman"/>
          <w:sz w:val="21"/>
          <w:szCs w:val="21"/>
          <w:b w:val="1"/>
          <w:bCs w:val="1"/>
          <w:color w:val="auto"/>
          <w:vertAlign w:val="superscript"/>
        </w:rPr>
        <w:t>No.</w:t>
      </w:r>
      <w:r>
        <w:rPr>
          <w:sz w:val="20"/>
          <w:szCs w:val="20"/>
          <w:color w:val="auto"/>
        </w:rPr>
        <w:tab/>
      </w:r>
      <w:r>
        <w:rPr>
          <w:rFonts w:ascii="Times New Roman" w:cs="Times New Roman" w:eastAsia="Times New Roman" w:hAnsi="Times New Roman"/>
          <w:sz w:val="12"/>
          <w:szCs w:val="12"/>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282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92"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17"/>
          <w:szCs w:val="17"/>
          <w:color w:val="auto"/>
        </w:rPr>
        <w:t>99.1</w:t>
      </w:r>
      <w:r>
        <w:rPr>
          <w:sz w:val="20"/>
          <w:szCs w:val="20"/>
          <w:color w:val="auto"/>
        </w:rPr>
        <w:tab/>
      </w:r>
      <w:r>
        <w:rPr>
          <w:rFonts w:ascii="Times New Roman" w:cs="Times New Roman" w:eastAsia="Times New Roman" w:hAnsi="Times New Roman"/>
          <w:sz w:val="17"/>
          <w:szCs w:val="17"/>
          <w:color w:val="auto"/>
        </w:rPr>
        <w:t>Investor &amp; Analyst Presentation of NN, Inc., dated February 5, 2015.</w:t>
      </w:r>
    </w:p>
    <w:p>
      <w:pPr>
        <w:sectPr>
          <w:pgSz w:w="11900" w:h="16838" w:orient="portrait"/>
          <w:cols w:equalWidth="0" w:num="1">
            <w:col w:w="10219"/>
          </w:cols>
          <w:pgMar w:left="240" w:top="26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312025" cy="4116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2025" cy="411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February2015Investor5,2015Day Conference: Growing into the Future</w:t>
      </w:r>
    </w:p>
    <w:p>
      <w:pPr>
        <w:sectPr>
          <w:pgSz w:w="11900" w:h="16838" w:orient="portrait"/>
          <w:cols w:equalWidth="0" w:num="1">
            <w:col w:w="11420"/>
          </w:cols>
          <w:pgMar w:left="240" w:top="123"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R</w:t>
      </w:r>
      <w:r>
        <w:rPr>
          <w:rFonts w:ascii="Times New Roman" w:cs="Times New Roman" w:eastAsia="Times New Roman" w:hAnsi="Times New Roman"/>
          <w:sz w:val="26"/>
          <w:szCs w:val="26"/>
          <w:color w:val="FFFFFF"/>
          <w:vertAlign w:val="subscript"/>
        </w:rPr>
        <w:t>Corporate</w:t>
      </w:r>
      <w:r>
        <w:rPr>
          <w:rFonts w:ascii="Times New Roman" w:cs="Times New Roman" w:eastAsia="Times New Roman" w:hAnsi="Times New Roman"/>
          <w:sz w:val="13"/>
          <w:szCs w:val="13"/>
          <w:color w:val="FFFFFF"/>
        </w:rPr>
        <w:t>NewbbieYorkAtkinsonInvestor Day 2015</w:t>
      </w:r>
    </w:p>
    <w:p>
      <w:pPr>
        <w:spacing w:after="0" w:line="204" w:lineRule="auto"/>
        <w:rPr>
          <w:sz w:val="20"/>
          <w:szCs w:val="20"/>
          <w:color w:val="auto"/>
        </w:rPr>
      </w:pPr>
      <w:r>
        <w:rPr>
          <w:rFonts w:ascii="Times New Roman" w:cs="Times New Roman" w:eastAsia="Times New Roman" w:hAnsi="Times New Roman"/>
          <w:sz w:val="4"/>
          <w:szCs w:val="4"/>
          <w:color w:val="FFFFFF"/>
        </w:rPr>
        <w:t>History of TreasurerbuildingandandorganizingInvestorRelationsfinancialManagerinfrastructures</w:t>
      </w:r>
    </w:p>
    <w:p>
      <w:pPr>
        <w:ind w:right="1059"/>
        <w:spacing w:after="0"/>
        <w:rPr>
          <w:sz w:val="20"/>
          <w:szCs w:val="20"/>
          <w:color w:val="auto"/>
        </w:rPr>
      </w:pPr>
      <w:r>
        <w:rPr>
          <w:rFonts w:ascii="Times New Roman" w:cs="Times New Roman" w:eastAsia="Times New Roman" w:hAnsi="Times New Roman"/>
          <w:sz w:val="9"/>
          <w:szCs w:val="9"/>
          <w:color w:val="FFFFFF"/>
        </w:rPr>
        <w:t>Joined NN from Regions Financial Corporation where he held several positions, most recently serving as Vice President of Commercial Banking in the Corporate Bank Group Previously held positions at Eaton Corporation and Wells Fargo Bank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2Certified Treasury Professional</w:t>
      </w:r>
    </w:p>
    <w:p>
      <w:pPr>
        <w:sectPr>
          <w:pgSz w:w="11900" w:h="16838" w:orient="portrait"/>
          <w:cols w:equalWidth="0" w:num="1">
            <w:col w:w="10219"/>
          </w:cols>
          <w:pgMar w:left="2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ind w:left="440"/>
              <w:spacing w:after="0"/>
              <w:rPr>
                <w:sz w:val="20"/>
                <w:szCs w:val="20"/>
                <w:color w:val="auto"/>
              </w:rPr>
            </w:pPr>
            <w:r>
              <w:rPr>
                <w:rFonts w:ascii="Times New Roman" w:cs="Times New Roman" w:eastAsia="Times New Roman" w:hAnsi="Times New Roman"/>
                <w:sz w:val="13"/>
                <w:szCs w:val="13"/>
                <w:color w:val="FFFFFF"/>
              </w:rPr>
              <w:t>-Looking</w:t>
            </w:r>
          </w:p>
        </w:tc>
        <w:tc>
          <w:tcPr>
            <w:tcW w:w="3620" w:type="dxa"/>
            <w:vAlign w:val="bottom"/>
          </w:tcPr>
          <w:p>
            <w:pPr>
              <w:ind w:left="100"/>
              <w:spacing w:after="0"/>
              <w:rPr>
                <w:sz w:val="20"/>
                <w:szCs w:val="20"/>
                <w:color w:val="auto"/>
              </w:rPr>
            </w:pPr>
            <w:r>
              <w:rPr>
                <w:rFonts w:ascii="Times New Roman" w:cs="Times New Roman" w:eastAsia="Times New Roman" w:hAnsi="Times New Roman"/>
                <w:sz w:val="13"/>
                <w:szCs w:val="13"/>
                <w:color w:val="FFFFFF"/>
              </w:rPr>
              <w:t>&amp; Disclaimer</w:t>
            </w:r>
          </w:p>
        </w:tc>
        <w:tc>
          <w:tcPr>
            <w:tcW w:w="6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FFFFFF"/>
              </w:rPr>
              <w:t>the matters described herein contain forward-looking statements that are made pursuant to the safe harbor</w:t>
            </w:r>
          </w:p>
        </w:tc>
        <w:tc>
          <w:tcPr>
            <w:tcW w:w="0" w:type="dxa"/>
            <w:vAlign w:val="bottom"/>
          </w:tcPr>
          <w:p>
            <w:pPr>
              <w:spacing w:after="0"/>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Forward Looking Statement: With the exception of the historical information contained in this</w:t>
            </w:r>
          </w:p>
        </w:tc>
        <w:tc>
          <w:tcPr>
            <w:tcW w:w="6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provisions of the Private Se urities Litigation Reform Act of 1995. Forward-looking statementspresentation,involvenumber of risks and uncertainties that may cause actual results to be materially different from such forward-</w:t>
            </w:r>
          </w:p>
        </w:tc>
        <w:tc>
          <w:tcPr>
            <w:tcW w:w="0" w:type="dxa"/>
            <w:vAlign w:val="bottom"/>
          </w:tcPr>
          <w:p>
            <w:pPr>
              <w:spacing w:after="0" w:line="20" w:lineRule="exact"/>
              <w:rPr>
                <w:sz w:val="1"/>
                <w:szCs w:val="1"/>
                <w:color w:val="auto"/>
              </w:rPr>
            </w:pPr>
          </w:p>
        </w:tc>
      </w:tr>
      <w:tr>
        <w:trPr>
          <w:trHeight w:val="39"/>
        </w:trPr>
        <w:tc>
          <w:tcPr>
            <w:tcW w:w="1122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looking statements. Such factors include, among others, general economic conditions and economic conditio s in the industrial sector, competitive influences, risks that current customers will commence or increase</w:t>
            </w:r>
          </w:p>
        </w:tc>
        <w:tc>
          <w:tcPr>
            <w:tcW w:w="0" w:type="dxa"/>
            <w:vAlign w:val="bottom"/>
          </w:tcPr>
          <w:p>
            <w:pPr>
              <w:spacing w:after="0" w:line="20" w:lineRule="exact"/>
              <w:rPr>
                <w:sz w:val="1"/>
                <w:szCs w:val="1"/>
                <w:color w:val="auto"/>
              </w:rPr>
            </w:pPr>
          </w:p>
        </w:tc>
      </w:tr>
      <w:tr>
        <w:trPr>
          <w:trHeight w:val="39"/>
        </w:trPr>
        <w:tc>
          <w:tcPr>
            <w:tcW w:w="504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captive production, risks of capacity und rutilization, quality issues, availability of raw</w:t>
            </w:r>
          </w:p>
        </w:tc>
        <w:tc>
          <w:tcPr>
            <w:tcW w:w="6180" w:type="dxa"/>
            <w:vAlign w:val="bottom"/>
          </w:tcPr>
          <w:p>
            <w:pPr>
              <w:jc w:val="right"/>
              <w:ind w:right="536"/>
              <w:spacing w:after="0" w:line="40" w:lineRule="exact"/>
              <w:rPr>
                <w:sz w:val="20"/>
                <w:szCs w:val="20"/>
                <w:color w:val="auto"/>
              </w:rPr>
            </w:pPr>
            <w:r>
              <w:rPr>
                <w:rFonts w:ascii="Times New Roman" w:cs="Times New Roman" w:eastAsia="Times New Roman" w:hAnsi="Times New Roman"/>
                <w:sz w:val="4"/>
                <w:szCs w:val="4"/>
                <w:color w:val="FFFFFF"/>
              </w:rPr>
              <w:t>currency and other risks associated with international trade, the Company’s dependence on certain major</w:t>
            </w:r>
          </w:p>
        </w:tc>
        <w:tc>
          <w:tcPr>
            <w:tcW w:w="0" w:type="dxa"/>
            <w:vAlign w:val="bottom"/>
          </w:tcPr>
          <w:p>
            <w:pPr>
              <w:spacing w:after="0" w:line="20" w:lineRule="exact"/>
              <w:rPr>
                <w:sz w:val="1"/>
                <w:szCs w:val="1"/>
                <w:color w:val="auto"/>
              </w:rPr>
            </w:pPr>
          </w:p>
        </w:tc>
      </w:tr>
      <w:tr>
        <w:trPr>
          <w:trHeight w:val="0"/>
        </w:trPr>
        <w:tc>
          <w:tcPr>
            <w:tcW w:w="1420" w:type="dxa"/>
            <w:vAlign w:val="bottom"/>
          </w:tcPr>
          <w:p>
            <w:pPr>
              <w:spacing w:after="0" w:line="78" w:lineRule="exact"/>
              <w:rPr>
                <w:sz w:val="20"/>
                <w:szCs w:val="20"/>
                <w:color w:val="auto"/>
              </w:rPr>
            </w:pPr>
            <w:r>
              <w:rPr>
                <w:rFonts w:ascii="Times New Roman" w:cs="Times New Roman" w:eastAsia="Times New Roman" w:hAnsi="Times New Roman"/>
                <w:sz w:val="8"/>
                <w:szCs w:val="8"/>
                <w:color w:val="FFFFFF"/>
              </w:rPr>
              <w:t>and other risk factors and</w:t>
            </w:r>
          </w:p>
        </w:tc>
        <w:tc>
          <w:tcPr>
            <w:tcW w:w="9800" w:type="dxa"/>
            <w:vAlign w:val="bottom"/>
            <w:gridSpan w:val="2"/>
          </w:tcPr>
          <w:p>
            <w:pPr>
              <w:jc w:val="right"/>
              <w:spacing w:after="0" w:line="78" w:lineRule="exact"/>
              <w:rPr>
                <w:sz w:val="20"/>
                <w:szCs w:val="20"/>
                <w:color w:val="auto"/>
              </w:rPr>
            </w:pPr>
            <w:r>
              <w:rPr>
                <w:rFonts w:ascii="Times New Roman" w:cs="Times New Roman" w:eastAsia="Times New Roman" w:hAnsi="Times New Roman"/>
                <w:sz w:val="8"/>
                <w:szCs w:val="8"/>
                <w:color w:val="FFFFFF"/>
              </w:rPr>
              <w:t>utionary statements listed from time to time in the Company’materials,periodic reports filed with the Securities and Exchange Commission, including, but not limited to, the Company’customers,Annual</w:t>
            </w:r>
          </w:p>
        </w:tc>
        <w:tc>
          <w:tcPr>
            <w:tcW w:w="0" w:type="dxa"/>
            <w:vAlign w:val="bottom"/>
          </w:tcPr>
          <w:p>
            <w:pPr>
              <w:spacing w:after="0" w:line="20" w:lineRule="exact"/>
              <w:rPr>
                <w:sz w:val="1"/>
                <w:szCs w:val="1"/>
                <w:color w:val="auto"/>
              </w:rPr>
            </w:pPr>
          </w:p>
        </w:tc>
      </w:tr>
    </w:tbl>
    <w:p>
      <w:pPr>
        <w:spacing w:after="0" w:line="24" w:lineRule="auto"/>
        <w:rPr>
          <w:sz w:val="20"/>
          <w:szCs w:val="20"/>
          <w:color w:val="auto"/>
        </w:rPr>
      </w:pPr>
      <w:r>
        <w:rPr>
          <w:rFonts w:ascii="Times New Roman" w:cs="Times New Roman" w:eastAsia="Times New Roman" w:hAnsi="Times New Roman"/>
          <w:sz w:val="1"/>
          <w:szCs w:val="1"/>
          <w:color w:val="FFFFFF"/>
        </w:rPr>
        <w:t>Report on 10-K for the fiscal year ended December 31, 2013.</w:t>
      </w:r>
    </w:p>
    <w:p>
      <w:pPr>
        <w:ind w:right="100"/>
        <w:spacing w:after="0" w:line="182" w:lineRule="auto"/>
        <w:rPr>
          <w:sz w:val="20"/>
          <w:szCs w:val="20"/>
          <w:color w:val="auto"/>
        </w:rPr>
      </w:pPr>
      <w:r>
        <w:rPr>
          <w:rFonts w:ascii="Times New Roman" w:cs="Times New Roman" w:eastAsia="Times New Roman" w:hAnsi="Times New Roman"/>
          <w:sz w:val="9"/>
          <w:szCs w:val="9"/>
          <w:color w:val="FFFFFF"/>
        </w:rPr>
        <w:t>Disclaimer: NN disclaims any obligation to update any such factors or to publicly announce the result of any revisions to any of the forward-looking statements included herein or therein to reflect future events or developments.</w:t>
      </w:r>
    </w:p>
    <w:p>
      <w:pPr>
        <w:spacing w:after="0"/>
        <w:rPr>
          <w:sz w:val="20"/>
          <w:szCs w:val="20"/>
          <w:color w:val="auto"/>
        </w:rPr>
      </w:pPr>
      <w:r>
        <w:rPr>
          <w:rFonts w:ascii="Times New Roman" w:cs="Times New Roman" w:eastAsia="Times New Roman" w:hAnsi="Times New Roman"/>
          <w:sz w:val="13"/>
          <w:szCs w:val="13"/>
          <w:color w:val="FFFFFF"/>
        </w:rPr>
        <w:t>3</w:t>
      </w:r>
    </w:p>
    <w:p>
      <w:pPr>
        <w:sectPr>
          <w:pgSz w:w="11900" w:h="16838" w:orient="portrait"/>
          <w:cols w:equalWidth="0" w:num="1">
            <w:col w:w="11220"/>
          </w:cols>
          <w:pgMar w:left="240" w:top="1440" w:right="4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New York Investor Day 2015</w:t>
      </w:r>
    </w:p>
    <w:p>
      <w:pPr>
        <w:spacing w:after="0" w:line="204" w:lineRule="auto"/>
        <w:rPr>
          <w:sz w:val="20"/>
          <w:szCs w:val="20"/>
          <w:color w:val="auto"/>
        </w:rPr>
      </w:pPr>
      <w:r>
        <w:rPr>
          <w:rFonts w:ascii="Times New Roman" w:cs="Times New Roman" w:eastAsia="Times New Roman" w:hAnsi="Times New Roman"/>
          <w:sz w:val="4"/>
          <w:szCs w:val="4"/>
          <w:color w:val="FFFFFF"/>
        </w:rPr>
        <w:t>Richard D. Holder</w:t>
      </w:r>
    </w:p>
    <w:p>
      <w:pPr>
        <w:spacing w:after="0" w:line="205" w:lineRule="auto"/>
        <w:rPr>
          <w:sz w:val="20"/>
          <w:szCs w:val="20"/>
          <w:color w:val="auto"/>
        </w:rPr>
      </w:pPr>
      <w:r>
        <w:rPr>
          <w:rFonts w:ascii="Times New Roman" w:cs="Times New Roman" w:eastAsia="Times New Roman" w:hAnsi="Times New Roman"/>
          <w:sz w:val="4"/>
          <w:szCs w:val="4"/>
          <w:color w:val="FFFFFF"/>
        </w:rPr>
        <w:t>President &amp; CEO</w:t>
      </w:r>
    </w:p>
    <w:p>
      <w:pPr>
        <w:spacing w:after="0" w:line="205" w:lineRule="auto"/>
        <w:rPr>
          <w:sz w:val="20"/>
          <w:szCs w:val="20"/>
          <w:color w:val="auto"/>
        </w:rPr>
      </w:pPr>
      <w:r>
        <w:rPr>
          <w:rFonts w:ascii="Times New Roman" w:cs="Times New Roman" w:eastAsia="Times New Roman" w:hAnsi="Times New Roman"/>
          <w:sz w:val="4"/>
          <w:szCs w:val="4"/>
          <w:color w:val="FFFFFF"/>
        </w:rPr>
        <w:t>Highly successful history of growing profitable organizations by acquisition, organic growth, and adjacent market growth</w:t>
      </w:r>
    </w:p>
    <w:p>
      <w:pPr>
        <w:ind w:right="2179"/>
        <w:spacing w:after="0"/>
        <w:rPr>
          <w:sz w:val="20"/>
          <w:szCs w:val="20"/>
          <w:color w:val="auto"/>
        </w:rPr>
      </w:pPr>
      <w:r>
        <w:rPr>
          <w:rFonts w:ascii="Times New Roman" w:cs="Times New Roman" w:eastAsia="Times New Roman" w:hAnsi="Times New Roman"/>
          <w:sz w:val="7"/>
          <w:szCs w:val="7"/>
          <w:color w:val="FFFFFF"/>
        </w:rPr>
        <w:t xml:space="preserve">Joined NN from Eaton </w:t>
      </w:r>
      <w:r>
        <w:rPr>
          <w:rFonts w:ascii="Times New Roman" w:cs="Times New Roman" w:eastAsia="Times New Roman" w:hAnsi="Times New Roman"/>
          <w:sz w:val="10"/>
          <w:szCs w:val="10"/>
          <w:color w:val="FFFFFF"/>
          <w:vertAlign w:val="subscript"/>
        </w:rPr>
        <w:t>Corporation</w:t>
      </w:r>
      <w:r>
        <w:rPr>
          <w:rFonts w:ascii="Times New Roman" w:cs="Times New Roman" w:eastAsia="Times New Roman" w:hAnsi="Times New Roman"/>
          <w:sz w:val="7"/>
          <w:szCs w:val="7"/>
          <w:color w:val="FFFFFF"/>
        </w:rPr>
        <w:t xml:space="preserve"> where he held several leadership positions, most recently serving as President of Eaton Electrical Components Group Held leadership positions US Airways, AlliedSignal and Parker Hannifin Corporation prior to joining Eaton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4Served 10 years in USMC</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AgendaNN:Diversified Industrial</w:t>
      </w:r>
    </w:p>
    <w:p>
      <w:pPr>
        <w:spacing w:after="0" w:line="204" w:lineRule="auto"/>
        <w:rPr>
          <w:sz w:val="20"/>
          <w:szCs w:val="20"/>
          <w:color w:val="auto"/>
        </w:rPr>
      </w:pPr>
      <w:r>
        <w:rPr>
          <w:rFonts w:ascii="Times New Roman" w:cs="Times New Roman" w:eastAsia="Times New Roman" w:hAnsi="Times New Roman"/>
          <w:sz w:val="4"/>
          <w:szCs w:val="4"/>
          <w:color w:val="FFFFFF"/>
        </w:rPr>
        <w:t>Company Overview</w:t>
      </w:r>
    </w:p>
    <w:p>
      <w:pPr>
        <w:spacing w:after="0" w:line="205" w:lineRule="auto"/>
        <w:rPr>
          <w:sz w:val="20"/>
          <w:szCs w:val="20"/>
          <w:color w:val="auto"/>
        </w:rPr>
      </w:pPr>
      <w:r>
        <w:rPr>
          <w:rFonts w:ascii="Times New Roman" w:cs="Times New Roman" w:eastAsia="Times New Roman" w:hAnsi="Times New Roman"/>
          <w:sz w:val="4"/>
          <w:szCs w:val="4"/>
          <w:color w:val="FFFFFF"/>
        </w:rPr>
        <w:t>Strategic Plan Update</w:t>
      </w:r>
    </w:p>
    <w:p>
      <w:pPr>
        <w:spacing w:after="0" w:line="205" w:lineRule="auto"/>
        <w:rPr>
          <w:sz w:val="20"/>
          <w:szCs w:val="20"/>
          <w:color w:val="auto"/>
        </w:rPr>
      </w:pPr>
      <w:r>
        <w:rPr>
          <w:rFonts w:ascii="Times New Roman" w:cs="Times New Roman" w:eastAsia="Times New Roman" w:hAnsi="Times New Roman"/>
          <w:sz w:val="4"/>
          <w:szCs w:val="4"/>
          <w:color w:val="FFFFFF"/>
        </w:rPr>
        <w:t>Financials / Market Outlook</w:t>
      </w:r>
    </w:p>
    <w:p>
      <w:pPr>
        <w:spacing w:after="0" w:line="205" w:lineRule="auto"/>
        <w:rPr>
          <w:sz w:val="20"/>
          <w:szCs w:val="20"/>
          <w:color w:val="auto"/>
        </w:rPr>
      </w:pPr>
      <w:r>
        <w:rPr>
          <w:rFonts w:ascii="Times New Roman" w:cs="Times New Roman" w:eastAsia="Times New Roman" w:hAnsi="Times New Roman"/>
          <w:sz w:val="4"/>
          <w:szCs w:val="4"/>
          <w:color w:val="FFFFFF"/>
        </w:rPr>
        <w:t>Group Presentations</w:t>
      </w:r>
    </w:p>
    <w:p>
      <w:pPr>
        <w:spacing w:after="0" w:line="205" w:lineRule="auto"/>
        <w:rPr>
          <w:sz w:val="20"/>
          <w:szCs w:val="20"/>
          <w:color w:val="auto"/>
        </w:rPr>
      </w:pPr>
      <w:r>
        <w:rPr>
          <w:rFonts w:ascii="Times New Roman" w:cs="Times New Roman" w:eastAsia="Times New Roman" w:hAnsi="Times New Roman"/>
          <w:sz w:val="4"/>
          <w:szCs w:val="4"/>
          <w:color w:val="FFFFFF"/>
        </w:rPr>
        <w:t>Autocam Precision Components (APC) Group</w:t>
      </w:r>
    </w:p>
    <w:p>
      <w:pPr>
        <w:spacing w:after="0" w:line="205" w:lineRule="auto"/>
        <w:rPr>
          <w:sz w:val="20"/>
          <w:szCs w:val="20"/>
          <w:color w:val="auto"/>
        </w:rPr>
      </w:pPr>
      <w:r>
        <w:rPr>
          <w:rFonts w:ascii="Times New Roman" w:cs="Times New Roman" w:eastAsia="Times New Roman" w:hAnsi="Times New Roman"/>
          <w:sz w:val="4"/>
          <w:szCs w:val="4"/>
          <w:color w:val="FFFFFF"/>
        </w:rPr>
        <w:t>Metal Bearing Components (MBC) Group</w:t>
      </w:r>
    </w:p>
    <w:p>
      <w:pPr>
        <w:spacing w:after="0" w:line="205" w:lineRule="auto"/>
        <w:rPr>
          <w:sz w:val="20"/>
          <w:szCs w:val="20"/>
          <w:color w:val="auto"/>
        </w:rPr>
      </w:pPr>
      <w:r>
        <w:rPr>
          <w:rFonts w:ascii="Times New Roman" w:cs="Times New Roman" w:eastAsia="Times New Roman" w:hAnsi="Times New Roman"/>
          <w:sz w:val="4"/>
          <w:szCs w:val="4"/>
          <w:color w:val="FFFFFF"/>
        </w:rPr>
        <w:t>Summary</w:t>
      </w:r>
    </w:p>
    <w:p>
      <w:pPr>
        <w:spacing w:after="0" w:line="182" w:lineRule="auto"/>
        <w:rPr>
          <w:sz w:val="20"/>
          <w:szCs w:val="20"/>
          <w:color w:val="auto"/>
        </w:rPr>
      </w:pPr>
      <w:r>
        <w:rPr>
          <w:rFonts w:ascii="Times New Roman" w:cs="Times New Roman" w:eastAsia="Times New Roman" w:hAnsi="Times New Roman"/>
          <w:sz w:val="9"/>
          <w:szCs w:val="9"/>
          <w:color w:val="FFFFFF"/>
        </w:rPr>
        <w:t>Question &amp; Answer Session</w:t>
      </w:r>
    </w:p>
    <w:p>
      <w:pPr>
        <w:spacing w:after="0"/>
        <w:rPr>
          <w:sz w:val="20"/>
          <w:szCs w:val="20"/>
          <w:color w:val="auto"/>
        </w:rPr>
      </w:pPr>
      <w:r>
        <w:rPr>
          <w:rFonts w:ascii="Times New Roman" w:cs="Times New Roman" w:eastAsia="Times New Roman" w:hAnsi="Times New Roman"/>
          <w:sz w:val="12"/>
          <w:szCs w:val="12"/>
          <w:color w:val="FFFFFF"/>
        </w:rPr>
        <w:t>5New Company, No Limits, Endless Opportunities, Growth Beyond End Markets</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FFFFFF"/>
        </w:rPr>
        <w:t>6Building a Diversified Industrial</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FFFFFF"/>
        </w:rPr>
        <w:t>OutgrowingHallmarksofEndaSuccessfulMarkets Diversified Industrial</w:t>
      </w:r>
    </w:p>
    <w:p>
      <w:pPr>
        <w:spacing w:after="0" w:line="204" w:lineRule="auto"/>
        <w:rPr>
          <w:sz w:val="20"/>
          <w:szCs w:val="20"/>
          <w:color w:val="auto"/>
        </w:rPr>
      </w:pPr>
      <w:r>
        <w:rPr>
          <w:rFonts w:ascii="Times New Roman" w:cs="Times New Roman" w:eastAsia="Times New Roman" w:hAnsi="Times New Roman"/>
          <w:sz w:val="4"/>
          <w:szCs w:val="4"/>
          <w:color w:val="FFFFFF"/>
        </w:rPr>
        <w:t>Solid Strategy</w:t>
      </w:r>
    </w:p>
    <w:p>
      <w:pPr>
        <w:spacing w:after="0" w:line="205" w:lineRule="auto"/>
        <w:rPr>
          <w:sz w:val="20"/>
          <w:szCs w:val="20"/>
          <w:color w:val="auto"/>
        </w:rPr>
      </w:pPr>
      <w:r>
        <w:rPr>
          <w:rFonts w:ascii="Times New Roman" w:cs="Times New Roman" w:eastAsia="Times New Roman" w:hAnsi="Times New Roman"/>
          <w:sz w:val="2"/>
          <w:szCs w:val="2"/>
          <w:color w:val="FFFFFF"/>
        </w:rPr>
        <w:t>Transformational T</w:t>
      </w:r>
      <w:r>
        <w:rPr>
          <w:rFonts w:ascii="Times New Roman" w:cs="Times New Roman" w:eastAsia="Times New Roman" w:hAnsi="Times New Roman"/>
          <w:sz w:val="4"/>
          <w:szCs w:val="4"/>
          <w:color w:val="FFFFFF"/>
          <w:vertAlign w:val="subscript"/>
        </w:rPr>
        <w:t>echnology</w:t>
      </w:r>
    </w:p>
    <w:p>
      <w:pPr>
        <w:spacing w:after="0" w:line="205" w:lineRule="auto"/>
        <w:rPr>
          <w:sz w:val="20"/>
          <w:szCs w:val="20"/>
          <w:color w:val="auto"/>
        </w:rPr>
      </w:pPr>
      <w:r>
        <w:rPr>
          <w:rFonts w:ascii="Times New Roman" w:cs="Times New Roman" w:eastAsia="Times New Roman" w:hAnsi="Times New Roman"/>
          <w:sz w:val="4"/>
          <w:szCs w:val="4"/>
          <w:color w:val="FFFFFF"/>
        </w:rPr>
        <w:t>Flawless Execution T</w:t>
      </w:r>
    </w:p>
    <w:p>
      <w:pPr>
        <w:spacing w:after="0"/>
        <w:rPr>
          <w:sz w:val="20"/>
          <w:szCs w:val="20"/>
          <w:color w:val="auto"/>
        </w:rPr>
      </w:pPr>
      <w:r>
        <w:rPr>
          <w:rFonts w:ascii="Times New Roman" w:cs="Times New Roman" w:eastAsia="Times New Roman" w:hAnsi="Times New Roman"/>
          <w:sz w:val="13"/>
          <w:szCs w:val="13"/>
          <w:color w:val="FFFFFF"/>
        </w:rPr>
        <w:t>7</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3"/>
          <w:szCs w:val="13"/>
          <w:color w:val="FFFFFF"/>
        </w:rPr>
        <w:t>Building</w:t>
        <w:tab/>
        <w:t>Diversified Industrial</w:t>
      </w:r>
    </w:p>
    <w:p>
      <w:pPr>
        <w:spacing w:after="0" w:line="182" w:lineRule="auto"/>
        <w:tabs>
          <w:tab w:leader="none" w:pos="580" w:val="left"/>
        </w:tabs>
        <w:rPr>
          <w:sz w:val="20"/>
          <w:szCs w:val="20"/>
          <w:color w:val="auto"/>
        </w:rPr>
      </w:pPr>
      <w:r>
        <w:rPr>
          <w:rFonts w:ascii="Times New Roman" w:cs="Times New Roman" w:eastAsia="Times New Roman" w:hAnsi="Times New Roman"/>
          <w:sz w:val="9"/>
          <w:szCs w:val="9"/>
          <w:color w:val="FFFFFF"/>
        </w:rPr>
        <w:t>FocusOur on</w:t>
        <w:tab/>
        <w:t>high… precision portfolio and outgrowing end markets</w:t>
      </w:r>
    </w:p>
    <w:p>
      <w:pPr>
        <w:ind w:left="240"/>
        <w:spacing w:after="0"/>
        <w:rPr>
          <w:sz w:val="20"/>
          <w:szCs w:val="20"/>
          <w:color w:val="auto"/>
        </w:rPr>
      </w:pPr>
      <w:r>
        <w:rPr>
          <w:rFonts w:ascii="Times New Roman" w:cs="Times New Roman" w:eastAsia="Times New Roman" w:hAnsi="Times New Roman"/>
          <w:sz w:val="13"/>
          <w:szCs w:val="13"/>
          <w:color w:val="FFFFFF"/>
        </w:rPr>
        <w:t>Strategy</w:t>
      </w:r>
    </w:p>
    <w:p>
      <w:pPr>
        <w:spacing w:after="0" w:line="199" w:lineRule="auto"/>
        <w:rPr>
          <w:sz w:val="20"/>
          <w:szCs w:val="20"/>
          <w:color w:val="auto"/>
        </w:rPr>
      </w:pPr>
      <w:r>
        <w:rPr>
          <w:rFonts w:ascii="Times New Roman" w:cs="Times New Roman" w:eastAsia="Times New Roman" w:hAnsi="Times New Roman"/>
          <w:sz w:val="9"/>
          <w:szCs w:val="9"/>
          <w:color w:val="FFFFFF"/>
        </w:rPr>
        <w:t>InvestBuild inbalancedanddevelopbusinesstransformationalthatearnsthroughtechnologythecycle</w:t>
      </w:r>
    </w:p>
    <w:p>
      <w:pPr>
        <w:spacing w:after="0"/>
        <w:rPr>
          <w:sz w:val="20"/>
          <w:szCs w:val="20"/>
          <w:color w:val="auto"/>
        </w:rPr>
      </w:pPr>
      <w:r>
        <w:rPr>
          <w:rFonts w:ascii="Times New Roman" w:cs="Times New Roman" w:eastAsia="Times New Roman" w:hAnsi="Times New Roman"/>
          <w:sz w:val="12"/>
          <w:szCs w:val="12"/>
          <w:color w:val="FFFFFF"/>
        </w:rPr>
        <w:t>8Develop a fully integrated operating system that supports all of our businesses</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FFFFFF"/>
              </w:rPr>
              <w:t>Building  Diversified Industrial</w:t>
            </w:r>
          </w:p>
        </w:tc>
      </w:tr>
      <w:tr>
        <w:trPr>
          <w:trHeight w:val="39"/>
        </w:trPr>
        <w:tc>
          <w:tcPr>
            <w:tcW w:w="29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We have made significant progress against other DIs…</w:t>
            </w:r>
          </w:p>
        </w:tc>
      </w:tr>
      <w:tr>
        <w:trPr>
          <w:trHeight w:val="39"/>
        </w:trPr>
        <w:tc>
          <w:tcPr>
            <w:tcW w:w="29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Rank among comparable S/Mid-Cap DIs</w:t>
            </w:r>
          </w:p>
        </w:tc>
      </w:tr>
      <w:tr>
        <w:trPr>
          <w:trHeight w:val="39"/>
        </w:trPr>
        <w:tc>
          <w:tcPr>
            <w:tcW w:w="29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Metric Rank</w:t>
            </w:r>
          </w:p>
        </w:tc>
      </w:tr>
      <w:tr>
        <w:trPr>
          <w:trHeight w:val="39"/>
        </w:trPr>
        <w:tc>
          <w:tcPr>
            <w:tcW w:w="29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2012—13 2013—14</w:t>
            </w:r>
          </w:p>
        </w:tc>
      </w:tr>
      <w:tr>
        <w:trPr>
          <w:trHeight w:val="39"/>
        </w:trPr>
        <w:tc>
          <w:tcPr>
            <w:tcW w:w="29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Sales Growth 8 1 +7</w:t>
            </w:r>
          </w:p>
        </w:tc>
      </w:tr>
      <w:tr>
        <w:trPr>
          <w:trHeight w:val="39"/>
        </w:trPr>
        <w:tc>
          <w:tcPr>
            <w:tcW w:w="29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Adjusted Operating Margin</w:t>
            </w:r>
          </w:p>
        </w:tc>
      </w:tr>
      <w:tr>
        <w:trPr>
          <w:trHeight w:val="0"/>
        </w:trPr>
        <w:tc>
          <w:tcPr>
            <w:tcW w:w="260" w:type="dxa"/>
            <w:vAlign w:val="bottom"/>
          </w:tcPr>
          <w:p>
            <w:pPr>
              <w:spacing w:after="0"/>
              <w:rPr>
                <w:sz w:val="20"/>
                <w:szCs w:val="20"/>
                <w:color w:val="auto"/>
              </w:rPr>
            </w:pPr>
            <w:r>
              <w:rPr>
                <w:rFonts w:ascii="Times New Roman" w:cs="Times New Roman" w:eastAsia="Times New Roman" w:hAnsi="Times New Roman"/>
                <w:sz w:val="2"/>
                <w:szCs w:val="2"/>
                <w:color w:val="FFFFFF"/>
              </w:rPr>
              <w:t>8</w:t>
            </w:r>
          </w:p>
        </w:tc>
        <w:tc>
          <w:tcPr>
            <w:tcW w:w="2640" w:type="dxa"/>
            <w:vAlign w:val="bottom"/>
          </w:tcPr>
          <w:p>
            <w:pPr>
              <w:jc w:val="right"/>
              <w:ind w:right="2209"/>
              <w:spacing w:after="0"/>
              <w:rPr>
                <w:sz w:val="20"/>
                <w:szCs w:val="20"/>
                <w:color w:val="auto"/>
              </w:rPr>
            </w:pPr>
            <w:r>
              <w:rPr>
                <w:rFonts w:ascii="Times New Roman" w:cs="Times New Roman" w:eastAsia="Times New Roman" w:hAnsi="Times New Roman"/>
                <w:sz w:val="2"/>
                <w:szCs w:val="2"/>
                <w:color w:val="FFFFFF"/>
              </w:rPr>
              <w:t>5 +3</w:t>
            </w:r>
          </w:p>
        </w:tc>
      </w:tr>
    </w:tbl>
    <w:p>
      <w:pPr>
        <w:spacing w:after="0" w:line="223" w:lineRule="auto"/>
        <w:rPr>
          <w:sz w:val="20"/>
          <w:szCs w:val="20"/>
          <w:color w:val="auto"/>
        </w:rPr>
      </w:pPr>
      <w:r>
        <w:rPr>
          <w:rFonts w:ascii="Times New Roman" w:cs="Times New Roman" w:eastAsia="Times New Roman" w:hAnsi="Times New Roman"/>
          <w:sz w:val="5"/>
          <w:szCs w:val="5"/>
          <w:color w:val="FFFFFF"/>
        </w:rPr>
        <w:t>Return on Equity 8 5 +3</w:t>
      </w:r>
    </w:p>
    <w:p>
      <w:pPr>
        <w:spacing w:after="0" w:line="205" w:lineRule="auto"/>
        <w:rPr>
          <w:sz w:val="20"/>
          <w:szCs w:val="20"/>
          <w:color w:val="auto"/>
        </w:rPr>
      </w:pPr>
      <w:r>
        <w:rPr>
          <w:rFonts w:ascii="Times New Roman" w:cs="Times New Roman" w:eastAsia="Times New Roman" w:hAnsi="Times New Roman"/>
          <w:sz w:val="4"/>
          <w:szCs w:val="4"/>
          <w:color w:val="FFFFFF"/>
        </w:rPr>
        <w:t>P/ETotalRatioReturn5610-1 1 +9</w:t>
      </w:r>
    </w:p>
    <w:p>
      <w:pPr>
        <w:spacing w:after="0" w:line="205" w:lineRule="auto"/>
        <w:rPr>
          <w:sz w:val="20"/>
          <w:szCs w:val="20"/>
          <w:color w:val="auto"/>
        </w:rPr>
      </w:pPr>
      <w:r>
        <w:rPr>
          <w:rFonts w:ascii="Times New Roman" w:cs="Times New Roman" w:eastAsia="Times New Roman" w:hAnsi="Times New Roman"/>
          <w:sz w:val="4"/>
          <w:szCs w:val="4"/>
          <w:color w:val="FFFFFF"/>
        </w:rPr>
        <w:t>but we remain undervalued to our peers</w:t>
      </w:r>
    </w:p>
    <w:p>
      <w:pPr>
        <w:spacing w:after="0" w:line="205" w:lineRule="auto"/>
        <w:rPr>
          <w:sz w:val="20"/>
          <w:szCs w:val="20"/>
          <w:color w:val="auto"/>
        </w:rPr>
      </w:pPr>
      <w:r>
        <w:rPr>
          <w:rFonts w:ascii="Times New Roman" w:cs="Times New Roman" w:eastAsia="Times New Roman" w:hAnsi="Times New Roman"/>
          <w:sz w:val="4"/>
          <w:szCs w:val="4"/>
          <w:color w:val="FFFFFF"/>
        </w:rPr>
        <w:t>Compared to 9 S/Mid Cap companies outlined on page 10</w:t>
      </w:r>
    </w:p>
    <w:p>
      <w:pPr>
        <w:ind w:right="3799"/>
        <w:spacing w:after="0"/>
        <w:rPr>
          <w:sz w:val="20"/>
          <w:szCs w:val="20"/>
          <w:color w:val="auto"/>
        </w:rPr>
      </w:pPr>
      <w:r>
        <w:rPr>
          <w:rFonts w:ascii="Times New Roman" w:cs="Times New Roman" w:eastAsia="Times New Roman" w:hAnsi="Times New Roman"/>
          <w:sz w:val="12"/>
          <w:szCs w:val="12"/>
          <w:color w:val="FFFFFF"/>
        </w:rPr>
        <w:t>Analysis was done on year over year, TTM, and 2 year TTM period or using 2014 estimates Source: Bloomberg Analytics 9</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Building</w:t>
      </w:r>
      <w:r>
        <w:rPr>
          <w:rFonts w:ascii="Times New Roman" w:cs="Times New Roman" w:eastAsia="Times New Roman" w:hAnsi="Times New Roman"/>
          <w:sz w:val="26"/>
          <w:szCs w:val="26"/>
          <w:color w:val="FFFFFF"/>
          <w:vertAlign w:val="superscript"/>
        </w:rPr>
        <w:t>year</w:t>
      </w:r>
      <w:r>
        <w:rPr>
          <w:rFonts w:ascii="Times New Roman" w:cs="Times New Roman" w:eastAsia="Times New Roman" w:hAnsi="Times New Roman"/>
          <w:sz w:val="13"/>
          <w:szCs w:val="13"/>
          <w:color w:val="FFFFFF"/>
        </w:rPr>
        <w:t>Diversified Industrial</w:t>
      </w:r>
    </w:p>
    <w:p>
      <w:pPr>
        <w:spacing w:after="0" w:line="191" w:lineRule="auto"/>
        <w:tabs>
          <w:tab w:leader="none" w:pos="680" w:val="left"/>
        </w:tabs>
        <w:rPr>
          <w:sz w:val="20"/>
          <w:szCs w:val="20"/>
          <w:color w:val="auto"/>
        </w:rPr>
      </w:pPr>
      <w:r>
        <w:rPr>
          <w:rFonts w:ascii="Times New Roman" w:cs="Times New Roman" w:eastAsia="Times New Roman" w:hAnsi="Times New Roman"/>
          <w:sz w:val="10"/>
          <w:szCs w:val="10"/>
          <w:color w:val="FFFFFF"/>
        </w:rPr>
        <w:t>146</w:t>
      </w:r>
      <w:r>
        <w:rPr>
          <w:sz w:val="20"/>
          <w:szCs w:val="20"/>
          <w:color w:val="auto"/>
        </w:rPr>
        <w:tab/>
      </w:r>
      <w:r>
        <w:rPr>
          <w:rFonts w:ascii="Times New Roman" w:cs="Times New Roman" w:eastAsia="Times New Roman" w:hAnsi="Times New Roman"/>
          <w:sz w:val="10"/>
          <w:szCs w:val="10"/>
          <w:color w:val="FFFFFF"/>
        </w:rPr>
        <w:t>into the Strategic Period</w:t>
      </w:r>
    </w:p>
    <w:p>
      <w:pPr>
        <w:ind w:left="80"/>
        <w:spacing w:after="0" w:line="205" w:lineRule="auto"/>
        <w:rPr>
          <w:sz w:val="20"/>
          <w:szCs w:val="20"/>
          <w:color w:val="auto"/>
        </w:rPr>
      </w:pPr>
      <w:r>
        <w:rPr>
          <w:rFonts w:ascii="Times New Roman" w:cs="Times New Roman" w:eastAsia="Times New Roman" w:hAnsi="Times New Roman"/>
          <w:sz w:val="4"/>
          <w:szCs w:val="4"/>
          <w:color w:val="FFFFFF"/>
        </w:rPr>
        <w:t>2</w:t>
      </w:r>
    </w:p>
    <w:p>
      <w:pPr>
        <w:spacing w:after="0" w:line="189" w:lineRule="auto"/>
        <w:rPr>
          <w:sz w:val="20"/>
          <w:szCs w:val="20"/>
          <w:color w:val="auto"/>
        </w:rPr>
      </w:pPr>
      <w:r>
        <w:rPr>
          <w:rFonts w:ascii="Times New Roman" w:cs="Times New Roman" w:eastAsia="Times New Roman" w:hAnsi="Times New Roman"/>
          <w:sz w:val="13"/>
          <w:szCs w:val="13"/>
          <w:color w:val="FFFFFF"/>
        </w:rPr>
        <w:t>10</w:t>
      </w:r>
    </w:p>
    <w:p>
      <w:pPr>
        <w:spacing w:after="0"/>
        <w:rPr>
          <w:sz w:val="20"/>
          <w:szCs w:val="20"/>
          <w:color w:val="auto"/>
        </w:rPr>
      </w:pPr>
      <w:r>
        <w:rPr>
          <w:rFonts w:ascii="Times New Roman" w:cs="Times New Roman" w:eastAsia="Times New Roman" w:hAnsi="Times New Roman"/>
          <w:sz w:val="13"/>
          <w:szCs w:val="13"/>
          <w:color w:val="FFFFFF"/>
        </w:rPr>
        <w:t>6EV/EBITDA 8</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0</w:t>
      </w:r>
    </w:p>
    <w:p>
      <w:pPr>
        <w:spacing w:after="0" w:line="182" w:lineRule="auto"/>
        <w:rPr>
          <w:sz w:val="20"/>
          <w:szCs w:val="20"/>
          <w:color w:val="auto"/>
        </w:rPr>
      </w:pPr>
      <w:r>
        <w:rPr>
          <w:rFonts w:ascii="Times New Roman" w:cs="Times New Roman" w:eastAsia="Times New Roman" w:hAnsi="Times New Roman"/>
          <w:sz w:val="9"/>
          <w:szCs w:val="9"/>
          <w:color w:val="FFFFFF"/>
        </w:rPr>
        <w:t>NNS/MidActuantCapDIsAltraPremiereAmetekParkDIsCircor</w:t>
      </w:r>
    </w:p>
    <w:p>
      <w:pPr>
        <w:ind w:left="1240"/>
        <w:spacing w:after="0" w:line="1" w:lineRule="auto"/>
        <w:tabs>
          <w:tab w:leader="none" w:pos="1220" w:val="left"/>
        </w:tabs>
        <w:rPr>
          <w:sz w:val="20"/>
          <w:szCs w:val="20"/>
          <w:color w:val="auto"/>
        </w:rPr>
      </w:pPr>
      <w:r>
        <w:rPr>
          <w:rFonts w:ascii="Times New Roman" w:cs="Times New Roman" w:eastAsia="Times New Roman" w:hAnsi="Times New Roman"/>
          <w:sz w:val="1"/>
          <w:szCs w:val="1"/>
          <w:color w:val="FFFFFF"/>
        </w:rPr>
        <w:t>EatonColfaxITWCrane Kaman</w:t>
      </w:r>
      <w:r>
        <w:rPr>
          <w:sz w:val="20"/>
          <w:szCs w:val="20"/>
          <w:color w:val="auto"/>
        </w:rPr>
        <w:tab/>
      </w:r>
      <w:r>
        <w:rPr>
          <w:rFonts w:ascii="Times New Roman" w:cs="Times New Roman" w:eastAsia="Times New Roman" w:hAnsi="Times New Roman"/>
          <w:sz w:val="1"/>
          <w:szCs w:val="1"/>
          <w:color w:val="FFFFFF"/>
        </w:rPr>
        <w:t>DanaherOhio Worthington</w:t>
      </w:r>
    </w:p>
    <w:p>
      <w:pPr>
        <w:ind w:left="620"/>
        <w:spacing w:after="0" w:line="182" w:lineRule="auto"/>
        <w:rPr>
          <w:sz w:val="20"/>
          <w:szCs w:val="20"/>
          <w:color w:val="auto"/>
        </w:rPr>
      </w:pPr>
      <w:r>
        <w:rPr>
          <w:rFonts w:ascii="Times New Roman" w:cs="Times New Roman" w:eastAsia="Times New Roman" w:hAnsi="Times New Roman"/>
          <w:sz w:val="9"/>
          <w:szCs w:val="9"/>
          <w:color w:val="FFFFFF"/>
        </w:rPr>
        <w:t>Honeywell</w:t>
      </w:r>
    </w:p>
    <w:p>
      <w:pPr>
        <w:spacing w:after="0" w:line="188" w:lineRule="auto"/>
        <w:tabs>
          <w:tab w:leader="none" w:pos="1180" w:val="left"/>
        </w:tabs>
        <w:rPr>
          <w:sz w:val="20"/>
          <w:szCs w:val="20"/>
          <w:color w:val="auto"/>
        </w:rPr>
      </w:pPr>
      <w:r>
        <w:rPr>
          <w:rFonts w:ascii="Times New Roman" w:cs="Times New Roman" w:eastAsia="Times New Roman" w:hAnsi="Times New Roman"/>
          <w:sz w:val="13"/>
          <w:szCs w:val="13"/>
          <w:color w:val="FFFFFF"/>
        </w:rPr>
        <w:t>10NN multiple based</w:t>
        <w:tab/>
        <w:t>midpoint of 2015 EBITDA Guidance Source: Bloomberg Analytics</w:t>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FFFFFF"/>
        </w:rPr>
        <w:t>11Company Overview</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Corporate Organization</w:t>
      </w:r>
    </w:p>
    <w:p>
      <w:pPr>
        <w:spacing w:after="0" w:line="204" w:lineRule="auto"/>
        <w:rPr>
          <w:sz w:val="20"/>
          <w:szCs w:val="20"/>
          <w:color w:val="auto"/>
        </w:rPr>
      </w:pPr>
      <w:r>
        <w:rPr>
          <w:rFonts w:ascii="Times New Roman" w:cs="Times New Roman" w:eastAsia="Times New Roman" w:hAnsi="Times New Roman"/>
          <w:sz w:val="4"/>
          <w:szCs w:val="4"/>
          <w:color w:val="FFFFFF"/>
        </w:rPr>
        <w:t>President &amp; CEO</w:t>
      </w:r>
    </w:p>
    <w:p>
      <w:pPr>
        <w:spacing w:after="0" w:line="205" w:lineRule="auto"/>
        <w:rPr>
          <w:sz w:val="20"/>
          <w:szCs w:val="20"/>
          <w:color w:val="auto"/>
        </w:rPr>
      </w:pPr>
      <w:r>
        <w:rPr>
          <w:rFonts w:ascii="Times New Roman" w:cs="Times New Roman" w:eastAsia="Times New Roman" w:hAnsi="Times New Roman"/>
          <w:sz w:val="4"/>
          <w:szCs w:val="4"/>
          <w:color w:val="FFFFFF"/>
        </w:rPr>
        <w:t>Richard Holder</w:t>
      </w:r>
    </w:p>
    <w:p>
      <w:pPr>
        <w:ind w:right="2559"/>
        <w:spacing w:after="0"/>
        <w:rPr>
          <w:sz w:val="20"/>
          <w:szCs w:val="20"/>
          <w:color w:val="auto"/>
        </w:rPr>
      </w:pPr>
      <w:r>
        <w:rPr>
          <w:rFonts w:ascii="Times New Roman" w:cs="Times New Roman" w:eastAsia="Times New Roman" w:hAnsi="Times New Roman"/>
          <w:sz w:val="10"/>
          <w:szCs w:val="10"/>
          <w:color w:val="FFFFFF"/>
        </w:rPr>
        <w:t>James Dorton, CFO William Kelly, CCO Thomas Burwell, Controller Gail Nixon, VP HR Robbie Atkinson, Treasurer &amp; IR Scott Weinstein, CIO Corporate Integration &amp; Transformation</w:t>
      </w:r>
    </w:p>
    <w:p>
      <w:pPr>
        <w:spacing w:after="0" w:line="219" w:lineRule="auto"/>
        <w:rPr>
          <w:sz w:val="20"/>
          <w:szCs w:val="20"/>
          <w:color w:val="auto"/>
        </w:rPr>
      </w:pPr>
      <w:r>
        <w:rPr>
          <w:rFonts w:ascii="Times New Roman" w:cs="Times New Roman" w:eastAsia="Times New Roman" w:hAnsi="Times New Roman"/>
          <w:sz w:val="4"/>
          <w:szCs w:val="4"/>
          <w:color w:val="FFFFFF"/>
        </w:rPr>
        <w:t>MetalJames BearingWiddersComponentsDanielBrown Angel Calderon</w:t>
      </w:r>
    </w:p>
    <w:p>
      <w:pPr>
        <w:spacing w:after="0" w:line="182" w:lineRule="auto"/>
        <w:rPr>
          <w:sz w:val="20"/>
          <w:szCs w:val="20"/>
          <w:color w:val="auto"/>
        </w:rPr>
      </w:pPr>
      <w:r>
        <w:rPr>
          <w:rFonts w:ascii="Times New Roman" w:cs="Times New Roman" w:eastAsia="Times New Roman" w:hAnsi="Times New Roman"/>
          <w:sz w:val="9"/>
          <w:szCs w:val="9"/>
          <w:color w:val="FFFFFF"/>
        </w:rPr>
        <w:t>Jeffrey Manzagol</w:t>
      </w:r>
    </w:p>
    <w:p>
      <w:pPr>
        <w:spacing w:after="0" w:line="182" w:lineRule="auto"/>
        <w:rPr>
          <w:sz w:val="20"/>
          <w:szCs w:val="20"/>
          <w:color w:val="auto"/>
        </w:rPr>
      </w:pPr>
      <w:r>
        <w:rPr>
          <w:rFonts w:ascii="Times New Roman" w:cs="Times New Roman" w:eastAsia="Times New Roman" w:hAnsi="Times New Roman"/>
          <w:sz w:val="9"/>
          <w:szCs w:val="9"/>
          <w:color w:val="FFFFFF"/>
        </w:rPr>
        <w:t>WarrenAutocamVeltmanPrecision Components</w:t>
      </w:r>
    </w:p>
    <w:p>
      <w:pPr>
        <w:spacing w:after="0" w:line="183" w:lineRule="auto"/>
        <w:rPr>
          <w:sz w:val="20"/>
          <w:szCs w:val="20"/>
          <w:color w:val="auto"/>
        </w:rPr>
      </w:pPr>
      <w:r>
        <w:rPr>
          <w:rFonts w:ascii="Times New Roman" w:cs="Times New Roman" w:eastAsia="Times New Roman" w:hAnsi="Times New Roman"/>
          <w:sz w:val="9"/>
          <w:szCs w:val="9"/>
          <w:color w:val="FFFFFF"/>
        </w:rPr>
        <w:t>EvelisePlastic&amp;FaroRubber Components</w:t>
      </w:r>
    </w:p>
    <w:p>
      <w:pPr>
        <w:spacing w:after="0"/>
        <w:rPr>
          <w:sz w:val="20"/>
          <w:szCs w:val="20"/>
          <w:color w:val="auto"/>
        </w:rPr>
      </w:pPr>
      <w:r>
        <w:rPr>
          <w:rFonts w:ascii="Times New Roman" w:cs="Times New Roman" w:eastAsia="Times New Roman" w:hAnsi="Times New Roman"/>
          <w:sz w:val="13"/>
          <w:szCs w:val="13"/>
          <w:color w:val="FFFFFF"/>
        </w:rPr>
        <w:t>12Names in Yellow have joined within the last 15 months</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Value Proposition</w:t>
      </w:r>
    </w:p>
    <w:p>
      <w:pPr>
        <w:spacing w:after="0" w:line="204" w:lineRule="auto"/>
        <w:rPr>
          <w:sz w:val="20"/>
          <w:szCs w:val="20"/>
          <w:color w:val="auto"/>
        </w:rPr>
      </w:pPr>
      <w:r>
        <w:rPr>
          <w:rFonts w:ascii="Times New Roman" w:cs="Times New Roman" w:eastAsia="Times New Roman" w:hAnsi="Times New Roman"/>
          <w:sz w:val="4"/>
          <w:szCs w:val="4"/>
          <w:color w:val="FFFFFF"/>
        </w:rPr>
        <w:t>TotalAbilityproducttomanufacturelifecycle precision products with ultra tight tolerances in high volume</w:t>
      </w:r>
    </w:p>
    <w:p>
      <w:pPr>
        <w:spacing w:after="0" w:line="182" w:lineRule="auto"/>
        <w:rPr>
          <w:sz w:val="20"/>
          <w:szCs w:val="20"/>
          <w:color w:val="auto"/>
        </w:rPr>
      </w:pPr>
      <w:r>
        <w:rPr>
          <w:rFonts w:ascii="Times New Roman" w:cs="Times New Roman" w:eastAsia="Times New Roman" w:hAnsi="Times New Roman"/>
          <w:sz w:val="9"/>
          <w:szCs w:val="9"/>
          <w:color w:val="FFFFFF"/>
        </w:rPr>
        <w:t>Established global footprint</w:t>
      </w:r>
    </w:p>
    <w:p>
      <w:pPr>
        <w:spacing w:after="0" w:line="205" w:lineRule="auto"/>
        <w:rPr>
          <w:sz w:val="20"/>
          <w:szCs w:val="20"/>
          <w:color w:val="auto"/>
        </w:rPr>
      </w:pPr>
      <w:r>
        <w:rPr>
          <w:rFonts w:ascii="Times New Roman" w:cs="Times New Roman" w:eastAsia="Times New Roman" w:hAnsi="Times New Roman"/>
          <w:sz w:val="8"/>
          <w:szCs w:val="8"/>
          <w:color w:val="FFFFFF"/>
        </w:rPr>
        <w:t>SignificantHighlyspecializedproprietaryskillknowledgeandengineeringandtradeinbearingsecrets components and precision machining</w:t>
      </w:r>
    </w:p>
    <w:p>
      <w:pPr>
        <w:spacing w:after="0"/>
        <w:rPr>
          <w:sz w:val="20"/>
          <w:szCs w:val="20"/>
          <w:color w:val="auto"/>
        </w:rPr>
      </w:pPr>
      <w:r>
        <w:rPr>
          <w:rFonts w:ascii="Times New Roman" w:cs="Times New Roman" w:eastAsia="Times New Roman" w:hAnsi="Times New Roman"/>
          <w:sz w:val="13"/>
          <w:szCs w:val="13"/>
          <w:color w:val="FFFFFF"/>
        </w:rPr>
        <w:t>13Leading manufacturer of high precision components</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FFFFFF"/>
          <w:vertAlign w:val="superscript"/>
        </w:rPr>
        <w:t>High</w:t>
      </w:r>
      <w:r>
        <w:rPr>
          <w:rFonts w:ascii="Times New Roman" w:cs="Times New Roman" w:eastAsia="Times New Roman" w:hAnsi="Times New Roman"/>
          <w:sz w:val="13"/>
          <w:szCs w:val="13"/>
          <w:color w:val="FFFFFF"/>
        </w:rPr>
        <w:t>Dfferentiation</w:t>
      </w:r>
    </w:p>
    <w:p>
      <w:pPr>
        <w:spacing w:after="0" w:line="204" w:lineRule="auto"/>
        <w:rPr>
          <w:sz w:val="20"/>
          <w:szCs w:val="20"/>
          <w:color w:val="auto"/>
        </w:rPr>
      </w:pPr>
      <w:r>
        <w:rPr>
          <w:rFonts w:ascii="Times New Roman" w:cs="Times New Roman" w:eastAsia="Times New Roman" w:hAnsi="Times New Roman"/>
          <w:sz w:val="4"/>
          <w:szCs w:val="4"/>
          <w:color w:val="FFFFFF"/>
        </w:rPr>
        <w:t>Operatingprecisiontolerancesmanufacturingof&lt;1micron</w:t>
      </w:r>
    </w:p>
    <w:p>
      <w:pPr>
        <w:ind w:right="4479"/>
        <w:spacing w:after="0" w:line="182" w:lineRule="auto"/>
        <w:rPr>
          <w:sz w:val="20"/>
          <w:szCs w:val="20"/>
          <w:color w:val="auto"/>
        </w:rPr>
      </w:pPr>
      <w:r>
        <w:rPr>
          <w:rFonts w:ascii="Times New Roman" w:cs="Times New Roman" w:eastAsia="Times New Roman" w:hAnsi="Times New Roman"/>
          <w:sz w:val="9"/>
          <w:szCs w:val="9"/>
          <w:color w:val="FFFFFF"/>
        </w:rPr>
        <w:t>Specialty machine building and in-house tooling leading to significant competitive advantages – trade secrets Application specific customer design</w:t>
      </w:r>
    </w:p>
    <w:p>
      <w:pPr>
        <w:spacing w:after="0" w:line="182" w:lineRule="auto"/>
        <w:rPr>
          <w:sz w:val="20"/>
          <w:szCs w:val="20"/>
          <w:color w:val="auto"/>
        </w:rPr>
      </w:pPr>
      <w:r>
        <w:rPr>
          <w:rFonts w:ascii="Times New Roman" w:cs="Times New Roman" w:eastAsia="Times New Roman" w:hAnsi="Times New Roman"/>
          <w:sz w:val="9"/>
          <w:szCs w:val="9"/>
          <w:color w:val="FFFFFF"/>
        </w:rPr>
        <w:t>Repeatable high volume global manufacturing in millions of parts per day</w:t>
      </w:r>
    </w:p>
    <w:p>
      <w:pPr>
        <w:spacing w:after="0"/>
        <w:rPr>
          <w:sz w:val="20"/>
          <w:szCs w:val="20"/>
          <w:color w:val="auto"/>
        </w:rPr>
      </w:pPr>
      <w:r>
        <w:rPr>
          <w:rFonts w:ascii="Times New Roman" w:cs="Times New Roman" w:eastAsia="Times New Roman" w:hAnsi="Times New Roman"/>
          <w:sz w:val="13"/>
          <w:szCs w:val="13"/>
          <w:color w:val="FFFFFF"/>
        </w:rPr>
        <w:t>14Zero defect process design, extendable to additional industry platforms</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Global Footprint</w:t>
      </w:r>
    </w:p>
    <w:p>
      <w:pPr>
        <w:ind w:left="80"/>
        <w:spacing w:after="0" w:line="204" w:lineRule="auto"/>
        <w:rPr>
          <w:sz w:val="20"/>
          <w:szCs w:val="20"/>
          <w:color w:val="auto"/>
        </w:rPr>
      </w:pPr>
      <w:r>
        <w:rPr>
          <w:rFonts w:ascii="Times New Roman" w:cs="Times New Roman" w:eastAsia="Times New Roman" w:hAnsi="Times New Roman"/>
          <w:sz w:val="4"/>
          <w:szCs w:val="4"/>
          <w:color w:val="FFFFFF"/>
        </w:rPr>
        <w:t>AutocamMetalBearingPrecisionComponentsComponents</w:t>
      </w:r>
    </w:p>
    <w:p>
      <w:pPr>
        <w:spacing w:after="0" w:line="205" w:lineRule="auto"/>
        <w:rPr>
          <w:sz w:val="20"/>
          <w:szCs w:val="20"/>
          <w:color w:val="auto"/>
        </w:rPr>
      </w:pPr>
      <w:r>
        <w:rPr>
          <w:rFonts w:ascii="Times New Roman" w:cs="Times New Roman" w:eastAsia="Times New Roman" w:hAnsi="Times New Roman"/>
          <w:sz w:val="4"/>
          <w:szCs w:val="4"/>
          <w:color w:val="FFFFFF"/>
          <w:vertAlign w:val="superscript"/>
        </w:rPr>
        <w:t>-</w:t>
      </w:r>
    </w:p>
    <w:p>
      <w:pPr>
        <w:ind w:left="80"/>
        <w:spacing w:after="0" w:line="205" w:lineRule="auto"/>
        <w:rPr>
          <w:sz w:val="20"/>
          <w:szCs w:val="20"/>
          <w:color w:val="auto"/>
        </w:rPr>
      </w:pPr>
      <w:r>
        <w:rPr>
          <w:rFonts w:ascii="Times New Roman" w:cs="Times New Roman" w:eastAsia="Times New Roman" w:hAnsi="Times New Roman"/>
          <w:sz w:val="4"/>
          <w:szCs w:val="4"/>
          <w:color w:val="FFFFFF"/>
        </w:rPr>
        <w:t>CorporatePlastic&amp;RubberHeadquartersComponents</w:t>
      </w:r>
    </w:p>
    <w:p>
      <w:pPr>
        <w:spacing w:after="0" w:line="186" w:lineRule="auto"/>
        <w:rPr>
          <w:sz w:val="20"/>
          <w:szCs w:val="20"/>
          <w:color w:val="auto"/>
        </w:rPr>
      </w:pPr>
      <w:r>
        <w:rPr>
          <w:rFonts w:ascii="Times New Roman" w:cs="Times New Roman" w:eastAsia="Times New Roman" w:hAnsi="Times New Roman"/>
          <w:sz w:val="12"/>
          <w:szCs w:val="12"/>
          <w:color w:val="FFFFFF"/>
        </w:rPr>
        <w:t>25</w:t>
      </w:r>
      <w:r>
        <w:rPr>
          <w:rFonts w:ascii="Times New Roman" w:cs="Times New Roman" w:eastAsia="Times New Roman" w:hAnsi="Times New Roman"/>
          <w:sz w:val="22"/>
          <w:szCs w:val="22"/>
          <w:color w:val="FFFFFF"/>
          <w:vertAlign w:val="subscript"/>
        </w:rPr>
        <w:t>15</w:t>
      </w:r>
      <w:r>
        <w:rPr>
          <w:rFonts w:ascii="Times New Roman" w:cs="Times New Roman" w:eastAsia="Times New Roman" w:hAnsi="Times New Roman"/>
          <w:sz w:val="12"/>
          <w:szCs w:val="12"/>
          <w:color w:val="FFFFFF"/>
        </w:rPr>
        <w:t xml:space="preserve"> high precision manufacturing facilities on 4 continents</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2014 Strategic Progress</w:t>
      </w:r>
    </w:p>
    <w:p>
      <w:pPr>
        <w:spacing w:after="0"/>
        <w:rPr>
          <w:sz w:val="20"/>
          <w:szCs w:val="20"/>
          <w:color w:val="auto"/>
        </w:rPr>
      </w:pPr>
      <w:r>
        <w:rPr>
          <w:rFonts w:ascii="Times New Roman" w:cs="Times New Roman" w:eastAsia="Times New Roman" w:hAnsi="Times New Roman"/>
          <w:sz w:val="13"/>
          <w:szCs w:val="13"/>
          <w:color w:val="FFFFFF"/>
        </w:rPr>
        <w:t>16</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2014 at a Glance</w:t>
      </w:r>
    </w:p>
    <w:p>
      <w:pPr>
        <w:spacing w:after="0" w:line="204" w:lineRule="auto"/>
        <w:rPr>
          <w:sz w:val="20"/>
          <w:szCs w:val="20"/>
          <w:color w:val="auto"/>
        </w:rPr>
      </w:pPr>
      <w:r>
        <w:rPr>
          <w:rFonts w:ascii="Times New Roman" w:cs="Times New Roman" w:eastAsia="Times New Roman" w:hAnsi="Times New Roman"/>
          <w:sz w:val="4"/>
          <w:szCs w:val="4"/>
          <w:color w:val="FFFFFF"/>
        </w:rPr>
        <w:t>—,January:,ILandPresentedJuarez, ourMexicostrategic plan with goals to double revenue and triple EPS by 2018</w:t>
      </w:r>
    </w:p>
    <w:p>
      <w:pPr>
        <w:spacing w:after="0" w:line="205" w:lineRule="auto"/>
        <w:rPr>
          <w:sz w:val="20"/>
          <w:szCs w:val="20"/>
          <w:color w:val="auto"/>
        </w:rPr>
      </w:pPr>
      <w:r>
        <w:rPr>
          <w:rFonts w:ascii="Times New Roman" w:cs="Times New Roman" w:eastAsia="Times New Roman" w:hAnsi="Times New Roman"/>
          <w:sz w:val="4"/>
          <w:szCs w:val="4"/>
          <w:color w:val="FFFFFF"/>
          <w:vertAlign w:val="superscript"/>
        </w:rPr>
        <w:t>July:</w:t>
      </w:r>
    </w:p>
    <w:p>
      <w:pPr>
        <w:ind w:left="120"/>
        <w:spacing w:after="0" w:line="205" w:lineRule="auto"/>
        <w:rPr>
          <w:sz w:val="20"/>
          <w:szCs w:val="20"/>
          <w:color w:val="auto"/>
        </w:rPr>
      </w:pPr>
      <w:r>
        <w:rPr>
          <w:rFonts w:ascii="Times New Roman" w:cs="Times New Roman" w:eastAsia="Times New Roman" w:hAnsi="Times New Roman"/>
          <w:sz w:val="2"/>
          <w:szCs w:val="2"/>
          <w:color w:val="FFFFFF"/>
        </w:rPr>
        <w:t>ne: AcquiredAcquired thetaperedassetsrollerof</w:t>
      </w:r>
      <w:r>
        <w:rPr>
          <w:rFonts w:ascii="Times New Roman" w:cs="Times New Roman" w:eastAsia="Times New Roman" w:hAnsi="Times New Roman"/>
          <w:sz w:val="4"/>
          <w:szCs w:val="4"/>
          <w:color w:val="FFFFFF"/>
          <w:vertAlign w:val="subscript"/>
        </w:rPr>
        <w:t>Chelsea</w:t>
      </w:r>
      <w:r>
        <w:rPr>
          <w:rFonts w:ascii="Times New Roman" w:cs="Times New Roman" w:eastAsia="Times New Roman" w:hAnsi="Times New Roman"/>
          <w:sz w:val="2"/>
          <w:szCs w:val="2"/>
          <w:color w:val="FFFFFF"/>
        </w:rPr>
        <w:t>manufacturerGrindingRFK,Company,</w:t>
      </w:r>
      <w:r>
        <w:rPr>
          <w:rFonts w:ascii="Times New Roman" w:cs="Times New Roman" w:eastAsia="Times New Roman" w:hAnsi="Times New Roman"/>
          <w:sz w:val="4"/>
          <w:szCs w:val="4"/>
          <w:color w:val="FFFFFF"/>
          <w:vertAlign w:val="subscript"/>
        </w:rPr>
        <w:t>manufacturer</w:t>
      </w:r>
      <w:r>
        <w:rPr>
          <w:rFonts w:ascii="Times New Roman" w:cs="Times New Roman" w:eastAsia="Times New Roman" w:hAnsi="Times New Roman"/>
          <w:sz w:val="2"/>
          <w:szCs w:val="2"/>
          <w:color w:val="FFFFFF"/>
        </w:rPr>
        <w:t>locatedincylindricalBosnia&amp; rollerHerzegovinamanufacturer</w:t>
      </w:r>
    </w:p>
    <w:p>
      <w:pPr>
        <w:spacing w:after="0" w:line="182" w:lineRule="auto"/>
        <w:tabs>
          <w:tab w:leader="none" w:pos="1780" w:val="left"/>
          <w:tab w:leader="none" w:pos="3280" w:val="left"/>
        </w:tabs>
        <w:rPr>
          <w:sz w:val="20"/>
          <w:szCs w:val="20"/>
          <w:color w:val="auto"/>
        </w:rPr>
      </w:pPr>
      <w:r>
        <w:rPr>
          <w:rFonts w:ascii="Times New Roman" w:cs="Times New Roman" w:eastAsia="Times New Roman" w:hAnsi="Times New Roman"/>
          <w:sz w:val="9"/>
          <w:szCs w:val="9"/>
          <w:color w:val="FFFFFF"/>
        </w:rPr>
        <w:t>September: Acquired Autocam,</w:t>
      </w:r>
      <w:r>
        <w:rPr>
          <w:sz w:val="20"/>
          <w:szCs w:val="20"/>
          <w:color w:val="auto"/>
        </w:rPr>
        <w:tab/>
      </w:r>
      <w:r>
        <w:rPr>
          <w:rFonts w:ascii="Times New Roman" w:cs="Times New Roman" w:eastAsia="Times New Roman" w:hAnsi="Times New Roman"/>
          <w:sz w:val="9"/>
          <w:szCs w:val="9"/>
          <w:color w:val="FFFFFF"/>
        </w:rPr>
        <w:t>high precision</w:t>
      </w:r>
      <w:r>
        <w:rPr>
          <w:sz w:val="20"/>
          <w:szCs w:val="20"/>
          <w:color w:val="auto"/>
        </w:rPr>
        <w:tab/>
      </w:r>
      <w:r>
        <w:rPr>
          <w:rFonts w:ascii="Times New Roman" w:cs="Times New Roman" w:eastAsia="Times New Roman" w:hAnsi="Times New Roman"/>
          <w:sz w:val="7"/>
          <w:szCs w:val="7"/>
          <w:color w:val="FFFFFF"/>
        </w:rPr>
        <w:t>with locations</w:t>
      </w:r>
      <w:r>
        <w:rPr>
          <w:rFonts w:ascii="Times New Roman" w:cs="Times New Roman" w:eastAsia="Times New Roman" w:hAnsi="Times New Roman"/>
          <w:sz w:val="9"/>
          <w:szCs w:val="9"/>
          <w:color w:val="FFFFFF"/>
          <w:vertAlign w:val="subscript"/>
        </w:rPr>
        <w:t>expansion</w:t>
      </w:r>
      <w:r>
        <w:rPr>
          <w:rFonts w:ascii="Times New Roman" w:cs="Times New Roman" w:eastAsia="Times New Roman" w:hAnsi="Times New Roman"/>
          <w:sz w:val="7"/>
          <w:szCs w:val="7"/>
          <w:color w:val="FFFFFF"/>
        </w:rPr>
        <w:t xml:space="preserve"> 4 continents</w:t>
      </w:r>
    </w:p>
    <w:p>
      <w:pPr>
        <w:spacing w:after="0" w:line="206" w:lineRule="auto"/>
        <w:rPr>
          <w:sz w:val="20"/>
          <w:szCs w:val="20"/>
          <w:color w:val="auto"/>
        </w:rPr>
      </w:pPr>
      <w:r>
        <w:rPr>
          <w:rFonts w:ascii="Times New Roman" w:cs="Times New Roman" w:eastAsia="Times New Roman" w:hAnsi="Times New Roman"/>
          <w:sz w:val="4"/>
          <w:szCs w:val="4"/>
          <w:color w:val="FFFFFF"/>
        </w:rPr>
        <w:t>We2014:areAchievedaheadof strategicschedule goalontheof Strategic3%organicPlanand 5% adjacent market</w:t>
      </w:r>
    </w:p>
    <w:p>
      <w:pPr>
        <w:spacing w:after="0"/>
        <w:rPr>
          <w:sz w:val="20"/>
          <w:szCs w:val="20"/>
          <w:color w:val="auto"/>
        </w:rPr>
      </w:pPr>
      <w:r>
        <w:rPr>
          <w:rFonts w:ascii="Times New Roman" w:cs="Times New Roman" w:eastAsia="Times New Roman" w:hAnsi="Times New Roman"/>
          <w:sz w:val="13"/>
          <w:szCs w:val="13"/>
          <w:color w:val="FFFFFF"/>
        </w:rPr>
        <w:t>17</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FFFFFF"/>
          <w:vertAlign w:val="superscript"/>
        </w:rPr>
        <w:t>Five</w:t>
      </w:r>
      <w:r>
        <w:rPr>
          <w:rFonts w:ascii="Times New Roman" w:cs="Times New Roman" w:eastAsia="Times New Roman" w:hAnsi="Times New Roman"/>
          <w:sz w:val="13"/>
          <w:szCs w:val="13"/>
          <w:color w:val="FFFFFF"/>
        </w:rPr>
        <w:t>oundation for Growth</w:t>
      </w:r>
    </w:p>
    <w:p>
      <w:pPr>
        <w:spacing w:after="0" w:line="182" w:lineRule="auto"/>
        <w:rPr>
          <w:sz w:val="20"/>
          <w:szCs w:val="20"/>
          <w:color w:val="auto"/>
        </w:rPr>
      </w:pPr>
      <w:r>
        <w:rPr>
          <w:rFonts w:ascii="Times New Roman" w:cs="Times New Roman" w:eastAsia="Times New Roman" w:hAnsi="Times New Roman"/>
          <w:sz w:val="7"/>
          <w:szCs w:val="7"/>
          <w:color w:val="FFFFFF"/>
        </w:rPr>
        <w:t>N</w:t>
      </w:r>
      <w:r>
        <w:rPr>
          <w:rFonts w:ascii="Times New Roman" w:cs="Times New Roman" w:eastAsia="Times New Roman" w:hAnsi="Times New Roman"/>
          <w:sz w:val="9"/>
          <w:szCs w:val="9"/>
          <w:color w:val="FFFFFF"/>
          <w:vertAlign w:val="subscript"/>
        </w:rPr>
        <w:t>Developed</w:t>
      </w:r>
      <w:r>
        <w:rPr>
          <w:rFonts w:ascii="Times New Roman" w:cs="Times New Roman" w:eastAsia="Times New Roman" w:hAnsi="Times New Roman"/>
          <w:sz w:val="7"/>
          <w:szCs w:val="7"/>
          <w:color w:val="FFFFFF"/>
        </w:rPr>
        <w:t>wnewPresidentBoard&amp;</w:t>
      </w:r>
      <w:r>
        <w:rPr>
          <w:rFonts w:ascii="Times New Roman" w:cs="Times New Roman" w:eastAsia="Times New Roman" w:hAnsi="Times New Roman"/>
          <w:sz w:val="9"/>
          <w:szCs w:val="9"/>
          <w:color w:val="FFFFFF"/>
          <w:vertAlign w:val="subscript"/>
        </w:rPr>
        <w:t>appointments</w:t>
      </w:r>
      <w:r>
        <w:rPr>
          <w:rFonts w:ascii="Times New Roman" w:cs="Times New Roman" w:eastAsia="Times New Roman" w:hAnsi="Times New Roman"/>
          <w:sz w:val="7"/>
          <w:szCs w:val="7"/>
          <w:color w:val="FFFFFF"/>
        </w:rPr>
        <w:t>CEO2013,sincekey 2012management retained</w:t>
      </w:r>
    </w:p>
    <w:p>
      <w:pPr>
        <w:spacing w:after="0" w:line="205" w:lineRule="auto"/>
        <w:rPr>
          <w:sz w:val="20"/>
          <w:szCs w:val="20"/>
          <w:color w:val="auto"/>
        </w:rPr>
      </w:pPr>
      <w:r>
        <w:rPr>
          <w:rFonts w:ascii="Times New Roman" w:cs="Times New Roman" w:eastAsia="Times New Roman" w:hAnsi="Times New Roman"/>
          <w:sz w:val="4"/>
          <w:szCs w:val="4"/>
          <w:color w:val="FFFFFF"/>
        </w:rPr>
        <w:t>IT group infrastructureTreasury,FP&amp;A, Supply Chain, Shared Services and</w:t>
      </w:r>
    </w:p>
    <w:p>
      <w:pPr>
        <w:spacing w:after="0" w:line="205" w:lineRule="auto"/>
        <w:rPr>
          <w:sz w:val="20"/>
          <w:szCs w:val="20"/>
          <w:color w:val="auto"/>
        </w:rPr>
      </w:pPr>
      <w:r>
        <w:rPr>
          <w:rFonts w:ascii="Times New Roman" w:cs="Times New Roman" w:eastAsia="Times New Roman" w:hAnsi="Times New Roman"/>
          <w:sz w:val="4"/>
          <w:szCs w:val="4"/>
          <w:color w:val="FFFFFF"/>
        </w:rPr>
        <w:t>Design of the NN Operating System</w:t>
      </w:r>
    </w:p>
    <w:p>
      <w:pPr>
        <w:spacing w:after="0" w:line="182" w:lineRule="auto"/>
        <w:rPr>
          <w:sz w:val="20"/>
          <w:szCs w:val="20"/>
          <w:color w:val="auto"/>
        </w:rPr>
      </w:pPr>
      <w:r>
        <w:rPr>
          <w:rFonts w:ascii="Times New Roman" w:cs="Times New Roman" w:eastAsia="Times New Roman" w:hAnsi="Times New Roman"/>
          <w:sz w:val="9"/>
          <w:szCs w:val="9"/>
          <w:color w:val="FFFFFF"/>
        </w:rPr>
        <w:t>Enhanced management bandwidth with acquisitions</w:t>
      </w:r>
    </w:p>
    <w:p>
      <w:pPr>
        <w:spacing w:after="0"/>
        <w:rPr>
          <w:sz w:val="20"/>
          <w:szCs w:val="20"/>
          <w:color w:val="auto"/>
        </w:rPr>
      </w:pPr>
      <w:r>
        <w:rPr>
          <w:rFonts w:ascii="Times New Roman" w:cs="Times New Roman" w:eastAsia="Times New Roman" w:hAnsi="Times New Roman"/>
          <w:sz w:val="12"/>
          <w:szCs w:val="12"/>
          <w:color w:val="FFFFFF"/>
        </w:rPr>
        <w:t>18The fundaments of our plan have not changed. We will continue to deliver on our commitments.</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FFFFFF"/>
        </w:rPr>
        <w:t>trategic Plan Progress</w:t>
      </w:r>
    </w:p>
    <w:p>
      <w:pPr>
        <w:spacing w:after="0" w:line="204" w:lineRule="auto"/>
        <w:rPr>
          <w:sz w:val="20"/>
          <w:szCs w:val="20"/>
          <w:color w:val="auto"/>
        </w:rPr>
      </w:pPr>
      <w:r>
        <w:rPr>
          <w:rFonts w:ascii="Times New Roman" w:cs="Times New Roman" w:eastAsia="Times New Roman" w:hAnsi="Times New Roman"/>
          <w:sz w:val="4"/>
          <w:szCs w:val="4"/>
          <w:color w:val="FFFFFF"/>
          <w:vertAlign w:val="subscript"/>
        </w:rPr>
        <w:t>21%Segment</w:t>
      </w:r>
      <w:r>
        <w:rPr>
          <w:rFonts w:ascii="Times New Roman" w:cs="Times New Roman" w:eastAsia="Times New Roman" w:hAnsi="Times New Roman"/>
          <w:sz w:val="2"/>
          <w:szCs w:val="2"/>
          <w:color w:val="FFFFFF"/>
        </w:rPr>
        <w:t xml:space="preserve"> Mix</w:t>
      </w:r>
    </w:p>
    <w:p>
      <w:pPr>
        <w:spacing w:after="0" w:line="182" w:lineRule="auto"/>
        <w:rPr>
          <w:sz w:val="20"/>
          <w:szCs w:val="20"/>
          <w:color w:val="auto"/>
        </w:rPr>
      </w:pPr>
      <w:r>
        <w:rPr>
          <w:rFonts w:ascii="Times New Roman" w:cs="Times New Roman" w:eastAsia="Times New Roman" w:hAnsi="Times New Roman"/>
          <w:sz w:val="9"/>
          <w:szCs w:val="9"/>
          <w:color w:val="FFFFFF"/>
        </w:rPr>
        <w:t>9%</w:t>
      </w:r>
    </w:p>
    <w:p>
      <w:pPr>
        <w:spacing w:after="0" w:line="206" w:lineRule="auto"/>
        <w:rPr>
          <w:sz w:val="20"/>
          <w:szCs w:val="20"/>
          <w:color w:val="auto"/>
        </w:rPr>
      </w:pPr>
      <w:r>
        <w:rPr>
          <w:rFonts w:ascii="Times New Roman" w:cs="Times New Roman" w:eastAsia="Times New Roman" w:hAnsi="Times New Roman"/>
          <w:sz w:val="2"/>
          <w:szCs w:val="2"/>
          <w:color w:val="FFFFFF"/>
        </w:rPr>
        <w:t>51%</w:t>
      </w:r>
      <w:r>
        <w:rPr>
          <w:rFonts w:ascii="Times New Roman" w:cs="Times New Roman" w:eastAsia="Times New Roman" w:hAnsi="Times New Roman"/>
          <w:sz w:val="4"/>
          <w:szCs w:val="4"/>
          <w:color w:val="FFFFFF"/>
          <w:vertAlign w:val="superscript"/>
        </w:rPr>
        <w:t>70%</w:t>
      </w:r>
    </w:p>
    <w:p>
      <w:pPr>
        <w:spacing w:after="0" w:line="205" w:lineRule="auto"/>
        <w:rPr>
          <w:sz w:val="20"/>
          <w:szCs w:val="20"/>
          <w:color w:val="auto"/>
        </w:rPr>
      </w:pPr>
      <w:r>
        <w:rPr>
          <w:rFonts w:ascii="Times New Roman" w:cs="Times New Roman" w:eastAsia="Times New Roman" w:hAnsi="Times New Roman"/>
          <w:sz w:val="4"/>
          <w:szCs w:val="4"/>
          <w:color w:val="FFFFFF"/>
        </w:rPr>
        <w:t>43%</w:t>
      </w:r>
    </w:p>
    <w:p>
      <w:pPr>
        <w:spacing w:after="0" w:line="205" w:lineRule="auto"/>
        <w:rPr>
          <w:sz w:val="20"/>
          <w:szCs w:val="20"/>
          <w:color w:val="auto"/>
        </w:rPr>
      </w:pPr>
      <w:r>
        <w:rPr>
          <w:rFonts w:ascii="Times New Roman" w:cs="Times New Roman" w:eastAsia="Times New Roman" w:hAnsi="Times New Roman"/>
          <w:sz w:val="4"/>
          <w:szCs w:val="4"/>
          <w:color w:val="FFFFFF"/>
        </w:rPr>
        <w:t>52%</w:t>
      </w:r>
    </w:p>
    <w:p>
      <w:pPr>
        <w:spacing w:after="0" w:line="182" w:lineRule="auto"/>
        <w:rPr>
          <w:sz w:val="20"/>
          <w:szCs w:val="20"/>
          <w:color w:val="auto"/>
        </w:rPr>
      </w:pPr>
      <w:r>
        <w:rPr>
          <w:rFonts w:ascii="Times New Roman" w:cs="Times New Roman" w:eastAsia="Times New Roman" w:hAnsi="Times New Roman"/>
          <w:sz w:val="9"/>
          <w:szCs w:val="9"/>
          <w:color w:val="FFFFFF"/>
        </w:rPr>
        <w:t>39%</w:t>
      </w:r>
    </w:p>
    <w:p>
      <w:pPr>
        <w:spacing w:after="0" w:line="205" w:lineRule="auto"/>
        <w:rPr>
          <w:sz w:val="20"/>
          <w:szCs w:val="20"/>
          <w:color w:val="auto"/>
        </w:rPr>
      </w:pPr>
      <w:r>
        <w:rPr>
          <w:rFonts w:ascii="Times New Roman" w:cs="Times New Roman" w:eastAsia="Times New Roman" w:hAnsi="Times New Roman"/>
          <w:sz w:val="4"/>
          <w:szCs w:val="4"/>
          <w:color w:val="FFFFFF"/>
        </w:rPr>
        <w:t>6%</w:t>
      </w:r>
    </w:p>
    <w:p>
      <w:pPr>
        <w:spacing w:after="0" w:line="205" w:lineRule="auto"/>
        <w:rPr>
          <w:sz w:val="20"/>
          <w:szCs w:val="20"/>
          <w:color w:val="auto"/>
        </w:rPr>
      </w:pPr>
      <w:r>
        <w:rPr>
          <w:rFonts w:ascii="Times New Roman" w:cs="Times New Roman" w:eastAsia="Times New Roman" w:hAnsi="Times New Roman"/>
          <w:sz w:val="4"/>
          <w:szCs w:val="4"/>
          <w:color w:val="FFFFFF"/>
        </w:rPr>
        <w:t>10</w:t>
      </w:r>
    </w:p>
    <w:p>
      <w:pPr>
        <w:spacing w:after="0" w:line="205" w:lineRule="auto"/>
        <w:rPr>
          <w:sz w:val="20"/>
          <w:szCs w:val="20"/>
          <w:color w:val="auto"/>
        </w:rPr>
      </w:pPr>
      <w:r>
        <w:rPr>
          <w:rFonts w:ascii="Times New Roman" w:cs="Times New Roman" w:eastAsia="Times New Roman" w:hAnsi="Times New Roman"/>
          <w:sz w:val="4"/>
          <w:szCs w:val="4"/>
          <w:color w:val="FFFFFF"/>
        </w:rPr>
        <w:t>9%</w:t>
      </w:r>
    </w:p>
    <w:p>
      <w:pPr>
        <w:spacing w:after="0" w:line="182" w:lineRule="auto"/>
        <w:rPr>
          <w:sz w:val="20"/>
          <w:szCs w:val="20"/>
          <w:color w:val="auto"/>
        </w:rPr>
      </w:pPr>
      <w:r>
        <w:rPr>
          <w:rFonts w:ascii="Times New Roman" w:cs="Times New Roman" w:eastAsia="Times New Roman" w:hAnsi="Times New Roman"/>
          <w:sz w:val="7"/>
          <w:szCs w:val="7"/>
          <w:color w:val="FFFFFF"/>
        </w:rPr>
        <w:t xml:space="preserve">Metal Bearing Components Plastic &amp; Rubber </w:t>
      </w:r>
      <w:r>
        <w:rPr>
          <w:rFonts w:ascii="Times New Roman" w:cs="Times New Roman" w:eastAsia="Times New Roman" w:hAnsi="Times New Roman"/>
          <w:sz w:val="9"/>
          <w:szCs w:val="9"/>
          <w:color w:val="FFFFFF"/>
          <w:vertAlign w:val="subscript"/>
        </w:rPr>
        <w:t>Components Autocam Precision</w:t>
      </w:r>
      <w:r>
        <w:rPr>
          <w:rFonts w:ascii="Times New Roman" w:cs="Times New Roman" w:eastAsia="Times New Roman" w:hAnsi="Times New Roman"/>
          <w:sz w:val="7"/>
          <w:szCs w:val="7"/>
          <w:color w:val="FFFFFF"/>
        </w:rPr>
        <w:t xml:space="preserve"> Components</w:t>
      </w:r>
    </w:p>
    <w:p>
      <w:pPr>
        <w:spacing w:after="0" w:line="204" w:lineRule="auto"/>
        <w:tabs>
          <w:tab w:leader="none" w:pos="3520" w:val="left"/>
          <w:tab w:leader="none" w:pos="4080" w:val="left"/>
        </w:tabs>
        <w:rPr>
          <w:sz w:val="20"/>
          <w:szCs w:val="20"/>
          <w:color w:val="auto"/>
        </w:rPr>
      </w:pPr>
      <w:r>
        <w:rPr>
          <w:rFonts w:ascii="Times New Roman" w:cs="Times New Roman" w:eastAsia="Times New Roman" w:hAnsi="Times New Roman"/>
          <w:sz w:val="13"/>
          <w:szCs w:val="13"/>
          <w:color w:val="FFFFFF"/>
        </w:rPr>
        <w:t>19The fundaments of our plan have not changed. W will continue</w:t>
        <w:tab/>
        <w:t>deliver</w:t>
      </w:r>
      <w:r>
        <w:rPr>
          <w:sz w:val="20"/>
          <w:szCs w:val="20"/>
          <w:color w:val="auto"/>
        </w:rPr>
        <w:tab/>
      </w:r>
      <w:r>
        <w:rPr>
          <w:rFonts w:ascii="Times New Roman" w:cs="Times New Roman" w:eastAsia="Times New Roman" w:hAnsi="Times New Roman"/>
          <w:sz w:val="12"/>
          <w:szCs w:val="12"/>
          <w:color w:val="FFFFFF"/>
        </w:rPr>
        <w:t>our commitments.</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Strategic Plan Progress</w:t>
      </w:r>
    </w:p>
    <w:p>
      <w:pPr>
        <w:ind w:left="200"/>
        <w:spacing w:after="0" w:line="204" w:lineRule="auto"/>
        <w:rPr>
          <w:sz w:val="20"/>
          <w:szCs w:val="20"/>
          <w:color w:val="auto"/>
        </w:rPr>
      </w:pPr>
      <w:r>
        <w:rPr>
          <w:rFonts w:ascii="Times New Roman" w:cs="Times New Roman" w:eastAsia="Times New Roman" w:hAnsi="Times New Roman"/>
          <w:sz w:val="2"/>
          <w:szCs w:val="2"/>
          <w:color w:val="FFFFFF"/>
        </w:rPr>
        <w:t>4</w:t>
      </w:r>
      <w:r>
        <w:rPr>
          <w:rFonts w:ascii="Times New Roman" w:cs="Times New Roman" w:eastAsia="Times New Roman" w:hAnsi="Times New Roman"/>
          <w:sz w:val="4"/>
          <w:szCs w:val="4"/>
          <w:color w:val="FFFFFF"/>
          <w:vertAlign w:val="superscript"/>
        </w:rPr>
        <w:t>3</w:t>
      </w:r>
    </w:p>
    <w:p>
      <w:pPr>
        <w:spacing w:after="0" w:line="182" w:lineRule="auto"/>
        <w:rPr>
          <w:sz w:val="20"/>
          <w:szCs w:val="20"/>
          <w:color w:val="auto"/>
        </w:rPr>
      </w:pPr>
      <w:r>
        <w:rPr>
          <w:rFonts w:ascii="Times New Roman" w:cs="Times New Roman" w:eastAsia="Times New Roman" w:hAnsi="Times New Roman"/>
          <w:sz w:val="9"/>
          <w:szCs w:val="9"/>
          <w:color w:val="FFFFFF"/>
        </w:rPr>
        <w:t>2018</w:t>
      </w:r>
    </w:p>
    <w:p>
      <w:pPr>
        <w:spacing w:after="0" w:line="206" w:lineRule="auto"/>
        <w:rPr>
          <w:sz w:val="20"/>
          <w:szCs w:val="20"/>
          <w:color w:val="auto"/>
        </w:rPr>
      </w:pPr>
      <w:r>
        <w:rPr>
          <w:rFonts w:ascii="Times New Roman" w:cs="Times New Roman" w:eastAsia="Times New Roman" w:hAnsi="Times New Roman"/>
          <w:sz w:val="4"/>
          <w:szCs w:val="4"/>
          <w:color w:val="FFFFFF"/>
        </w:rPr>
        <w:t>4%</w:t>
      </w:r>
    </w:p>
    <w:p>
      <w:pPr>
        <w:spacing w:after="0" w:line="205" w:lineRule="auto"/>
        <w:rPr>
          <w:sz w:val="20"/>
          <w:szCs w:val="20"/>
          <w:color w:val="auto"/>
        </w:rPr>
      </w:pPr>
      <w:r>
        <w:rPr>
          <w:rFonts w:ascii="Times New Roman" w:cs="Times New Roman" w:eastAsia="Times New Roman" w:hAnsi="Times New Roman"/>
          <w:sz w:val="4"/>
          <w:szCs w:val="4"/>
          <w:color w:val="FFFFFF"/>
        </w:rPr>
        <w:t>5%</w:t>
      </w:r>
    </w:p>
    <w:p>
      <w:pPr>
        <w:spacing w:after="0" w:line="182" w:lineRule="auto"/>
        <w:rPr>
          <w:sz w:val="20"/>
          <w:szCs w:val="20"/>
          <w:color w:val="auto"/>
        </w:rPr>
      </w:pPr>
      <w:r>
        <w:rPr>
          <w:rFonts w:ascii="Times New Roman" w:cs="Times New Roman" w:eastAsia="Times New Roman" w:hAnsi="Times New Roman"/>
          <w:sz w:val="9"/>
          <w:szCs w:val="9"/>
          <w:color w:val="FFFFFF"/>
        </w:rPr>
        <w:t>8%</w:t>
      </w:r>
    </w:p>
    <w:p>
      <w:pPr>
        <w:spacing w:after="0" w:line="205" w:lineRule="auto"/>
        <w:rPr>
          <w:sz w:val="20"/>
          <w:szCs w:val="20"/>
          <w:color w:val="auto"/>
        </w:rPr>
      </w:pPr>
      <w:r>
        <w:rPr>
          <w:rFonts w:ascii="Times New Roman" w:cs="Times New Roman" w:eastAsia="Times New Roman" w:hAnsi="Times New Roman"/>
          <w:sz w:val="4"/>
          <w:szCs w:val="4"/>
          <w:color w:val="FFFFFF"/>
        </w:rPr>
        <w:t>10%</w:t>
      </w:r>
    </w:p>
    <w:p>
      <w:pPr>
        <w:spacing w:after="0" w:line="205" w:lineRule="auto"/>
        <w:rPr>
          <w:sz w:val="20"/>
          <w:szCs w:val="20"/>
          <w:color w:val="auto"/>
        </w:rPr>
      </w:pPr>
      <w:r>
        <w:rPr>
          <w:rFonts w:ascii="Times New Roman" w:cs="Times New Roman" w:eastAsia="Times New Roman" w:hAnsi="Times New Roman"/>
          <w:sz w:val="4"/>
          <w:szCs w:val="4"/>
          <w:color w:val="FFFFFF"/>
        </w:rPr>
        <w:t>8%</w:t>
      </w:r>
    </w:p>
    <w:p>
      <w:pPr>
        <w:spacing w:after="0" w:line="182" w:lineRule="auto"/>
        <w:rPr>
          <w:sz w:val="20"/>
          <w:szCs w:val="20"/>
          <w:color w:val="auto"/>
        </w:rPr>
      </w:pPr>
      <w:r>
        <w:rPr>
          <w:rFonts w:ascii="Times New Roman" w:cs="Times New Roman" w:eastAsia="Times New Roman" w:hAnsi="Times New Roman"/>
          <w:sz w:val="7"/>
          <w:szCs w:val="7"/>
          <w:color w:val="FFFFFF"/>
        </w:rPr>
        <w:t>70%</w:t>
      </w:r>
      <w:r>
        <w:rPr>
          <w:rFonts w:ascii="Times New Roman" w:cs="Times New Roman" w:eastAsia="Times New Roman" w:hAnsi="Times New Roman"/>
          <w:sz w:val="9"/>
          <w:szCs w:val="9"/>
          <w:color w:val="FFFFFF"/>
          <w:vertAlign w:val="superscript"/>
        </w:rPr>
        <w:t>17%</w:t>
      </w:r>
    </w:p>
    <w:p>
      <w:pPr>
        <w:spacing w:after="0" w:line="206" w:lineRule="auto"/>
        <w:rPr>
          <w:sz w:val="20"/>
          <w:szCs w:val="20"/>
          <w:color w:val="auto"/>
        </w:rPr>
      </w:pPr>
      <w:r>
        <w:rPr>
          <w:rFonts w:ascii="Times New Roman" w:cs="Times New Roman" w:eastAsia="Times New Roman" w:hAnsi="Times New Roman"/>
          <w:sz w:val="4"/>
          <w:szCs w:val="4"/>
          <w:color w:val="FFFFFF"/>
        </w:rPr>
        <w:t>9%</w:t>
      </w:r>
    </w:p>
    <w:p>
      <w:pPr>
        <w:spacing w:after="0" w:line="205" w:lineRule="auto"/>
        <w:rPr>
          <w:sz w:val="20"/>
          <w:szCs w:val="20"/>
          <w:color w:val="auto"/>
        </w:rPr>
      </w:pPr>
      <w:r>
        <w:rPr>
          <w:rFonts w:ascii="Times New Roman" w:cs="Times New Roman" w:eastAsia="Times New Roman" w:hAnsi="Times New Roman"/>
          <w:sz w:val="4"/>
          <w:szCs w:val="4"/>
          <w:color w:val="FFFFFF"/>
          <w:vertAlign w:val="superscript"/>
        </w:rPr>
        <w:t>6</w:t>
      </w:r>
      <w:r>
        <w:rPr>
          <w:rFonts w:ascii="Times New Roman" w:cs="Times New Roman" w:eastAsia="Times New Roman" w:hAnsi="Times New Roman"/>
          <w:sz w:val="2"/>
          <w:szCs w:val="2"/>
          <w:color w:val="FFFFFF"/>
        </w:rPr>
        <w:t>31%</w:t>
      </w:r>
    </w:p>
    <w:p>
      <w:pPr>
        <w:spacing w:after="0" w:line="205" w:lineRule="auto"/>
        <w:rPr>
          <w:sz w:val="20"/>
          <w:szCs w:val="20"/>
          <w:color w:val="auto"/>
        </w:rPr>
      </w:pPr>
      <w:r>
        <w:rPr>
          <w:rFonts w:ascii="Times New Roman" w:cs="Times New Roman" w:eastAsia="Times New Roman" w:hAnsi="Times New Roman"/>
          <w:sz w:val="4"/>
          <w:szCs w:val="4"/>
          <w:color w:val="FFFFFF"/>
        </w:rPr>
        <w:t>50%</w:t>
      </w:r>
    </w:p>
    <w:p>
      <w:pPr>
        <w:spacing w:after="0" w:line="205" w:lineRule="auto"/>
        <w:rPr>
          <w:sz w:val="20"/>
          <w:szCs w:val="20"/>
          <w:color w:val="auto"/>
        </w:rPr>
      </w:pPr>
      <w:r>
        <w:rPr>
          <w:rFonts w:ascii="Times New Roman" w:cs="Times New Roman" w:eastAsia="Times New Roman" w:hAnsi="Times New Roman"/>
          <w:sz w:val="4"/>
          <w:szCs w:val="4"/>
          <w:color w:val="FFFFFF"/>
        </w:rPr>
        <w:t>39%</w:t>
      </w:r>
    </w:p>
    <w:p>
      <w:pPr>
        <w:spacing w:after="0" w:line="205" w:lineRule="auto"/>
        <w:rPr>
          <w:sz w:val="20"/>
          <w:szCs w:val="20"/>
          <w:color w:val="auto"/>
        </w:rPr>
      </w:pPr>
      <w:r>
        <w:rPr>
          <w:rFonts w:ascii="Times New Roman" w:cs="Times New Roman" w:eastAsia="Times New Roman" w:hAnsi="Times New Roman"/>
          <w:sz w:val="4"/>
          <w:szCs w:val="4"/>
          <w:color w:val="FFFFFF"/>
        </w:rPr>
        <w:t>5</w:t>
      </w:r>
    </w:p>
    <w:p>
      <w:pPr>
        <w:spacing w:after="0" w:line="182" w:lineRule="auto"/>
        <w:rPr>
          <w:sz w:val="20"/>
          <w:szCs w:val="20"/>
          <w:color w:val="auto"/>
        </w:rPr>
      </w:pPr>
      <w:r>
        <w:rPr>
          <w:rFonts w:ascii="Times New Roman" w:cs="Times New Roman" w:eastAsia="Times New Roman" w:hAnsi="Times New Roman"/>
          <w:sz w:val="9"/>
          <w:szCs w:val="9"/>
          <w:color w:val="FFFFFF"/>
        </w:rPr>
        <w:t>32%</w:t>
      </w:r>
    </w:p>
    <w:p>
      <w:pPr>
        <w:spacing w:after="0" w:line="182" w:lineRule="auto"/>
        <w:rPr>
          <w:sz w:val="20"/>
          <w:szCs w:val="20"/>
          <w:color w:val="auto"/>
        </w:rPr>
      </w:pPr>
      <w:r>
        <w:rPr>
          <w:rFonts w:ascii="Times New Roman" w:cs="Times New Roman" w:eastAsia="Times New Roman" w:hAnsi="Times New Roman"/>
          <w:sz w:val="9"/>
          <w:szCs w:val="9"/>
          <w:color w:val="FFFFFF"/>
        </w:rPr>
        <w:t>End Market Mix</w:t>
      </w:r>
    </w:p>
    <w:p>
      <w:pPr>
        <w:spacing w:after="0" w:line="182" w:lineRule="auto"/>
        <w:rPr>
          <w:sz w:val="20"/>
          <w:szCs w:val="20"/>
          <w:color w:val="auto"/>
        </w:rPr>
      </w:pPr>
      <w:r>
        <w:rPr>
          <w:rFonts w:ascii="Times New Roman" w:cs="Times New Roman" w:eastAsia="Times New Roman" w:hAnsi="Times New Roman"/>
          <w:sz w:val="9"/>
          <w:szCs w:val="9"/>
          <w:color w:val="FFFFFF"/>
        </w:rPr>
        <w:t>CommercialLightAutoIndustrial/Aerospace/MedicalTransportationGeneral/Plastics</w:t>
      </w:r>
    </w:p>
    <w:p>
      <w:pPr>
        <w:spacing w:after="0"/>
        <w:rPr>
          <w:sz w:val="20"/>
          <w:szCs w:val="20"/>
          <w:color w:val="auto"/>
        </w:rPr>
      </w:pPr>
      <w:r>
        <w:rPr>
          <w:rFonts w:ascii="Times New Roman" w:cs="Times New Roman" w:eastAsia="Times New Roman" w:hAnsi="Times New Roman"/>
          <w:sz w:val="12"/>
          <w:szCs w:val="12"/>
          <w:color w:val="FFFFFF"/>
        </w:rPr>
        <w:t>20The fundaments of our plan have not changed. We will continue to deliver on our commitments.</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Strategic Plan Accomplishments in 2014</w:t>
      </w:r>
    </w:p>
    <w:p>
      <w:pPr>
        <w:spacing w:after="0" w:line="204" w:lineRule="auto"/>
        <w:rPr>
          <w:sz w:val="20"/>
          <w:szCs w:val="20"/>
          <w:color w:val="auto"/>
        </w:rPr>
      </w:pPr>
      <w:r>
        <w:rPr>
          <w:rFonts w:ascii="Times New Roman" w:cs="Times New Roman" w:eastAsia="Times New Roman" w:hAnsi="Times New Roman"/>
          <w:sz w:val="4"/>
          <w:szCs w:val="4"/>
          <w:color w:val="FFFFFF"/>
        </w:rPr>
        <w:t>Corporate Identity and Branding</w:t>
      </w:r>
    </w:p>
    <w:p>
      <w:pPr>
        <w:spacing w:after="0" w:line="205" w:lineRule="auto"/>
        <w:rPr>
          <w:sz w:val="20"/>
          <w:szCs w:val="20"/>
          <w:color w:val="auto"/>
        </w:rPr>
      </w:pPr>
      <w:r>
        <w:rPr>
          <w:rFonts w:ascii="Times New Roman" w:cs="Times New Roman" w:eastAsia="Times New Roman" w:hAnsi="Times New Roman"/>
          <w:sz w:val="4"/>
          <w:szCs w:val="4"/>
          <w:color w:val="FFFFFF"/>
        </w:rPr>
        <w:t>Operational Excellence</w:t>
      </w:r>
    </w:p>
    <w:p>
      <w:pPr>
        <w:spacing w:after="0" w:line="182" w:lineRule="auto"/>
        <w:rPr>
          <w:sz w:val="20"/>
          <w:szCs w:val="20"/>
          <w:color w:val="auto"/>
        </w:rPr>
      </w:pPr>
      <w:r>
        <w:rPr>
          <w:rFonts w:ascii="Times New Roman" w:cs="Times New Roman" w:eastAsia="Times New Roman" w:hAnsi="Times New Roman"/>
          <w:sz w:val="9"/>
          <w:szCs w:val="9"/>
          <w:color w:val="FFFFFF"/>
        </w:rPr>
        <w:t>Functional Excellence</w:t>
      </w:r>
    </w:p>
    <w:p>
      <w:pPr>
        <w:spacing w:after="0" w:line="206" w:lineRule="auto"/>
        <w:rPr>
          <w:sz w:val="20"/>
          <w:szCs w:val="20"/>
          <w:color w:val="auto"/>
        </w:rPr>
      </w:pPr>
      <w:r>
        <w:rPr>
          <w:rFonts w:ascii="Times New Roman" w:cs="Times New Roman" w:eastAsia="Times New Roman" w:hAnsi="Times New Roman"/>
          <w:sz w:val="4"/>
          <w:szCs w:val="4"/>
          <w:color w:val="FFFFFF"/>
        </w:rPr>
        <w:t>TopOne DownCorporateStrategyIdentity Enhanced Marketing Common Customer Solutions</w:t>
      </w:r>
    </w:p>
    <w:p>
      <w:pPr>
        <w:spacing w:after="0" w:line="205" w:lineRule="auto"/>
        <w:rPr>
          <w:sz w:val="20"/>
          <w:szCs w:val="20"/>
          <w:color w:val="auto"/>
        </w:rPr>
      </w:pPr>
      <w:r>
        <w:rPr>
          <w:rFonts w:ascii="Times New Roman" w:cs="Times New Roman" w:eastAsia="Times New Roman" w:hAnsi="Times New Roman"/>
          <w:sz w:val="4"/>
          <w:szCs w:val="4"/>
          <w:color w:val="FFFFFF"/>
        </w:rPr>
        <w:t>New Supply Chain Operations</w:t>
      </w:r>
    </w:p>
    <w:p>
      <w:pPr>
        <w:spacing w:after="0" w:line="205" w:lineRule="auto"/>
        <w:rPr>
          <w:sz w:val="20"/>
          <w:szCs w:val="20"/>
          <w:color w:val="auto"/>
        </w:rPr>
      </w:pPr>
      <w:r>
        <w:rPr>
          <w:rFonts w:ascii="Times New Roman" w:cs="Times New Roman" w:eastAsia="Times New Roman" w:hAnsi="Times New Roman"/>
          <w:sz w:val="4"/>
          <w:szCs w:val="4"/>
          <w:color w:val="FFFFFF"/>
        </w:rPr>
        <w:t>Financial and Business Systems Consolidation</w:t>
      </w:r>
    </w:p>
    <w:p>
      <w:pPr>
        <w:ind w:right="2279"/>
        <w:spacing w:after="0"/>
        <w:rPr>
          <w:sz w:val="20"/>
          <w:szCs w:val="20"/>
          <w:color w:val="auto"/>
        </w:rPr>
      </w:pPr>
      <w:r>
        <w:rPr>
          <w:rFonts w:ascii="Times New Roman" w:cs="Times New Roman" w:eastAsia="Times New Roman" w:hAnsi="Times New Roman"/>
          <w:sz w:val="12"/>
          <w:szCs w:val="12"/>
          <w:color w:val="FFFFFF"/>
        </w:rPr>
        <w:t>Level 3: Offset Economic Costs Quality: Drive a Zero Defect Culture Safety: Drive a Zero Incident Culture Delivery: Exceed Customers’ Expectations 21</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Today</w:t>
      </w:r>
    </w:p>
    <w:p>
      <w:pPr>
        <w:spacing w:after="0" w:line="204" w:lineRule="auto"/>
        <w:rPr>
          <w:sz w:val="20"/>
          <w:szCs w:val="20"/>
          <w:color w:val="auto"/>
        </w:rPr>
      </w:pPr>
      <w:r>
        <w:rPr>
          <w:rFonts w:ascii="Times New Roman" w:cs="Times New Roman" w:eastAsia="Times New Roman" w:hAnsi="Times New Roman"/>
          <w:sz w:val="4"/>
          <w:szCs w:val="4"/>
          <w:color w:val="FFFFFF"/>
        </w:rPr>
        <w:t>Traded2015forecastedonNasdaqrevenue(NNBR)of $690M—$710M</w:t>
      </w:r>
    </w:p>
    <w:p>
      <w:pPr>
        <w:spacing w:after="0" w:line="205" w:lineRule="auto"/>
        <w:rPr>
          <w:sz w:val="20"/>
          <w:szCs w:val="20"/>
          <w:color w:val="auto"/>
        </w:rPr>
      </w:pPr>
      <w:r>
        <w:rPr>
          <w:rFonts w:ascii="Times New Roman" w:cs="Times New Roman" w:eastAsia="Times New Roman" w:hAnsi="Times New Roman"/>
          <w:sz w:val="4"/>
          <w:szCs w:val="4"/>
          <w:color w:val="FFFFFF"/>
        </w:rPr>
        <w:t>Global reach, local depth</w:t>
      </w:r>
    </w:p>
    <w:p>
      <w:pPr>
        <w:spacing w:after="0" w:line="205" w:lineRule="auto"/>
        <w:rPr>
          <w:sz w:val="20"/>
          <w:szCs w:val="20"/>
          <w:color w:val="auto"/>
        </w:rPr>
      </w:pPr>
      <w:r>
        <w:rPr>
          <w:rFonts w:ascii="Times New Roman" w:cs="Times New Roman" w:eastAsia="Times New Roman" w:hAnsi="Times New Roman"/>
          <w:sz w:val="4"/>
          <w:szCs w:val="4"/>
          <w:color w:val="FFFFFF"/>
        </w:rPr>
        <w:t>25 manufacturing facilities with operations in 10 countries</w:t>
      </w:r>
    </w:p>
    <w:p>
      <w:pPr>
        <w:spacing w:after="0" w:line="205" w:lineRule="auto"/>
        <w:rPr>
          <w:sz w:val="20"/>
          <w:szCs w:val="20"/>
          <w:color w:val="auto"/>
        </w:rPr>
      </w:pPr>
      <w:r>
        <w:rPr>
          <w:rFonts w:ascii="Times New Roman" w:cs="Times New Roman" w:eastAsia="Times New Roman" w:hAnsi="Times New Roman"/>
          <w:sz w:val="4"/>
          <w:szCs w:val="4"/>
          <w:color w:val="FFFFFF"/>
        </w:rPr>
        <w:t>4,200 employees</w:t>
      </w:r>
    </w:p>
    <w:p>
      <w:pPr>
        <w:spacing w:after="0" w:line="182" w:lineRule="auto"/>
        <w:rPr>
          <w:sz w:val="20"/>
          <w:szCs w:val="20"/>
          <w:color w:val="auto"/>
        </w:rPr>
      </w:pPr>
      <w:r>
        <w:rPr>
          <w:rFonts w:ascii="Times New Roman" w:cs="Times New Roman" w:eastAsia="Times New Roman" w:hAnsi="Times New Roman"/>
          <w:sz w:val="9"/>
          <w:szCs w:val="9"/>
          <w:color w:val="FFFFFF"/>
        </w:rPr>
        <w:t>Continuous investment in technology leadership</w:t>
      </w:r>
    </w:p>
    <w:p>
      <w:pPr>
        <w:spacing w:after="0" w:line="206" w:lineRule="auto"/>
        <w:rPr>
          <w:sz w:val="20"/>
          <w:szCs w:val="20"/>
          <w:color w:val="auto"/>
        </w:rPr>
      </w:pPr>
      <w:r>
        <w:rPr>
          <w:rFonts w:ascii="Times New Roman" w:cs="Times New Roman" w:eastAsia="Times New Roman" w:hAnsi="Times New Roman"/>
          <w:sz w:val="4"/>
          <w:szCs w:val="4"/>
          <w:color w:val="FFFFFF"/>
        </w:rPr>
        <w:t>NNSupplyingfoundedto indiversifiedErwin,TNend markets in over 30 countries</w:t>
      </w:r>
    </w:p>
    <w:p>
      <w:pPr>
        <w:spacing w:after="0" w:line="205" w:lineRule="auto"/>
        <w:rPr>
          <w:sz w:val="20"/>
          <w:szCs w:val="20"/>
          <w:color w:val="auto"/>
        </w:rPr>
      </w:pPr>
      <w:r>
        <w:rPr>
          <w:rFonts w:ascii="Times New Roman" w:cs="Times New Roman" w:eastAsia="Times New Roman" w:hAnsi="Times New Roman"/>
          <w:sz w:val="4"/>
          <w:szCs w:val="4"/>
          <w:color w:val="FFFFFF"/>
        </w:rPr>
        <w:t>Industrial</w:t>
      </w:r>
    </w:p>
    <w:p>
      <w:pPr>
        <w:spacing w:after="0" w:line="205" w:lineRule="auto"/>
        <w:rPr>
          <w:sz w:val="20"/>
          <w:szCs w:val="20"/>
          <w:color w:val="auto"/>
        </w:rPr>
      </w:pPr>
      <w:r>
        <w:rPr>
          <w:rFonts w:ascii="Times New Roman" w:cs="Times New Roman" w:eastAsia="Times New Roman" w:hAnsi="Times New Roman"/>
          <w:sz w:val="4"/>
          <w:szCs w:val="4"/>
          <w:color w:val="FFFFFF"/>
        </w:rPr>
        <w:t>Molding</w:t>
      </w:r>
    </w:p>
    <w:p>
      <w:pPr>
        <w:spacing w:after="0" w:line="205" w:lineRule="auto"/>
        <w:rPr>
          <w:sz w:val="20"/>
          <w:szCs w:val="20"/>
          <w:color w:val="auto"/>
        </w:rPr>
      </w:pPr>
      <w:r>
        <w:rPr>
          <w:rFonts w:ascii="Times New Roman" w:cs="Times New Roman" w:eastAsia="Times New Roman" w:hAnsi="Times New Roman"/>
          <w:sz w:val="4"/>
          <w:szCs w:val="4"/>
          <w:color w:val="FFFFFF"/>
        </w:rPr>
        <w:t>Corporation</w:t>
      </w:r>
    </w:p>
    <w:p>
      <w:pPr>
        <w:spacing w:after="0" w:line="205" w:lineRule="auto"/>
        <w:rPr>
          <w:sz w:val="20"/>
          <w:szCs w:val="20"/>
          <w:color w:val="auto"/>
        </w:rPr>
      </w:pPr>
      <w:r>
        <w:rPr>
          <w:rFonts w:ascii="Times New Roman" w:cs="Times New Roman" w:eastAsia="Times New Roman" w:hAnsi="Times New Roman"/>
          <w:sz w:val="4"/>
          <w:szCs w:val="4"/>
          <w:color w:val="FFFFFF"/>
        </w:rPr>
        <w:t>Euroball</w:t>
      </w:r>
    </w:p>
    <w:p>
      <w:pPr>
        <w:spacing w:after="0" w:line="205" w:lineRule="auto"/>
        <w:rPr>
          <w:sz w:val="20"/>
          <w:szCs w:val="20"/>
          <w:color w:val="auto"/>
        </w:rPr>
      </w:pPr>
      <w:r>
        <w:rPr>
          <w:rFonts w:ascii="Times New Roman" w:cs="Times New Roman" w:eastAsia="Times New Roman" w:hAnsi="Times New Roman"/>
          <w:sz w:val="4"/>
          <w:szCs w:val="4"/>
          <w:color w:val="FFFFFF"/>
        </w:rPr>
        <w:t>Delta Rubber</w:t>
      </w:r>
    </w:p>
    <w:p>
      <w:pPr>
        <w:spacing w:after="0" w:line="205" w:lineRule="auto"/>
        <w:rPr>
          <w:sz w:val="20"/>
          <w:szCs w:val="20"/>
          <w:color w:val="auto"/>
        </w:rPr>
      </w:pPr>
      <w:r>
        <w:rPr>
          <w:rFonts w:ascii="Times New Roman" w:cs="Times New Roman" w:eastAsia="Times New Roman" w:hAnsi="Times New Roman"/>
          <w:sz w:val="4"/>
          <w:szCs w:val="4"/>
          <w:color w:val="FFFFFF"/>
        </w:rPr>
        <w:t>Company</w:t>
      </w:r>
    </w:p>
    <w:p>
      <w:pPr>
        <w:spacing w:after="0" w:line="205" w:lineRule="auto"/>
        <w:rPr>
          <w:sz w:val="20"/>
          <w:szCs w:val="20"/>
          <w:color w:val="auto"/>
        </w:rPr>
      </w:pPr>
      <w:r>
        <w:rPr>
          <w:rFonts w:ascii="Times New Roman" w:cs="Times New Roman" w:eastAsia="Times New Roman" w:hAnsi="Times New Roman"/>
          <w:sz w:val="4"/>
          <w:szCs w:val="4"/>
          <w:color w:val="FFFFFF"/>
        </w:rPr>
        <w:t>Veenendaal</w:t>
      </w:r>
    </w:p>
    <w:p>
      <w:pPr>
        <w:spacing w:after="0" w:line="205" w:lineRule="auto"/>
        <w:rPr>
          <w:sz w:val="20"/>
          <w:szCs w:val="20"/>
          <w:color w:val="auto"/>
        </w:rPr>
      </w:pPr>
      <w:r>
        <w:rPr>
          <w:rFonts w:ascii="Times New Roman" w:cs="Times New Roman" w:eastAsia="Times New Roman" w:hAnsi="Times New Roman"/>
          <w:sz w:val="4"/>
          <w:szCs w:val="4"/>
          <w:color w:val="FFFFFF"/>
        </w:rPr>
        <w:t>SNR Ball</w:t>
      </w:r>
    </w:p>
    <w:p>
      <w:pPr>
        <w:spacing w:after="0" w:line="205" w:lineRule="auto"/>
        <w:rPr>
          <w:sz w:val="20"/>
          <w:szCs w:val="20"/>
          <w:color w:val="auto"/>
        </w:rPr>
      </w:pPr>
      <w:r>
        <w:rPr>
          <w:rFonts w:ascii="Times New Roman" w:cs="Times New Roman" w:eastAsia="Times New Roman" w:hAnsi="Times New Roman"/>
          <w:sz w:val="4"/>
          <w:szCs w:val="4"/>
          <w:color w:val="FFFFFF"/>
        </w:rPr>
        <w:t>Assets</w:t>
      </w:r>
    </w:p>
    <w:p>
      <w:pPr>
        <w:spacing w:after="0" w:line="205" w:lineRule="auto"/>
        <w:rPr>
          <w:sz w:val="20"/>
          <w:szCs w:val="20"/>
          <w:color w:val="auto"/>
        </w:rPr>
      </w:pPr>
      <w:r>
        <w:rPr>
          <w:rFonts w:ascii="Times New Roman" w:cs="Times New Roman" w:eastAsia="Times New Roman" w:hAnsi="Times New Roman"/>
          <w:sz w:val="4"/>
          <w:szCs w:val="4"/>
          <w:color w:val="FFFFFF"/>
        </w:rPr>
        <w:t>Whirlaway</w:t>
      </w:r>
    </w:p>
    <w:p>
      <w:pPr>
        <w:spacing w:after="0" w:line="205" w:lineRule="auto"/>
        <w:rPr>
          <w:sz w:val="20"/>
          <w:szCs w:val="20"/>
          <w:color w:val="auto"/>
        </w:rPr>
      </w:pPr>
      <w:r>
        <w:rPr>
          <w:rFonts w:ascii="Times New Roman" w:cs="Times New Roman" w:eastAsia="Times New Roman" w:hAnsi="Times New Roman"/>
          <w:sz w:val="4"/>
          <w:szCs w:val="4"/>
          <w:color w:val="FFFFFF"/>
        </w:rPr>
        <w:t>Corporation</w:t>
      </w:r>
    </w:p>
    <w:p>
      <w:pPr>
        <w:spacing w:after="0" w:line="205" w:lineRule="auto"/>
        <w:rPr>
          <w:sz w:val="20"/>
          <w:szCs w:val="20"/>
          <w:color w:val="auto"/>
        </w:rPr>
      </w:pPr>
      <w:r>
        <w:rPr>
          <w:rFonts w:ascii="Times New Roman" w:cs="Times New Roman" w:eastAsia="Times New Roman" w:hAnsi="Times New Roman"/>
          <w:sz w:val="4"/>
          <w:szCs w:val="4"/>
          <w:color w:val="FFFFFF"/>
        </w:rPr>
        <w:t>V-S</w:t>
      </w:r>
    </w:p>
    <w:p>
      <w:pPr>
        <w:spacing w:after="0" w:line="182" w:lineRule="auto"/>
        <w:rPr>
          <w:sz w:val="20"/>
          <w:szCs w:val="20"/>
          <w:color w:val="auto"/>
        </w:rPr>
      </w:pPr>
      <w:r>
        <w:rPr>
          <w:rFonts w:ascii="Times New Roman" w:cs="Times New Roman" w:eastAsia="Times New Roman" w:hAnsi="Times New Roman"/>
          <w:sz w:val="9"/>
          <w:szCs w:val="9"/>
          <w:color w:val="FFFFFF"/>
        </w:rPr>
        <w:t>Industries</w:t>
      </w:r>
    </w:p>
    <w:p>
      <w:pPr>
        <w:spacing w:after="0" w:line="205" w:lineRule="auto"/>
        <w:rPr>
          <w:sz w:val="20"/>
          <w:szCs w:val="20"/>
          <w:color w:val="auto"/>
        </w:rPr>
      </w:pPr>
      <w:r>
        <w:rPr>
          <w:rFonts w:ascii="Times New Roman" w:cs="Times New Roman" w:eastAsia="Times New Roman" w:hAnsi="Times New Roman"/>
          <w:sz w:val="4"/>
          <w:szCs w:val="4"/>
          <w:color w:val="FFFFFF"/>
        </w:rPr>
        <w:t>RFK</w:t>
      </w:r>
    </w:p>
    <w:p>
      <w:pPr>
        <w:spacing w:after="0" w:line="182" w:lineRule="auto"/>
        <w:rPr>
          <w:sz w:val="20"/>
          <w:szCs w:val="20"/>
          <w:color w:val="auto"/>
        </w:rPr>
      </w:pPr>
      <w:r>
        <w:rPr>
          <w:rFonts w:ascii="Times New Roman" w:cs="Times New Roman" w:eastAsia="Times New Roman" w:hAnsi="Times New Roman"/>
          <w:sz w:val="9"/>
          <w:szCs w:val="9"/>
          <w:color w:val="FFFFFF"/>
        </w:rPr>
        <w:t>GrindingChelsea</w:t>
      </w:r>
    </w:p>
    <w:p>
      <w:pPr>
        <w:spacing w:after="0"/>
        <w:rPr>
          <w:sz w:val="20"/>
          <w:szCs w:val="20"/>
          <w:color w:val="auto"/>
        </w:rPr>
      </w:pPr>
      <w:r>
        <w:rPr>
          <w:rFonts w:ascii="Times New Roman" w:cs="Times New Roman" w:eastAsia="Times New Roman" w:hAnsi="Times New Roman"/>
          <w:sz w:val="13"/>
          <w:szCs w:val="13"/>
          <w:color w:val="FFFFFF"/>
        </w:rPr>
        <w:t>22Autocam</w:t>
      </w:r>
    </w:p>
    <w:p>
      <w:pPr>
        <w:sectPr>
          <w:pgSz w:w="11900" w:h="16838" w:orient="portrait"/>
          <w:cols w:equalWidth="0" w:num="1">
            <w:col w:w="10219"/>
          </w:cols>
          <w:pgMar w:left="2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Road</w:t>
      </w:r>
      <w:r>
        <w:rPr>
          <w:rFonts w:ascii="Times New Roman" w:cs="Times New Roman" w:eastAsia="Times New Roman" w:hAnsi="Times New Roman"/>
          <w:sz w:val="26"/>
          <w:szCs w:val="26"/>
          <w:color w:val="FFFFFF"/>
          <w:vertAlign w:val="subscript"/>
        </w:rPr>
        <w:t>1,000</w:t>
      </w:r>
      <w:r>
        <w:rPr>
          <w:rFonts w:ascii="Times New Roman" w:cs="Times New Roman" w:eastAsia="Times New Roman" w:hAnsi="Times New Roman"/>
          <w:sz w:val="13"/>
          <w:szCs w:val="13"/>
          <w:color w:val="FFFFFF"/>
        </w:rPr>
        <w:t>Millionsto$1 Billion</w:t>
      </w:r>
    </w:p>
    <w:p>
      <w:pPr>
        <w:ind w:left="80"/>
        <w:spacing w:after="0" w:line="182" w:lineRule="auto"/>
        <w:tabs>
          <w:tab w:leader="none" w:pos="380" w:val="left"/>
        </w:tabs>
        <w:rPr>
          <w:sz w:val="20"/>
          <w:szCs w:val="20"/>
          <w:color w:val="auto"/>
        </w:rPr>
      </w:pPr>
      <w:r>
        <w:rPr>
          <w:rFonts w:ascii="Times New Roman" w:cs="Times New Roman" w:eastAsia="Times New Roman" w:hAnsi="Times New Roman"/>
          <w:sz w:val="7"/>
          <w:szCs w:val="7"/>
          <w:color w:val="FFFFFF"/>
        </w:rPr>
        <w:t>9</w:t>
      </w:r>
      <w:r>
        <w:rPr>
          <w:rFonts w:ascii="Times New Roman" w:cs="Times New Roman" w:eastAsia="Times New Roman" w:hAnsi="Times New Roman"/>
          <w:sz w:val="9"/>
          <w:szCs w:val="9"/>
          <w:color w:val="FFFFFF"/>
          <w:vertAlign w:val="subscript"/>
        </w:rPr>
        <w:t>26</w:t>
      </w:r>
      <w:r>
        <w:rPr>
          <w:sz w:val="20"/>
          <w:szCs w:val="20"/>
          <w:color w:val="auto"/>
        </w:rPr>
        <w:tab/>
      </w:r>
      <w:r>
        <w:rPr>
          <w:rFonts w:ascii="Times New Roman" w:cs="Times New Roman" w:eastAsia="Times New Roman" w:hAnsi="Times New Roman"/>
          <w:sz w:val="9"/>
          <w:szCs w:val="9"/>
          <w:color w:val="FFFFFF"/>
        </w:rPr>
        <w:t>$1,000 $1,000</w:t>
      </w:r>
    </w:p>
    <w:p>
      <w:pPr>
        <w:ind w:left="80"/>
        <w:spacing w:after="0" w:line="205" w:lineRule="auto"/>
        <w:rPr>
          <w:sz w:val="20"/>
          <w:szCs w:val="20"/>
          <w:color w:val="auto"/>
        </w:rPr>
      </w:pPr>
      <w:r>
        <w:rPr>
          <w:rFonts w:ascii="Times New Roman" w:cs="Times New Roman" w:eastAsia="Times New Roman" w:hAnsi="Times New Roman"/>
          <w:sz w:val="4"/>
          <w:szCs w:val="4"/>
          <w:color w:val="FFFFFF"/>
        </w:rPr>
        <w:t>800</w:t>
      </w:r>
    </w:p>
    <w:p>
      <w:pPr>
        <w:ind w:left="140"/>
        <w:spacing w:after="0" w:line="205" w:lineRule="auto"/>
        <w:rPr>
          <w:sz w:val="20"/>
          <w:szCs w:val="20"/>
          <w:color w:val="auto"/>
        </w:rPr>
      </w:pPr>
      <w:r>
        <w:rPr>
          <w:rFonts w:ascii="Times New Roman" w:cs="Times New Roman" w:eastAsia="Times New Roman" w:hAnsi="Times New Roman"/>
          <w:sz w:val="4"/>
          <w:szCs w:val="4"/>
          <w:color w:val="FFFFFF"/>
        </w:rPr>
        <w:t>72</w:t>
      </w:r>
    </w:p>
    <w:p>
      <w:pPr>
        <w:ind w:left="80"/>
        <w:spacing w:after="0" w:line="205" w:lineRule="auto"/>
        <w:rPr>
          <w:sz w:val="20"/>
          <w:szCs w:val="20"/>
          <w:color w:val="auto"/>
        </w:rPr>
      </w:pPr>
      <w:r>
        <w:rPr>
          <w:rFonts w:ascii="Times New Roman" w:cs="Times New Roman" w:eastAsia="Times New Roman" w:hAnsi="Times New Roman"/>
          <w:sz w:val="4"/>
          <w:szCs w:val="4"/>
          <w:color w:val="FFFFFF"/>
        </w:rPr>
        <w:t>700</w:t>
      </w:r>
    </w:p>
    <w:p>
      <w:pPr>
        <w:ind w:left="80"/>
        <w:spacing w:after="0" w:line="182" w:lineRule="auto"/>
        <w:rPr>
          <w:sz w:val="20"/>
          <w:szCs w:val="20"/>
          <w:color w:val="auto"/>
        </w:rPr>
      </w:pPr>
      <w:r>
        <w:rPr>
          <w:rFonts w:ascii="Times New Roman" w:cs="Times New Roman" w:eastAsia="Times New Roman" w:hAnsi="Times New Roman"/>
          <w:sz w:val="9"/>
          <w:szCs w:val="9"/>
          <w:color w:val="FFFFFF"/>
          <w:vertAlign w:val="subscript"/>
        </w:rPr>
        <w:t>6</w:t>
      </w:r>
      <w:r>
        <w:rPr>
          <w:rFonts w:ascii="Times New Roman" w:cs="Times New Roman" w:eastAsia="Times New Roman" w:hAnsi="Times New Roman"/>
          <w:sz w:val="7"/>
          <w:szCs w:val="7"/>
          <w:color w:val="FFFFFF"/>
        </w:rPr>
        <w:t>80</w:t>
      </w:r>
    </w:p>
    <w:p>
      <w:pPr>
        <w:ind w:left="80"/>
        <w:spacing w:after="0" w:line="205" w:lineRule="auto"/>
        <w:rPr>
          <w:sz w:val="20"/>
          <w:szCs w:val="20"/>
          <w:color w:val="auto"/>
        </w:rPr>
      </w:pPr>
      <w:r>
        <w:rPr>
          <w:rFonts w:ascii="Times New Roman" w:cs="Times New Roman" w:eastAsia="Times New Roman" w:hAnsi="Times New Roman"/>
          <w:sz w:val="4"/>
          <w:szCs w:val="4"/>
          <w:color w:val="FFFFFF"/>
        </w:rPr>
        <w:t>5</w:t>
      </w:r>
    </w:p>
    <w:p>
      <w:pPr>
        <w:ind w:left="80"/>
        <w:spacing w:after="0" w:line="205" w:lineRule="auto"/>
        <w:rPr>
          <w:sz w:val="20"/>
          <w:szCs w:val="20"/>
          <w:color w:val="auto"/>
        </w:rPr>
      </w:pPr>
      <w:r>
        <w:rPr>
          <w:rFonts w:ascii="Times New Roman" w:cs="Times New Roman" w:eastAsia="Times New Roman" w:hAnsi="Times New Roman"/>
          <w:sz w:val="4"/>
          <w:szCs w:val="4"/>
          <w:color w:val="FFFFFF"/>
        </w:rPr>
        <w:t>400</w:t>
      </w:r>
    </w:p>
    <w:p>
      <w:pPr>
        <w:ind w:left="80"/>
        <w:spacing w:after="0" w:line="189" w:lineRule="auto"/>
        <w:rPr>
          <w:sz w:val="20"/>
          <w:szCs w:val="20"/>
          <w:color w:val="auto"/>
        </w:rPr>
      </w:pPr>
      <w:r>
        <w:rPr>
          <w:rFonts w:ascii="Times New Roman" w:cs="Times New Roman" w:eastAsia="Times New Roman" w:hAnsi="Times New Roman"/>
          <w:sz w:val="13"/>
          <w:szCs w:val="13"/>
          <w:color w:val="FFFFFF"/>
          <w:vertAlign w:val="subscript"/>
        </w:rPr>
        <w:t>3</w:t>
      </w:r>
      <w:r>
        <w:rPr>
          <w:rFonts w:ascii="Times New Roman" w:cs="Times New Roman" w:eastAsia="Times New Roman" w:hAnsi="Times New Roman"/>
          <w:sz w:val="8"/>
          <w:szCs w:val="8"/>
          <w:color w:val="FFFFFF"/>
        </w:rPr>
        <w:t>73</w:t>
      </w:r>
    </w:p>
    <w:p>
      <w:pPr>
        <w:spacing w:after="0" w:line="182" w:lineRule="auto"/>
        <w:rPr>
          <w:sz w:val="20"/>
          <w:szCs w:val="20"/>
          <w:color w:val="auto"/>
        </w:rPr>
      </w:pPr>
      <w:r>
        <w:rPr>
          <w:rFonts w:ascii="Times New Roman" w:cs="Times New Roman" w:eastAsia="Times New Roman" w:hAnsi="Times New Roman"/>
          <w:sz w:val="9"/>
          <w:szCs w:val="9"/>
          <w:color w:val="FFFFFF"/>
        </w:rPr>
        <w:t>$200 2013 Base 2018</w:t>
      </w:r>
    </w:p>
    <w:p>
      <w:pPr>
        <w:spacing w:after="0" w:line="206" w:lineRule="auto"/>
        <w:rPr>
          <w:sz w:val="20"/>
          <w:szCs w:val="20"/>
          <w:color w:val="auto"/>
        </w:rPr>
      </w:pPr>
      <w:r>
        <w:rPr>
          <w:rFonts w:ascii="Times New Roman" w:cs="Times New Roman" w:eastAsia="Times New Roman" w:hAnsi="Times New Roman"/>
          <w:sz w:val="4"/>
          <w:szCs w:val="4"/>
          <w:color w:val="FFFFFF"/>
        </w:rPr>
        <w:t>Organic2014FullGrowthYearPro Forma Revenue</w:t>
      </w:r>
    </w:p>
    <w:p>
      <w:pPr>
        <w:spacing w:after="0" w:line="189" w:lineRule="auto"/>
        <w:rPr>
          <w:sz w:val="20"/>
          <w:szCs w:val="20"/>
          <w:color w:val="auto"/>
        </w:rPr>
      </w:pPr>
      <w:r>
        <w:rPr>
          <w:rFonts w:ascii="Times New Roman" w:cs="Times New Roman" w:eastAsia="Times New Roman" w:hAnsi="Times New Roman"/>
          <w:sz w:val="13"/>
          <w:szCs w:val="13"/>
          <w:color w:val="FFFFFF"/>
        </w:rPr>
        <w:t>3%AdjacentperYearMarkets</w:t>
      </w:r>
    </w:p>
    <w:p>
      <w:pPr>
        <w:spacing w:after="0" w:line="182" w:lineRule="auto"/>
        <w:rPr>
          <w:sz w:val="20"/>
          <w:szCs w:val="20"/>
          <w:color w:val="auto"/>
        </w:rPr>
      </w:pPr>
      <w:r>
        <w:rPr>
          <w:rFonts w:ascii="Times New Roman" w:cs="Times New Roman" w:eastAsia="Times New Roman" w:hAnsi="Times New Roman"/>
          <w:sz w:val="9"/>
          <w:szCs w:val="9"/>
          <w:color w:val="FFFFFF"/>
        </w:rPr>
        <w:t>Acquisitions5%perYear</w:t>
      </w:r>
    </w:p>
    <w:p>
      <w:pPr>
        <w:spacing w:after="0" w:line="207" w:lineRule="auto"/>
        <w:rPr>
          <w:sz w:val="20"/>
          <w:szCs w:val="20"/>
          <w:color w:val="auto"/>
        </w:rPr>
      </w:pPr>
      <w:r>
        <w:rPr>
          <w:rFonts w:ascii="Times New Roman" w:cs="Times New Roman" w:eastAsia="Times New Roman" w:hAnsi="Times New Roman"/>
          <w:sz w:val="4"/>
          <w:szCs w:val="4"/>
          <w:color w:val="FFFFFF"/>
        </w:rPr>
        <w:t>$Outpace1+billiontheinMarketrevenuewith Expanded Focus and Investment</w:t>
      </w:r>
    </w:p>
    <w:p>
      <w:pPr>
        <w:spacing w:after="0" w:line="205" w:lineRule="auto"/>
        <w:rPr>
          <w:sz w:val="20"/>
          <w:szCs w:val="20"/>
          <w:color w:val="auto"/>
        </w:rPr>
      </w:pPr>
      <w:r>
        <w:rPr>
          <w:rFonts w:ascii="Times New Roman" w:cs="Times New Roman" w:eastAsia="Times New Roman" w:hAnsi="Times New Roman"/>
          <w:sz w:val="4"/>
          <w:szCs w:val="4"/>
          <w:color w:val="FFFFFF"/>
          <w:vertAlign w:val="superscript"/>
        </w:rPr>
        <w:t>~$</w:t>
      </w:r>
      <w:r>
        <w:rPr>
          <w:rFonts w:ascii="Times New Roman" w:cs="Times New Roman" w:eastAsia="Times New Roman" w:hAnsi="Times New Roman"/>
          <w:sz w:val="2"/>
          <w:szCs w:val="2"/>
          <w:color w:val="FFFFFF"/>
        </w:rPr>
        <w:t>75</w:t>
      </w:r>
      <w:r>
        <w:rPr>
          <w:rFonts w:ascii="Times New Roman" w:cs="Times New Roman" w:eastAsia="Times New Roman" w:hAnsi="Times New Roman"/>
          <w:sz w:val="4"/>
          <w:szCs w:val="4"/>
          <w:color w:val="FFFFFF"/>
          <w:vertAlign w:val="superscript"/>
        </w:rPr>
        <w:t>245</w:t>
      </w:r>
      <w:r>
        <w:rPr>
          <w:rFonts w:ascii="Times New Roman" w:cs="Times New Roman" w:eastAsia="Times New Roman" w:hAnsi="Times New Roman"/>
          <w:sz w:val="2"/>
          <w:szCs w:val="2"/>
          <w:color w:val="FFFFFF"/>
        </w:rPr>
        <w:t>million planned acquisitions</w:t>
      </w:r>
    </w:p>
    <w:p>
      <w:pPr>
        <w:ind w:right="4819" w:firstLine="365"/>
        <w:spacing w:after="0" w:line="204" w:lineRule="auto"/>
        <w:rPr>
          <w:sz w:val="20"/>
          <w:szCs w:val="20"/>
          <w:color w:val="auto"/>
        </w:rPr>
      </w:pPr>
      <w:r>
        <w:rPr>
          <w:rFonts w:ascii="Times New Roman" w:cs="Times New Roman" w:eastAsia="Times New Roman" w:hAnsi="Times New Roman"/>
          <w:sz w:val="8"/>
          <w:szCs w:val="8"/>
          <w:color w:val="FFFFFF"/>
        </w:rPr>
        <w:t>million from organic and adjacent market growth based on enhanced R&amp;D and market presence Improving segment operating margins: 2013 2018</w:t>
      </w:r>
    </w:p>
    <w:p>
      <w:pPr>
        <w:spacing w:after="0" w:line="206" w:lineRule="auto"/>
        <w:rPr>
          <w:sz w:val="20"/>
          <w:szCs w:val="20"/>
          <w:color w:val="auto"/>
        </w:rPr>
      </w:pPr>
      <w:r>
        <w:rPr>
          <w:rFonts w:ascii="Times New Roman" w:cs="Times New Roman" w:eastAsia="Times New Roman" w:hAnsi="Times New Roman"/>
          <w:sz w:val="4"/>
          <w:szCs w:val="4"/>
          <w:color w:val="FFFFFF"/>
        </w:rPr>
        <w:t>Metal Bearing Components: 10.7% 17.4%</w:t>
      </w:r>
    </w:p>
    <w:p>
      <w:pPr>
        <w:spacing w:after="0" w:line="205" w:lineRule="auto"/>
        <w:rPr>
          <w:sz w:val="20"/>
          <w:szCs w:val="20"/>
          <w:color w:val="auto"/>
        </w:rPr>
      </w:pPr>
      <w:r>
        <w:rPr>
          <w:rFonts w:ascii="Times New Roman" w:cs="Times New Roman" w:eastAsia="Times New Roman" w:hAnsi="Times New Roman"/>
          <w:sz w:val="4"/>
          <w:szCs w:val="4"/>
          <w:color w:val="FFFFFF"/>
        </w:rPr>
        <w:t>Autocam Precision Components: 11.6% 16.0%</w:t>
      </w:r>
    </w:p>
    <w:p>
      <w:pPr>
        <w:spacing w:after="0" w:line="182" w:lineRule="auto"/>
        <w:rPr>
          <w:sz w:val="20"/>
          <w:szCs w:val="20"/>
          <w:color w:val="auto"/>
        </w:rPr>
      </w:pPr>
      <w:r>
        <w:rPr>
          <w:rFonts w:ascii="Times New Roman" w:cs="Times New Roman" w:eastAsia="Times New Roman" w:hAnsi="Times New Roman"/>
          <w:sz w:val="7"/>
          <w:szCs w:val="7"/>
          <w:color w:val="FFFFFF"/>
        </w:rPr>
        <w:t>Plastic and Rubber Components:</w:t>
      </w:r>
      <w:r>
        <w:rPr>
          <w:rFonts w:ascii="Times New Roman" w:cs="Times New Roman" w:eastAsia="Times New Roman" w:hAnsi="Times New Roman"/>
          <w:sz w:val="9"/>
          <w:szCs w:val="9"/>
          <w:color w:val="FFFFFF"/>
          <w:vertAlign w:val="superscript"/>
        </w:rPr>
        <w:t>270%</w:t>
      </w:r>
      <w:r>
        <w:rPr>
          <w:rFonts w:ascii="Times New Roman" w:cs="Times New Roman" w:eastAsia="Times New Roman" w:hAnsi="Times New Roman"/>
          <w:sz w:val="7"/>
          <w:szCs w:val="7"/>
          <w:color w:val="FFFFFF"/>
        </w:rPr>
        <w:t>.0% 12.0%</w:t>
      </w:r>
    </w:p>
    <w:p>
      <w:pPr>
        <w:spacing w:after="0" w:line="188" w:lineRule="auto"/>
        <w:tabs>
          <w:tab w:leader="none" w:pos="1860" w:val="left"/>
        </w:tabs>
        <w:rPr>
          <w:sz w:val="20"/>
          <w:szCs w:val="20"/>
          <w:color w:val="auto"/>
        </w:rPr>
      </w:pPr>
      <w:r>
        <w:rPr>
          <w:rFonts w:ascii="Times New Roman" w:cs="Times New Roman" w:eastAsia="Times New Roman" w:hAnsi="Times New Roman"/>
          <w:sz w:val="13"/>
          <w:szCs w:val="13"/>
          <w:color w:val="FFFFFF"/>
        </w:rPr>
        <w:t>23NN will be growing revenue</w:t>
      </w:r>
      <w:r>
        <w:rPr>
          <w:sz w:val="20"/>
          <w:szCs w:val="20"/>
          <w:color w:val="auto"/>
        </w:rPr>
        <w:tab/>
      </w:r>
      <w:r>
        <w:rPr>
          <w:rFonts w:ascii="Times New Roman" w:cs="Times New Roman" w:eastAsia="Times New Roman" w:hAnsi="Times New Roman"/>
          <w:sz w:val="13"/>
          <w:szCs w:val="13"/>
          <w:color w:val="FFFFFF"/>
        </w:rPr>
        <w:t>and EPS 400% over the Strategic Plan years</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JamesNewYorkH.DortonInvestor Day 2015</w:t>
      </w:r>
    </w:p>
    <w:p>
      <w:pPr>
        <w:spacing w:after="0" w:line="204" w:lineRule="auto"/>
        <w:rPr>
          <w:sz w:val="20"/>
          <w:szCs w:val="20"/>
          <w:color w:val="auto"/>
        </w:rPr>
      </w:pPr>
      <w:r>
        <w:rPr>
          <w:rFonts w:ascii="Times New Roman" w:cs="Times New Roman" w:eastAsia="Times New Roman" w:hAnsi="Times New Roman"/>
          <w:sz w:val="4"/>
          <w:szCs w:val="4"/>
          <w:color w:val="FFFFFF"/>
        </w:rPr>
        <w:t>Senior Vice President &amp; Chief Financial Officer</w:t>
      </w:r>
    </w:p>
    <w:p>
      <w:pPr>
        <w:spacing w:after="0" w:line="205" w:lineRule="auto"/>
        <w:rPr>
          <w:sz w:val="20"/>
          <w:szCs w:val="20"/>
          <w:color w:val="auto"/>
        </w:rPr>
      </w:pPr>
      <w:r>
        <w:rPr>
          <w:rFonts w:ascii="Times New Roman" w:cs="Times New Roman" w:eastAsia="Times New Roman" w:hAnsi="Times New Roman"/>
          <w:sz w:val="4"/>
          <w:szCs w:val="4"/>
          <w:color w:val="FFFFFF"/>
        </w:rPr>
        <w:t>30+ year career in public company financial management</w:t>
      </w:r>
    </w:p>
    <w:p>
      <w:pPr>
        <w:spacing w:after="0" w:line="182" w:lineRule="auto"/>
        <w:rPr>
          <w:sz w:val="20"/>
          <w:szCs w:val="20"/>
          <w:color w:val="auto"/>
        </w:rPr>
      </w:pPr>
      <w:r>
        <w:rPr>
          <w:rFonts w:ascii="Times New Roman" w:cs="Times New Roman" w:eastAsia="Times New Roman" w:hAnsi="Times New Roman"/>
          <w:sz w:val="9"/>
          <w:szCs w:val="9"/>
          <w:color w:val="FFFFFF"/>
        </w:rPr>
        <w:t>Joined NN in 2005 as CFO after serving as CFO of Specialty Foods Group</w:t>
      </w:r>
    </w:p>
    <w:p>
      <w:pPr>
        <w:spacing w:after="0" w:line="206" w:lineRule="auto"/>
        <w:rPr>
          <w:sz w:val="20"/>
          <w:szCs w:val="20"/>
          <w:color w:val="auto"/>
        </w:rPr>
      </w:pPr>
      <w:r>
        <w:rPr>
          <w:rFonts w:ascii="Times New Roman" w:cs="Times New Roman" w:eastAsia="Times New Roman" w:hAnsi="Times New Roman"/>
          <w:sz w:val="4"/>
          <w:szCs w:val="4"/>
          <w:color w:val="FFFFFF"/>
        </w:rPr>
        <w:t>CertifiedPreviouslyPublicheld severalAccountantleadership positions at Bowater, Inc. and Intergraph Corporation, including Treasurer, and VP of Corporate Development.</w:t>
      </w:r>
    </w:p>
    <w:p>
      <w:pPr>
        <w:spacing w:after="0"/>
        <w:rPr>
          <w:sz w:val="20"/>
          <w:szCs w:val="20"/>
          <w:color w:val="auto"/>
        </w:rPr>
      </w:pPr>
      <w:r>
        <w:rPr>
          <w:rFonts w:ascii="Times New Roman" w:cs="Times New Roman" w:eastAsia="Times New Roman" w:hAnsi="Times New Roman"/>
          <w:sz w:val="13"/>
          <w:szCs w:val="13"/>
          <w:color w:val="FFFFFF"/>
        </w:rPr>
        <w:t>24</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Expanding8</w:t>
      </w:r>
      <w:r>
        <w:rPr>
          <w:rFonts w:ascii="Times New Roman" w:cs="Times New Roman" w:eastAsia="Times New Roman" w:hAnsi="Times New Roman"/>
          <w:sz w:val="26"/>
          <w:szCs w:val="26"/>
          <w:color w:val="FFFFFF"/>
          <w:vertAlign w:val="subscript"/>
        </w:rPr>
        <w:t>6</w:t>
      </w:r>
      <w:r>
        <w:rPr>
          <w:rFonts w:ascii="Times New Roman" w:cs="Times New Roman" w:eastAsia="Times New Roman" w:hAnsi="Times New Roman"/>
          <w:sz w:val="13"/>
          <w:szCs w:val="13"/>
          <w:color w:val="FFFFFF"/>
        </w:rPr>
        <w:t xml:space="preserve"> Operating Margins</w:t>
      </w:r>
    </w:p>
    <w:p>
      <w:pPr>
        <w:spacing w:after="0" w:line="189" w:lineRule="auto"/>
        <w:rPr>
          <w:sz w:val="20"/>
          <w:szCs w:val="20"/>
          <w:color w:val="auto"/>
        </w:rPr>
      </w:pPr>
      <w:r>
        <w:rPr>
          <w:rFonts w:ascii="Times New Roman" w:cs="Times New Roman" w:eastAsia="Times New Roman" w:hAnsi="Times New Roman"/>
          <w:sz w:val="13"/>
          <w:szCs w:val="13"/>
          <w:color w:val="FFFFFF"/>
        </w:rPr>
        <w:t>1024</w:t>
      </w:r>
    </w:p>
    <w:p>
      <w:pPr>
        <w:spacing w:after="0"/>
        <w:rPr>
          <w:sz w:val="20"/>
          <w:szCs w:val="20"/>
          <w:color w:val="auto"/>
        </w:rPr>
      </w:pPr>
      <w:r>
        <w:rPr>
          <w:rFonts w:ascii="Times New Roman" w:cs="Times New Roman" w:eastAsia="Times New Roman" w:hAnsi="Times New Roman"/>
          <w:sz w:val="13"/>
          <w:szCs w:val="13"/>
          <w:color w:val="FFFFFF"/>
        </w:rPr>
        <w:t>8</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2</w:t>
      </w:r>
    </w:p>
    <w:p>
      <w:pPr>
        <w:spacing w:after="0" w:line="181" w:lineRule="auto"/>
        <w:rPr>
          <w:sz w:val="20"/>
          <w:szCs w:val="20"/>
          <w:color w:val="auto"/>
        </w:rPr>
      </w:pPr>
      <w:r>
        <w:rPr>
          <w:rFonts w:ascii="Times New Roman" w:cs="Times New Roman" w:eastAsia="Times New Roman" w:hAnsi="Times New Roman"/>
          <w:sz w:val="13"/>
          <w:szCs w:val="13"/>
          <w:color w:val="FFFFFF"/>
        </w:rPr>
        <w:t>0</w:t>
      </w:r>
    </w:p>
    <w:p>
      <w:pPr>
        <w:spacing w:after="0" w:line="207" w:lineRule="auto"/>
        <w:rPr>
          <w:sz w:val="20"/>
          <w:szCs w:val="20"/>
          <w:color w:val="auto"/>
        </w:rPr>
      </w:pPr>
      <w:r>
        <w:rPr>
          <w:rFonts w:ascii="Times New Roman" w:cs="Times New Roman" w:eastAsia="Times New Roman" w:hAnsi="Times New Roman"/>
          <w:sz w:val="4"/>
          <w:szCs w:val="4"/>
          <w:color w:val="FFFFFF"/>
        </w:rPr>
        <w:t>APC MBC PRC</w:t>
      </w:r>
    </w:p>
    <w:p>
      <w:pPr>
        <w:spacing w:after="0" w:line="186" w:lineRule="auto"/>
        <w:rPr>
          <w:sz w:val="20"/>
          <w:szCs w:val="20"/>
          <w:color w:val="auto"/>
        </w:rPr>
      </w:pPr>
      <w:r>
        <w:rPr>
          <w:rFonts w:ascii="Times New Roman" w:cs="Times New Roman" w:eastAsia="Times New Roman" w:hAnsi="Times New Roman"/>
          <w:sz w:val="22"/>
          <w:szCs w:val="22"/>
          <w:color w:val="FFFFFF"/>
          <w:vertAlign w:val="subscript"/>
        </w:rPr>
        <w:t>25</w:t>
      </w:r>
      <w:r>
        <w:rPr>
          <w:rFonts w:ascii="Times New Roman" w:cs="Times New Roman" w:eastAsia="Times New Roman" w:hAnsi="Times New Roman"/>
          <w:sz w:val="12"/>
          <w:szCs w:val="12"/>
          <w:color w:val="FFFFFF"/>
        </w:rPr>
        <w:t>013 Operating Margin 2018 Operating Margin</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FFFFFF"/>
        </w:rPr>
        <w:t>31.Strategic9% Building Blocks 2018</w:t>
      </w:r>
    </w:p>
    <w:p>
      <w:pPr>
        <w:spacing w:after="0" w:line="182" w:lineRule="auto"/>
        <w:rPr>
          <w:sz w:val="20"/>
          <w:szCs w:val="20"/>
          <w:color w:val="auto"/>
        </w:rPr>
      </w:pPr>
      <w:r>
        <w:rPr>
          <w:rFonts w:ascii="Times New Roman" w:cs="Times New Roman" w:eastAsia="Times New Roman" w:hAnsi="Times New Roman"/>
          <w:sz w:val="9"/>
          <w:szCs w:val="9"/>
          <w:color w:val="FFFFFF"/>
        </w:rPr>
        <w:t>EPS CAGR</w:t>
      </w:r>
    </w:p>
    <w:p>
      <w:pPr>
        <w:spacing w:after="0" w:line="205" w:lineRule="auto"/>
        <w:rPr>
          <w:sz w:val="20"/>
          <w:szCs w:val="20"/>
          <w:color w:val="auto"/>
        </w:rPr>
      </w:pPr>
      <w:r>
        <w:rPr>
          <w:rFonts w:ascii="Times New Roman" w:cs="Times New Roman" w:eastAsia="Times New Roman" w:hAnsi="Times New Roman"/>
          <w:sz w:val="4"/>
          <w:szCs w:val="4"/>
          <w:color w:val="FFFFFF"/>
        </w:rPr>
        <w:t>ROIC18.2%</w:t>
      </w:r>
    </w:p>
    <w:p>
      <w:pPr>
        <w:spacing w:after="0" w:line="182" w:lineRule="auto"/>
        <w:rPr>
          <w:sz w:val="20"/>
          <w:szCs w:val="20"/>
          <w:color w:val="auto"/>
        </w:rPr>
      </w:pPr>
      <w:r>
        <w:rPr>
          <w:rFonts w:ascii="Times New Roman" w:cs="Times New Roman" w:eastAsia="Times New Roman" w:hAnsi="Times New Roman"/>
          <w:sz w:val="9"/>
          <w:szCs w:val="9"/>
          <w:color w:val="FFFFFF"/>
        </w:rPr>
        <w:t>21.8%</w:t>
      </w:r>
    </w:p>
    <w:p>
      <w:pPr>
        <w:spacing w:after="0" w:line="205" w:lineRule="auto"/>
        <w:rPr>
          <w:sz w:val="20"/>
          <w:szCs w:val="20"/>
          <w:color w:val="auto"/>
        </w:rPr>
      </w:pPr>
      <w:r>
        <w:rPr>
          <w:rFonts w:ascii="Times New Roman" w:cs="Times New Roman" w:eastAsia="Times New Roman" w:hAnsi="Times New Roman"/>
          <w:sz w:val="4"/>
          <w:szCs w:val="4"/>
          <w:color w:val="FFFFFF"/>
        </w:rPr>
        <w:t>37.Sales5%CAGR</w:t>
      </w:r>
    </w:p>
    <w:p>
      <w:pPr>
        <w:spacing w:after="0" w:line="205" w:lineRule="auto"/>
        <w:rPr>
          <w:sz w:val="20"/>
          <w:szCs w:val="20"/>
          <w:color w:val="auto"/>
        </w:rPr>
      </w:pPr>
      <w:r>
        <w:rPr>
          <w:rFonts w:ascii="Times New Roman" w:cs="Times New Roman" w:eastAsia="Times New Roman" w:hAnsi="Times New Roman"/>
          <w:sz w:val="12"/>
          <w:szCs w:val="12"/>
          <w:color w:val="FFFFFF"/>
        </w:rPr>
        <w:t>Operating25.8% Income CAGR</w:t>
      </w:r>
    </w:p>
    <w:p>
      <w:pPr>
        <w:spacing w:after="0"/>
        <w:rPr>
          <w:sz w:val="20"/>
          <w:szCs w:val="20"/>
          <w:color w:val="auto"/>
        </w:rPr>
      </w:pPr>
      <w:r>
        <w:rPr>
          <w:rFonts w:ascii="Times New Roman" w:cs="Times New Roman" w:eastAsia="Times New Roman" w:hAnsi="Times New Roman"/>
          <w:sz w:val="13"/>
          <w:szCs w:val="13"/>
          <w:color w:val="FFFFFF"/>
        </w:rPr>
        <w:t>26Manufacturing Margin</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FFFFFF"/>
        </w:rPr>
        <w:t>2014Today &amp; Future Vision – Segment Mix</w:t>
      </w:r>
    </w:p>
    <w:p>
      <w:pPr>
        <w:spacing w:after="0" w:line="204" w:lineRule="auto"/>
        <w:rPr>
          <w:sz w:val="20"/>
          <w:szCs w:val="20"/>
          <w:color w:val="auto"/>
        </w:rPr>
      </w:pPr>
      <w:r>
        <w:rPr>
          <w:rFonts w:ascii="Times New Roman" w:cs="Times New Roman" w:eastAsia="Times New Roman" w:hAnsi="Times New Roman"/>
          <w:sz w:val="4"/>
          <w:szCs w:val="4"/>
          <w:color w:val="FFFFFF"/>
        </w:rPr>
        <w:t>2018Revenue = $680M*</w:t>
      </w:r>
    </w:p>
    <w:p>
      <w:pPr>
        <w:spacing w:after="0" w:line="182" w:lineRule="auto"/>
        <w:rPr>
          <w:sz w:val="20"/>
          <w:szCs w:val="20"/>
          <w:color w:val="auto"/>
        </w:rPr>
      </w:pPr>
      <w:r>
        <w:rPr>
          <w:rFonts w:ascii="Times New Roman" w:cs="Times New Roman" w:eastAsia="Times New Roman" w:hAnsi="Times New Roman"/>
          <w:sz w:val="9"/>
          <w:szCs w:val="9"/>
          <w:color w:val="FFFFFF"/>
        </w:rPr>
        <w:t>Revenue = $1B</w:t>
      </w:r>
    </w:p>
    <w:p>
      <w:pPr>
        <w:spacing w:after="0" w:line="206" w:lineRule="auto"/>
        <w:rPr>
          <w:sz w:val="20"/>
          <w:szCs w:val="20"/>
          <w:color w:val="auto"/>
        </w:rPr>
      </w:pPr>
      <w:r>
        <w:rPr>
          <w:rFonts w:ascii="Times New Roman" w:cs="Times New Roman" w:eastAsia="Times New Roman" w:hAnsi="Times New Roman"/>
          <w:sz w:val="4"/>
          <w:szCs w:val="4"/>
          <w:color w:val="FFFFFF"/>
        </w:rPr>
        <w:t>Metal Bearing Components</w:t>
      </w:r>
    </w:p>
    <w:p>
      <w:pPr>
        <w:spacing w:after="0" w:line="182" w:lineRule="auto"/>
        <w:rPr>
          <w:sz w:val="20"/>
          <w:szCs w:val="20"/>
          <w:color w:val="auto"/>
        </w:rPr>
      </w:pPr>
      <w:r>
        <w:rPr>
          <w:rFonts w:ascii="Times New Roman" w:cs="Times New Roman" w:eastAsia="Times New Roman" w:hAnsi="Times New Roman"/>
          <w:sz w:val="9"/>
          <w:szCs w:val="9"/>
          <w:color w:val="FFFFFF"/>
        </w:rPr>
        <w:t>AutocamPlastic&amp; PrecisionRubberComponentsComponents</w:t>
      </w:r>
    </w:p>
    <w:p>
      <w:pPr>
        <w:spacing w:after="0"/>
        <w:rPr>
          <w:sz w:val="20"/>
          <w:szCs w:val="20"/>
          <w:color w:val="auto"/>
        </w:rPr>
      </w:pPr>
      <w:r>
        <w:rPr>
          <w:rFonts w:ascii="Times New Roman" w:cs="Times New Roman" w:eastAsia="Times New Roman" w:hAnsi="Times New Roman"/>
          <w:sz w:val="12"/>
          <w:szCs w:val="12"/>
          <w:color w:val="FFFFFF"/>
        </w:rPr>
        <w:t>27*Proforma full year consolidated revenue</w:t>
      </w:r>
    </w:p>
    <w:p>
      <w:pPr>
        <w:sectPr>
          <w:pgSz w:w="11900" w:h="16838" w:orient="portrait"/>
          <w:cols w:equalWidth="0" w:num="1">
            <w:col w:w="10219"/>
          </w:cols>
          <w:pgMar w:left="2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FFFFFF"/>
        </w:rPr>
        <w:t>2014Today &amp; Future Vision – End Markets</w:t>
      </w:r>
    </w:p>
    <w:p>
      <w:pPr>
        <w:spacing w:after="0" w:line="204" w:lineRule="auto"/>
        <w:rPr>
          <w:sz w:val="20"/>
          <w:szCs w:val="20"/>
          <w:color w:val="auto"/>
        </w:rPr>
      </w:pPr>
      <w:r>
        <w:rPr>
          <w:rFonts w:ascii="Times New Roman" w:cs="Times New Roman" w:eastAsia="Times New Roman" w:hAnsi="Times New Roman"/>
          <w:sz w:val="4"/>
          <w:szCs w:val="4"/>
          <w:color w:val="FFFFFF"/>
        </w:rPr>
        <w:t>2018Revenue = $680M*</w:t>
      </w:r>
    </w:p>
    <w:p>
      <w:pPr>
        <w:spacing w:after="0" w:line="205" w:lineRule="auto"/>
        <w:rPr>
          <w:sz w:val="20"/>
          <w:szCs w:val="20"/>
          <w:color w:val="auto"/>
        </w:rPr>
      </w:pPr>
      <w:r>
        <w:rPr>
          <w:rFonts w:ascii="Times New Roman" w:cs="Times New Roman" w:eastAsia="Times New Roman" w:hAnsi="Times New Roman"/>
          <w:sz w:val="4"/>
          <w:szCs w:val="4"/>
          <w:color w:val="FFFFFF"/>
        </w:rPr>
        <w:t>Revenue = $1B</w:t>
      </w:r>
    </w:p>
    <w:p>
      <w:pPr>
        <w:spacing w:after="0" w:line="182" w:lineRule="auto"/>
        <w:rPr>
          <w:sz w:val="20"/>
          <w:szCs w:val="20"/>
          <w:color w:val="auto"/>
        </w:rPr>
      </w:pPr>
      <w:r>
        <w:rPr>
          <w:rFonts w:ascii="Times New Roman" w:cs="Times New Roman" w:eastAsia="Times New Roman" w:hAnsi="Times New Roman"/>
          <w:sz w:val="9"/>
          <w:szCs w:val="9"/>
          <w:color w:val="FFFFFF"/>
          <w:vertAlign w:val="subscript"/>
        </w:rPr>
        <w:t>8%</w:t>
      </w:r>
      <w:r>
        <w:rPr>
          <w:rFonts w:ascii="Times New Roman" w:cs="Times New Roman" w:eastAsia="Times New Roman" w:hAnsi="Times New Roman"/>
          <w:sz w:val="7"/>
          <w:szCs w:val="7"/>
          <w:color w:val="FFFFFF"/>
        </w:rPr>
        <w:t>5% 0%</w:t>
      </w:r>
    </w:p>
    <w:p>
      <w:pPr>
        <w:spacing w:after="0" w:line="182" w:lineRule="auto"/>
        <w:rPr>
          <w:sz w:val="20"/>
          <w:szCs w:val="20"/>
          <w:color w:val="auto"/>
        </w:rPr>
      </w:pPr>
      <w:r>
        <w:rPr>
          <w:rFonts w:ascii="Times New Roman" w:cs="Times New Roman" w:eastAsia="Times New Roman" w:hAnsi="Times New Roman"/>
          <w:sz w:val="9"/>
          <w:szCs w:val="9"/>
          <w:color w:val="FFFFFF"/>
        </w:rPr>
        <w:t>17%</w:t>
      </w:r>
    </w:p>
    <w:p>
      <w:pPr>
        <w:spacing w:after="0" w:line="206" w:lineRule="auto"/>
        <w:rPr>
          <w:sz w:val="20"/>
          <w:szCs w:val="20"/>
          <w:color w:val="auto"/>
        </w:rPr>
      </w:pPr>
      <w:r>
        <w:rPr>
          <w:rFonts w:ascii="Times New Roman" w:cs="Times New Roman" w:eastAsia="Times New Roman" w:hAnsi="Times New Roman"/>
          <w:sz w:val="4"/>
          <w:szCs w:val="4"/>
          <w:color w:val="FFFFFF"/>
        </w:rPr>
        <w:t>[PERCENTAGE]</w:t>
      </w:r>
    </w:p>
    <w:p>
      <w:pPr>
        <w:spacing w:after="0" w:line="182" w:lineRule="auto"/>
        <w:rPr>
          <w:sz w:val="20"/>
          <w:szCs w:val="20"/>
          <w:color w:val="auto"/>
        </w:rPr>
      </w:pPr>
      <w:r>
        <w:rPr>
          <w:rFonts w:ascii="Times New Roman" w:cs="Times New Roman" w:eastAsia="Times New Roman" w:hAnsi="Times New Roman"/>
          <w:sz w:val="9"/>
          <w:szCs w:val="9"/>
          <w:color w:val="FFFFFF"/>
        </w:rPr>
        <w:t>8%10% 0%</w:t>
      </w:r>
    </w:p>
    <w:p>
      <w:pPr>
        <w:spacing w:after="0" w:line="206" w:lineRule="auto"/>
        <w:rPr>
          <w:sz w:val="20"/>
          <w:szCs w:val="20"/>
          <w:color w:val="auto"/>
        </w:rPr>
      </w:pPr>
      <w:r>
        <w:rPr>
          <w:rFonts w:ascii="Times New Roman" w:cs="Times New Roman" w:eastAsia="Times New Roman" w:hAnsi="Times New Roman"/>
          <w:sz w:val="4"/>
          <w:szCs w:val="4"/>
          <w:color w:val="FFFFFF"/>
        </w:rPr>
        <w:t>32%[PERCENTAGE]</w:t>
      </w:r>
    </w:p>
    <w:p>
      <w:pPr>
        <w:spacing w:after="0" w:line="205" w:lineRule="auto"/>
        <w:rPr>
          <w:sz w:val="20"/>
          <w:szCs w:val="20"/>
          <w:color w:val="auto"/>
        </w:rPr>
      </w:pPr>
      <w:r>
        <w:rPr>
          <w:rFonts w:ascii="Times New Roman" w:cs="Times New Roman" w:eastAsia="Times New Roman" w:hAnsi="Times New Roman"/>
          <w:sz w:val="4"/>
          <w:szCs w:val="4"/>
          <w:color w:val="FFFFFF"/>
        </w:rPr>
        <w:t>Light Auto</w:t>
      </w:r>
    </w:p>
    <w:p>
      <w:pPr>
        <w:spacing w:after="0" w:line="205" w:lineRule="auto"/>
        <w:rPr>
          <w:sz w:val="20"/>
          <w:szCs w:val="20"/>
          <w:color w:val="auto"/>
        </w:rPr>
      </w:pPr>
      <w:r>
        <w:rPr>
          <w:rFonts w:ascii="Times New Roman" w:cs="Times New Roman" w:eastAsia="Times New Roman" w:hAnsi="Times New Roman"/>
          <w:sz w:val="4"/>
          <w:szCs w:val="4"/>
          <w:color w:val="FFFFFF"/>
        </w:rPr>
        <w:t>Industrial/Aerospace/Medical</w:t>
      </w:r>
    </w:p>
    <w:p>
      <w:pPr>
        <w:spacing w:after="0" w:line="205" w:lineRule="auto"/>
        <w:rPr>
          <w:sz w:val="20"/>
          <w:szCs w:val="20"/>
          <w:color w:val="auto"/>
        </w:rPr>
      </w:pPr>
      <w:r>
        <w:rPr>
          <w:rFonts w:ascii="Times New Roman" w:cs="Times New Roman" w:eastAsia="Times New Roman" w:hAnsi="Times New Roman"/>
          <w:sz w:val="4"/>
          <w:szCs w:val="4"/>
          <w:color w:val="FFFFFF"/>
        </w:rPr>
        <w:t>Commercial Transportation</w:t>
      </w:r>
    </w:p>
    <w:p>
      <w:pPr>
        <w:spacing w:after="0" w:line="182" w:lineRule="auto"/>
        <w:rPr>
          <w:sz w:val="20"/>
          <w:szCs w:val="20"/>
          <w:color w:val="auto"/>
        </w:rPr>
      </w:pPr>
      <w:r>
        <w:rPr>
          <w:rFonts w:ascii="Times New Roman" w:cs="Times New Roman" w:eastAsia="Times New Roman" w:hAnsi="Times New Roman"/>
          <w:sz w:val="9"/>
          <w:szCs w:val="9"/>
          <w:color w:val="FFFFFF"/>
        </w:rPr>
        <w:t>General/Plastics</w:t>
      </w:r>
    </w:p>
    <w:p>
      <w:pPr>
        <w:spacing w:after="0"/>
        <w:rPr>
          <w:sz w:val="20"/>
          <w:szCs w:val="20"/>
          <w:color w:val="auto"/>
        </w:rPr>
      </w:pPr>
      <w:r>
        <w:rPr>
          <w:rFonts w:ascii="Times New Roman" w:cs="Times New Roman" w:eastAsia="Times New Roman" w:hAnsi="Times New Roman"/>
          <w:sz w:val="12"/>
          <w:szCs w:val="12"/>
          <w:color w:val="FFFFFF"/>
        </w:rPr>
        <w:t>28*Proforma full year consolidated revenue</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Macro Trends</w:t>
      </w:r>
    </w:p>
    <w:p>
      <w:pPr>
        <w:spacing w:after="0" w:line="182" w:lineRule="auto"/>
        <w:rPr>
          <w:sz w:val="20"/>
          <w:szCs w:val="20"/>
          <w:color w:val="auto"/>
        </w:rPr>
      </w:pPr>
      <w:r>
        <w:rPr>
          <w:rFonts w:ascii="Times New Roman" w:cs="Times New Roman" w:eastAsia="Times New Roman" w:hAnsi="Times New Roman"/>
          <w:sz w:val="7"/>
          <w:szCs w:val="7"/>
          <w:color w:val="FFFFFF"/>
        </w:rPr>
        <w:t>Positioned to become the feeder company of choice</w:t>
      </w:r>
      <w:r>
        <w:rPr>
          <w:rFonts w:ascii="Times New Roman" w:cs="Times New Roman" w:eastAsia="Times New Roman" w:hAnsi="Times New Roman"/>
          <w:sz w:val="9"/>
          <w:szCs w:val="9"/>
          <w:color w:val="FFFFFF"/>
          <w:vertAlign w:val="subscript"/>
        </w:rPr>
        <w:t>purchasing</w:t>
      </w:r>
      <w:r>
        <w:rPr>
          <w:rFonts w:ascii="Times New Roman" w:cs="Times New Roman" w:eastAsia="Times New Roman" w:hAnsi="Times New Roman"/>
          <w:sz w:val="7"/>
          <w:szCs w:val="7"/>
          <w:color w:val="FFFFFF"/>
        </w:rPr>
        <w:t>ourmarkets</w:t>
      </w:r>
    </w:p>
    <w:p>
      <w:pPr>
        <w:spacing w:after="0" w:line="205" w:lineRule="auto"/>
        <w:tabs>
          <w:tab w:leader="none" w:pos="3120" w:val="left"/>
        </w:tabs>
        <w:rPr>
          <w:sz w:val="20"/>
          <w:szCs w:val="20"/>
          <w:color w:val="auto"/>
        </w:rPr>
      </w:pPr>
      <w:r>
        <w:rPr>
          <w:rFonts w:ascii="Times New Roman" w:cs="Times New Roman" w:eastAsia="Times New Roman" w:hAnsi="Times New Roman"/>
          <w:sz w:val="4"/>
          <w:szCs w:val="4"/>
          <w:color w:val="FFFFFF"/>
        </w:rPr>
        <w:t>SupplyTier1andchainTierlocalization2supplierscontinuesareconcentratingtogainmomentumon</w:t>
      </w:r>
      <w:r>
        <w:rPr>
          <w:sz w:val="20"/>
          <w:szCs w:val="20"/>
          <w:color w:val="auto"/>
        </w:rPr>
        <w:tab/>
      </w:r>
      <w:r>
        <w:rPr>
          <w:rFonts w:ascii="Times New Roman" w:cs="Times New Roman" w:eastAsia="Times New Roman" w:hAnsi="Times New Roman"/>
          <w:sz w:val="4"/>
          <w:szCs w:val="4"/>
          <w:color w:val="FFFFFF"/>
        </w:rPr>
        <w:t>with fewer, larger suppliers</w:t>
      </w:r>
    </w:p>
    <w:p>
      <w:pPr>
        <w:spacing w:after="0" w:line="182" w:lineRule="auto"/>
        <w:rPr>
          <w:sz w:val="20"/>
          <w:szCs w:val="20"/>
          <w:color w:val="auto"/>
        </w:rPr>
      </w:pPr>
      <w:r>
        <w:rPr>
          <w:rFonts w:ascii="Times New Roman" w:cs="Times New Roman" w:eastAsia="Times New Roman" w:hAnsi="Times New Roman"/>
          <w:sz w:val="9"/>
          <w:szCs w:val="9"/>
          <w:color w:val="FFFFFF"/>
        </w:rPr>
        <w:t>Low cost oil is an economic stimulus</w:t>
      </w:r>
    </w:p>
    <w:p>
      <w:pPr>
        <w:spacing w:after="0"/>
        <w:rPr>
          <w:sz w:val="20"/>
          <w:szCs w:val="20"/>
          <w:color w:val="auto"/>
        </w:rPr>
      </w:pPr>
      <w:r>
        <w:rPr>
          <w:rFonts w:ascii="Times New Roman" w:cs="Times New Roman" w:eastAsia="Times New Roman" w:hAnsi="Times New Roman"/>
          <w:sz w:val="13"/>
          <w:szCs w:val="13"/>
          <w:color w:val="FFFFFF"/>
        </w:rPr>
        <w:t>29CAFE Standards driving global innovation</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Macro Trend: CAFE Standards</w:t>
      </w:r>
    </w:p>
    <w:p>
      <w:pPr>
        <w:spacing w:after="0" w:line="204" w:lineRule="auto"/>
        <w:rPr>
          <w:sz w:val="20"/>
          <w:szCs w:val="20"/>
          <w:color w:val="auto"/>
        </w:rPr>
      </w:pPr>
      <w:r>
        <w:rPr>
          <w:rFonts w:ascii="Times New Roman" w:cs="Times New Roman" w:eastAsia="Times New Roman" w:hAnsi="Times New Roman"/>
          <w:sz w:val="4"/>
          <w:szCs w:val="4"/>
          <w:color w:val="FFFFFF"/>
        </w:rPr>
        <w:t>Global Fuel Efficiency Standards</w:t>
      </w:r>
    </w:p>
    <w:p>
      <w:pPr>
        <w:spacing w:after="0" w:line="182" w:lineRule="auto"/>
        <w:rPr>
          <w:sz w:val="20"/>
          <w:szCs w:val="20"/>
          <w:color w:val="auto"/>
        </w:rPr>
      </w:pPr>
      <w:r>
        <w:rPr>
          <w:rFonts w:ascii="Times New Roman" w:cs="Times New Roman" w:eastAsia="Times New Roman" w:hAnsi="Times New Roman"/>
          <w:sz w:val="9"/>
          <w:szCs w:val="9"/>
          <w:color w:val="FFFFFF"/>
        </w:rPr>
        <w:t>U.S. fuel efficiency requirements increase from 35 MPG in 2014 to 56 MPG in 2025 ? 60% higher</w:t>
      </w:r>
    </w:p>
    <w:p>
      <w:pPr>
        <w:spacing w:after="0" w:line="182" w:lineRule="auto"/>
        <w:rPr>
          <w:sz w:val="20"/>
          <w:szCs w:val="20"/>
          <w:color w:val="auto"/>
        </w:rPr>
      </w:pPr>
      <w:r>
        <w:rPr>
          <w:rFonts w:ascii="Times New Roman" w:cs="Times New Roman" w:eastAsia="Times New Roman" w:hAnsi="Times New Roman"/>
          <w:sz w:val="9"/>
          <w:szCs w:val="9"/>
          <w:color w:val="FFFFFF"/>
        </w:rPr>
        <w:t>ChinaTheEU’sand2020Japanrequirementwillbothrequireof77 MPGfuelefficiencyis~40% highertoreachthan50 theMPGU.S.or sameabove-yearby2020requirement</w:t>
      </w:r>
    </w:p>
    <w:p>
      <w:pPr>
        <w:spacing w:after="0" w:line="206" w:lineRule="auto"/>
        <w:rPr>
          <w:sz w:val="20"/>
          <w:szCs w:val="20"/>
          <w:color w:val="auto"/>
        </w:rPr>
      </w:pPr>
      <w:r>
        <w:rPr>
          <w:rFonts w:ascii="Times New Roman" w:cs="Times New Roman" w:eastAsia="Times New Roman" w:hAnsi="Times New Roman"/>
          <w:sz w:val="4"/>
          <w:szCs w:val="4"/>
          <w:color w:val="FFFFFF"/>
        </w:rPr>
        <w:t>TechnologyRapidlyincreasingIncreasestandardsinFuel Efficiencyaredriving OEMs to accelerate new technology development</w:t>
      </w:r>
    </w:p>
    <w:p>
      <w:pPr>
        <w:ind w:right="2279"/>
        <w:spacing w:after="0"/>
        <w:rPr>
          <w:sz w:val="20"/>
          <w:szCs w:val="20"/>
          <w:color w:val="auto"/>
        </w:rPr>
      </w:pPr>
      <w:r>
        <w:rPr>
          <w:rFonts w:ascii="Times New Roman" w:cs="Times New Roman" w:eastAsia="Times New Roman" w:hAnsi="Times New Roman"/>
          <w:sz w:val="10"/>
          <w:szCs w:val="10"/>
          <w:color w:val="FFFFFF"/>
        </w:rPr>
        <w:t>Direct fuel Injection / High Pressure Diesel 15-30% Multi-Speed Transmissions (6-9 gears) 5-10% Variable Valve Timing / Variable Cam Timing 4-6% Electric Power Steering 1 mpg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30Source: ICCT</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color w:val="FFFFFF"/>
              </w:rPr>
              <w:t>Financial</w:t>
            </w:r>
          </w:p>
        </w:tc>
        <w:tc>
          <w:tcPr>
            <w:tcW w:w="5400" w:type="dxa"/>
            <w:vAlign w:val="bottom"/>
          </w:tcPr>
          <w:p>
            <w:pPr>
              <w:ind w:left="60"/>
              <w:spacing w:after="0"/>
              <w:rPr>
                <w:sz w:val="20"/>
                <w:szCs w:val="20"/>
                <w:color w:val="auto"/>
              </w:rPr>
            </w:pPr>
            <w:r>
              <w:rPr>
                <w:rFonts w:ascii="Times New Roman" w:cs="Times New Roman" w:eastAsia="Times New Roman" w:hAnsi="Times New Roman"/>
                <w:sz w:val="13"/>
                <w:szCs w:val="13"/>
                <w:color w:val="FFFFFF"/>
              </w:rPr>
              <w:t>/ Policy</w:t>
            </w:r>
          </w:p>
        </w:tc>
      </w:tr>
      <w:tr>
        <w:trPr>
          <w:trHeight w:val="39"/>
        </w:trPr>
        <w:tc>
          <w:tcPr>
            <w:tcW w:w="63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Build uponStrategystrong, global operating platform while maintaining financial strength and flexibility</w:t>
            </w:r>
          </w:p>
        </w:tc>
      </w:tr>
      <w:tr>
        <w:trPr>
          <w:trHeight w:val="39"/>
        </w:trPr>
        <w:tc>
          <w:tcPr>
            <w:tcW w:w="94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Financial policy:</w:t>
            </w:r>
          </w:p>
        </w:tc>
        <w:tc>
          <w:tcPr>
            <w:tcW w:w="5400" w:type="dxa"/>
            <w:vAlign w:val="bottom"/>
          </w:tcPr>
          <w:p>
            <w:pPr>
              <w:spacing w:after="0"/>
              <w:rPr>
                <w:sz w:val="3"/>
                <w:szCs w:val="3"/>
                <w:color w:val="auto"/>
              </w:rPr>
            </w:pPr>
          </w:p>
        </w:tc>
      </w:tr>
      <w:tr>
        <w:trPr>
          <w:trHeight w:val="39"/>
        </w:trPr>
        <w:tc>
          <w:tcPr>
            <w:tcW w:w="63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Maintain healthy leverage over business cycles and strategic growth period: Debt to EBITDA 2.0x – 3.0x, &lt; 4.0x at peak</w:t>
            </w:r>
          </w:p>
        </w:tc>
      </w:tr>
      <w:tr>
        <w:trPr>
          <w:trHeight w:val="39"/>
        </w:trPr>
        <w:tc>
          <w:tcPr>
            <w:tcW w:w="63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Cash flow priorities:</w:t>
            </w:r>
          </w:p>
        </w:tc>
      </w:tr>
      <w:tr>
        <w:trPr>
          <w:trHeight w:val="39"/>
        </w:trPr>
        <w:tc>
          <w:tcPr>
            <w:tcW w:w="14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1)</w:t>
            </w:r>
          </w:p>
        </w:tc>
        <w:tc>
          <w:tcPr>
            <w:tcW w:w="62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Debt repayment to achieve target leverage</w:t>
            </w:r>
          </w:p>
        </w:tc>
      </w:tr>
      <w:tr>
        <w:trPr>
          <w:trHeight w:val="39"/>
        </w:trPr>
        <w:tc>
          <w:tcPr>
            <w:tcW w:w="14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2)</w:t>
            </w:r>
          </w:p>
        </w:tc>
        <w:tc>
          <w:tcPr>
            <w:tcW w:w="62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Capex to achieve operational excellence and growth</w:t>
            </w:r>
          </w:p>
        </w:tc>
      </w:tr>
      <w:tr>
        <w:trPr>
          <w:trHeight w:val="39"/>
        </w:trPr>
        <w:tc>
          <w:tcPr>
            <w:tcW w:w="14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3)</w:t>
            </w:r>
          </w:p>
        </w:tc>
        <w:tc>
          <w:tcPr>
            <w:tcW w:w="6200" w:type="dxa"/>
            <w:vAlign w:val="bottom"/>
            <w:gridSpan w:val="2"/>
          </w:tcPr>
          <w:p>
            <w:pPr>
              <w:ind w:left="120"/>
              <w:spacing w:after="0" w:line="40" w:lineRule="exact"/>
              <w:rPr>
                <w:sz w:val="20"/>
                <w:szCs w:val="20"/>
                <w:color w:val="auto"/>
              </w:rPr>
            </w:pPr>
            <w:r>
              <w:rPr>
                <w:rFonts w:ascii="Times New Roman" w:cs="Times New Roman" w:eastAsia="Times New Roman" w:hAnsi="Times New Roman"/>
                <w:sz w:val="4"/>
                <w:szCs w:val="4"/>
                <w:color w:val="FFFFFF"/>
              </w:rPr>
              <w:t>able common dividends to shareholders (&lt; 20% free cash flow)</w:t>
            </w:r>
          </w:p>
        </w:tc>
      </w:tr>
      <w:tr>
        <w:trPr>
          <w:trHeight w:val="0"/>
        </w:trPr>
        <w:tc>
          <w:tcPr>
            <w:tcW w:w="140" w:type="dxa"/>
            <w:vAlign w:val="bottom"/>
          </w:tcPr>
          <w:p>
            <w:pPr>
              <w:spacing w:after="0" w:line="38" w:lineRule="exact"/>
              <w:rPr>
                <w:sz w:val="20"/>
                <w:szCs w:val="20"/>
                <w:color w:val="auto"/>
              </w:rPr>
            </w:pPr>
            <w:r>
              <w:rPr>
                <w:rFonts w:ascii="Times New Roman" w:cs="Times New Roman" w:eastAsia="Times New Roman" w:hAnsi="Times New Roman"/>
                <w:sz w:val="4"/>
                <w:szCs w:val="4"/>
                <w:color w:val="FFFFFF"/>
              </w:rPr>
              <w:t>4)</w:t>
            </w:r>
          </w:p>
        </w:tc>
        <w:tc>
          <w:tcPr>
            <w:tcW w:w="6200" w:type="dxa"/>
            <w:vAlign w:val="bottom"/>
            <w:gridSpan w:val="2"/>
          </w:tcPr>
          <w:p>
            <w:pPr>
              <w:spacing w:after="0" w:line="38" w:lineRule="exact"/>
              <w:rPr>
                <w:sz w:val="20"/>
                <w:szCs w:val="20"/>
                <w:color w:val="auto"/>
              </w:rPr>
            </w:pPr>
            <w:r>
              <w:rPr>
                <w:rFonts w:ascii="Times New Roman" w:cs="Times New Roman" w:eastAsia="Times New Roman" w:hAnsi="Times New Roman"/>
                <w:sz w:val="4"/>
                <w:szCs w:val="4"/>
                <w:color w:val="FFFFFF"/>
              </w:rPr>
              <w:t>Strategic acquisitions financed by debt and equity issuance to maintain leverage target</w:t>
            </w:r>
          </w:p>
        </w:tc>
      </w:tr>
    </w:tbl>
    <w:p>
      <w:pPr>
        <w:spacing w:after="0" w:line="211" w:lineRule="auto"/>
        <w:rPr>
          <w:sz w:val="20"/>
          <w:szCs w:val="20"/>
          <w:color w:val="auto"/>
        </w:rPr>
      </w:pPr>
      <w:r>
        <w:rPr>
          <w:rFonts w:ascii="Times New Roman" w:cs="Times New Roman" w:eastAsia="Times New Roman" w:hAnsi="Times New Roman"/>
          <w:sz w:val="4"/>
          <w:szCs w:val="4"/>
          <w:color w:val="FFFFFF"/>
        </w:rPr>
        <w:t>Generate above-market-average revenue growth and capture market share in key areas of new technology over Strategic Plan period</w:t>
      </w:r>
    </w:p>
    <w:p>
      <w:pPr>
        <w:ind w:left="40"/>
        <w:spacing w:after="0" w:line="205" w:lineRule="auto"/>
        <w:rPr>
          <w:sz w:val="20"/>
          <w:szCs w:val="20"/>
          <w:color w:val="auto"/>
        </w:rPr>
      </w:pPr>
      <w:r>
        <w:rPr>
          <w:rFonts w:ascii="Times New Roman" w:cs="Times New Roman" w:eastAsia="Times New Roman" w:hAnsi="Times New Roman"/>
          <w:sz w:val="4"/>
          <w:szCs w:val="4"/>
          <w:color w:val="FFFFFF"/>
        </w:rPr>
        <w:t>mprove market mix by decreasing auto exposure from 70% to 50%</w:t>
      </w:r>
    </w:p>
    <w:p>
      <w:pPr>
        <w:spacing w:after="0" w:line="182" w:lineRule="auto"/>
        <w:rPr>
          <w:sz w:val="20"/>
          <w:szCs w:val="20"/>
          <w:color w:val="auto"/>
        </w:rPr>
      </w:pPr>
      <w:r>
        <w:rPr>
          <w:rFonts w:ascii="Times New Roman" w:cs="Times New Roman" w:eastAsia="Times New Roman" w:hAnsi="Times New Roman"/>
          <w:sz w:val="9"/>
          <w:szCs w:val="9"/>
          <w:color w:val="FFFFFF"/>
        </w:rPr>
        <w:t>ExpandIncreasesegmentindustrialgross/aerospace/medicalandoperatingmarginsofferings(optimizeinexistingmix,productoperationallines improvement, cost reductions)</w:t>
      </w:r>
    </w:p>
    <w:p>
      <w:pPr>
        <w:ind w:right="3719"/>
        <w:spacing w:after="0"/>
        <w:rPr>
          <w:sz w:val="20"/>
          <w:szCs w:val="20"/>
          <w:color w:val="auto"/>
        </w:rPr>
      </w:pPr>
      <w:r>
        <w:rPr>
          <w:rFonts w:ascii="Times New Roman" w:cs="Times New Roman" w:eastAsia="Times New Roman" w:hAnsi="Times New Roman"/>
          <w:sz w:val="11"/>
          <w:szCs w:val="11"/>
          <w:color w:val="FFFFFF"/>
        </w:rPr>
        <w:t>Continue to pursueinvestinselectiveR&amp;D strategic acquisitions to diversify end markets and expand global reach, within leverage targets 31</w:t>
      </w:r>
    </w:p>
    <w:p>
      <w:pPr>
        <w:sectPr>
          <w:pgSz w:w="11900" w:h="16838" w:orient="portrait"/>
          <w:cols w:equalWidth="0" w:num="1">
            <w:col w:w="10219"/>
          </w:cols>
          <w:pgMar w:left="2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32</w:t>
      </w:r>
    </w:p>
    <w:p>
      <w:pPr>
        <w:sectPr>
          <w:pgSz w:w="11900" w:h="16838" w:orient="portrait"/>
          <w:cols w:equalWidth="0" w:num="1">
            <w:col w:w="10219"/>
          </w:cols>
          <w:pgMar w:left="2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WarrenNewYorkA. InvestorVeltman Day 2015</w:t>
      </w:r>
    </w:p>
    <w:p>
      <w:pPr>
        <w:spacing w:after="0" w:line="204" w:lineRule="auto"/>
        <w:rPr>
          <w:sz w:val="20"/>
          <w:szCs w:val="20"/>
          <w:color w:val="auto"/>
        </w:rPr>
      </w:pPr>
      <w:r>
        <w:rPr>
          <w:rFonts w:ascii="Times New Roman" w:cs="Times New Roman" w:eastAsia="Times New Roman" w:hAnsi="Times New Roman"/>
          <w:sz w:val="4"/>
          <w:szCs w:val="4"/>
          <w:color w:val="FFFFFF"/>
        </w:rPr>
        <w:t>31SenioryearVicecareerPresidentinfinancial&amp;AutocammanagementPrecision Components Group</w:t>
      </w:r>
    </w:p>
    <w:p>
      <w:pPr>
        <w:spacing w:after="0" w:line="205" w:lineRule="auto"/>
        <w:rPr>
          <w:sz w:val="20"/>
          <w:szCs w:val="20"/>
          <w:color w:val="auto"/>
        </w:rPr>
      </w:pPr>
      <w:r>
        <w:rPr>
          <w:rFonts w:ascii="Times New Roman" w:cs="Times New Roman" w:eastAsia="Times New Roman" w:hAnsi="Times New Roman"/>
          <w:sz w:val="4"/>
          <w:szCs w:val="4"/>
          <w:color w:val="FFFFFF"/>
        </w:rPr>
        <w:t>Joined NN in 2014 after serving as CFO of Autocam since 1990</w:t>
      </w:r>
    </w:p>
    <w:p>
      <w:pPr>
        <w:spacing w:after="0" w:line="205" w:lineRule="auto"/>
        <w:rPr>
          <w:sz w:val="20"/>
          <w:szCs w:val="20"/>
          <w:color w:val="auto"/>
        </w:rPr>
      </w:pPr>
      <w:r>
        <w:rPr>
          <w:rFonts w:ascii="Times New Roman" w:cs="Times New Roman" w:eastAsia="Times New Roman" w:hAnsi="Times New Roman"/>
          <w:sz w:val="4"/>
          <w:szCs w:val="4"/>
          <w:color w:val="FFFFFF"/>
          <w:vertAlign w:val="subscript"/>
        </w:rPr>
        <w:t>Deloitte</w:t>
      </w:r>
      <w:r>
        <w:rPr>
          <w:rFonts w:ascii="Times New Roman" w:cs="Times New Roman" w:eastAsia="Times New Roman" w:hAnsi="Times New Roman"/>
          <w:sz w:val="2"/>
          <w:szCs w:val="2"/>
          <w:color w:val="FFFFFF"/>
        </w:rPr>
        <w:t>uringhis career at Autocam Mr. Veltman helped steer the company through an IPO, and through several iterations under private equity ownership</w:t>
      </w:r>
    </w:p>
    <w:p>
      <w:pPr>
        <w:spacing w:after="0" w:line="181" w:lineRule="auto"/>
        <w:tabs>
          <w:tab w:leader="none" w:pos="440" w:val="left"/>
        </w:tabs>
        <w:rPr>
          <w:sz w:val="20"/>
          <w:szCs w:val="20"/>
          <w:color w:val="auto"/>
        </w:rPr>
      </w:pPr>
      <w:r>
        <w:rPr>
          <w:rFonts w:ascii="Times New Roman" w:cs="Times New Roman" w:eastAsia="Times New Roman" w:hAnsi="Times New Roman"/>
          <w:sz w:val="18"/>
          <w:szCs w:val="18"/>
          <w:color w:val="FFFFFF"/>
          <w:vertAlign w:val="subscript"/>
        </w:rPr>
        <w:t>33</w:t>
      </w:r>
      <w:r>
        <w:rPr>
          <w:sz w:val="20"/>
          <w:szCs w:val="20"/>
          <w:color w:val="auto"/>
        </w:rPr>
        <w:tab/>
      </w:r>
      <w:r>
        <w:rPr>
          <w:rFonts w:ascii="Times New Roman" w:cs="Times New Roman" w:eastAsia="Times New Roman" w:hAnsi="Times New Roman"/>
          <w:sz w:val="10"/>
          <w:szCs w:val="10"/>
          <w:color w:val="FFFFFF"/>
        </w:rPr>
        <w:t>&amp; Touche including Audit Manager</w:t>
      </w:r>
    </w:p>
    <w:p>
      <w:pPr>
        <w:sectPr>
          <w:pgSz w:w="11900" w:h="16838" w:orient="portrait"/>
          <w:cols w:equalWidth="0" w:num="1">
            <w:col w:w="10219"/>
          </w:cols>
          <w:pgMar w:left="2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JohnAPC BuchanGroupOrganization</w:t>
      </w:r>
    </w:p>
    <w:p>
      <w:pPr>
        <w:spacing w:after="0" w:line="182" w:lineRule="auto"/>
        <w:rPr>
          <w:sz w:val="20"/>
          <w:szCs w:val="20"/>
          <w:color w:val="auto"/>
        </w:rPr>
      </w:pPr>
      <w:r>
        <w:rPr>
          <w:rFonts w:ascii="Times New Roman" w:cs="Times New Roman" w:eastAsia="Times New Roman" w:hAnsi="Times New Roman"/>
          <w:sz w:val="9"/>
          <w:szCs w:val="9"/>
          <w:color w:val="FFFFFF"/>
        </w:rPr>
        <w:t>EdViceHekmanPresident Operations</w:t>
      </w:r>
    </w:p>
    <w:p>
      <w:pPr>
        <w:spacing w:after="0" w:line="182" w:lineRule="auto"/>
        <w:rPr>
          <w:sz w:val="20"/>
          <w:szCs w:val="20"/>
          <w:color w:val="auto"/>
        </w:rPr>
      </w:pPr>
      <w:r>
        <w:rPr>
          <w:rFonts w:ascii="Times New Roman" w:cs="Times New Roman" w:eastAsia="Times New Roman" w:hAnsi="Times New Roman"/>
          <w:sz w:val="9"/>
          <w:szCs w:val="9"/>
          <w:color w:val="FFFFFF"/>
        </w:rPr>
        <w:t>MarkVicePresidentScott Business Development</w:t>
      </w:r>
    </w:p>
    <w:p>
      <w:pPr>
        <w:spacing w:after="0" w:line="182" w:lineRule="auto"/>
        <w:rPr>
          <w:sz w:val="20"/>
          <w:szCs w:val="20"/>
          <w:color w:val="auto"/>
        </w:rPr>
      </w:pPr>
      <w:r>
        <w:rPr>
          <w:rFonts w:ascii="Times New Roman" w:cs="Times New Roman" w:eastAsia="Times New Roman" w:hAnsi="Times New Roman"/>
          <w:sz w:val="9"/>
          <w:szCs w:val="9"/>
          <w:color w:val="FFFFFF"/>
        </w:rPr>
        <w:t>RobertDirectorFraserofFinance</w:t>
      </w:r>
    </w:p>
    <w:p>
      <w:pPr>
        <w:spacing w:after="0" w:line="206" w:lineRule="auto"/>
        <w:rPr>
          <w:sz w:val="20"/>
          <w:szCs w:val="20"/>
          <w:color w:val="auto"/>
        </w:rPr>
      </w:pPr>
      <w:r>
        <w:rPr>
          <w:rFonts w:ascii="Times New Roman" w:cs="Times New Roman" w:eastAsia="Times New Roman" w:hAnsi="Times New Roman"/>
          <w:sz w:val="4"/>
          <w:szCs w:val="4"/>
          <w:color w:val="FFFFFF"/>
        </w:rPr>
        <w:t>MikeDirectorClayof Information Systems</w:t>
      </w:r>
    </w:p>
    <w:p>
      <w:pPr>
        <w:spacing w:after="0" w:line="189" w:lineRule="auto"/>
        <w:rPr>
          <w:sz w:val="20"/>
          <w:szCs w:val="20"/>
          <w:color w:val="auto"/>
        </w:rPr>
      </w:pPr>
      <w:r>
        <w:rPr>
          <w:rFonts w:ascii="Times New Roman" w:cs="Times New Roman" w:eastAsia="Times New Roman" w:hAnsi="Times New Roman"/>
          <w:sz w:val="13"/>
          <w:szCs w:val="13"/>
          <w:color w:val="FFFFFF"/>
        </w:rPr>
        <w:t>TechnicalYearswithDirectorAutocam</w:t>
      </w:r>
    </w:p>
    <w:p>
      <w:pPr>
        <w:spacing w:after="0"/>
        <w:rPr>
          <w:sz w:val="20"/>
          <w:szCs w:val="20"/>
          <w:color w:val="auto"/>
        </w:rPr>
      </w:pPr>
      <w:r>
        <w:rPr>
          <w:rFonts w:ascii="Times New Roman" w:cs="Times New Roman" w:eastAsia="Times New Roman" w:hAnsi="Times New Roman"/>
          <w:sz w:val="13"/>
          <w:szCs w:val="13"/>
          <w:color w:val="FFFFFF"/>
        </w:rPr>
        <w:t>34Industry Experience</w:t>
      </w:r>
    </w:p>
    <w:p>
      <w:pPr>
        <w:sectPr>
          <w:pgSz w:w="11900" w:h="16838" w:orient="portrait"/>
          <w:cols w:equalWidth="0" w:num="1">
            <w:col w:w="10219"/>
          </w:cols>
          <w:pgMar w:left="2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APC Group Overview</w:t>
      </w:r>
    </w:p>
    <w:p>
      <w:pPr>
        <w:spacing w:after="0" w:line="204" w:lineRule="auto"/>
        <w:rPr>
          <w:sz w:val="20"/>
          <w:szCs w:val="20"/>
          <w:color w:val="auto"/>
        </w:rPr>
      </w:pPr>
      <w:r>
        <w:rPr>
          <w:rFonts w:ascii="Times New Roman" w:cs="Times New Roman" w:eastAsia="Times New Roman" w:hAnsi="Times New Roman"/>
          <w:sz w:val="4"/>
          <w:szCs w:val="4"/>
          <w:color w:val="FFFFFF"/>
        </w:rPr>
        <w:t>Produce complex close tolerance precision components through highly engineered process technologies and advanced machining development</w:t>
      </w:r>
    </w:p>
    <w:p>
      <w:pPr>
        <w:spacing w:after="0" w:line="205" w:lineRule="auto"/>
        <w:rPr>
          <w:sz w:val="20"/>
          <w:szCs w:val="20"/>
          <w:color w:val="auto"/>
        </w:rPr>
      </w:pPr>
      <w:r>
        <w:rPr>
          <w:rFonts w:ascii="Times New Roman" w:cs="Times New Roman" w:eastAsia="Times New Roman" w:hAnsi="Times New Roman"/>
          <w:sz w:val="2"/>
          <w:szCs w:val="2"/>
          <w:color w:val="FFFFFF"/>
        </w:rPr>
        <w:t>Target transportation and general industry segments whose advancing technologies provide expanding growth opportunities and result</w:t>
      </w:r>
      <w:r>
        <w:rPr>
          <w:rFonts w:ascii="Times New Roman" w:cs="Times New Roman" w:eastAsia="Times New Roman" w:hAnsi="Times New Roman"/>
          <w:sz w:val="4"/>
          <w:szCs w:val="4"/>
          <w:color w:val="FFFFFF"/>
          <w:vertAlign w:val="subscript"/>
        </w:rPr>
        <w:t>management</w:t>
      </w:r>
      <w:r>
        <w:rPr>
          <w:rFonts w:ascii="Times New Roman" w:cs="Times New Roman" w:eastAsia="Times New Roman" w:hAnsi="Times New Roman"/>
          <w:sz w:val="2"/>
          <w:szCs w:val="2"/>
          <w:color w:val="FFFFFF"/>
        </w:rPr>
        <w:t>inbalanced economic cycle portfolio</w:t>
      </w:r>
    </w:p>
    <w:p>
      <w:pPr>
        <w:ind w:right="839"/>
        <w:spacing w:after="0"/>
        <w:rPr>
          <w:sz w:val="20"/>
          <w:szCs w:val="20"/>
          <w:color w:val="auto"/>
        </w:rPr>
      </w:pPr>
      <w:r>
        <w:rPr>
          <w:rFonts w:ascii="Times New Roman" w:cs="Times New Roman" w:eastAsia="Times New Roman" w:hAnsi="Times New Roman"/>
          <w:sz w:val="13"/>
          <w:szCs w:val="13"/>
          <w:color w:val="FFFFFF"/>
        </w:rPr>
        <w:t>Our customers value our engineered process technologies, global footprint, and flexible production system allowing full life cycle across many volume/mix scenarios 35</w:t>
      </w:r>
    </w:p>
    <w:p>
      <w:pPr>
        <w:sectPr>
          <w:pgSz w:w="11900" w:h="16838" w:orient="portrait"/>
          <w:cols w:equalWidth="0" w:num="1">
            <w:col w:w="10219"/>
          </w:cols>
          <w:pgMar w:left="2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Marshall, MI (2)</w:t>
      </w:r>
    </w:p>
    <w:p>
      <w:pPr>
        <w:spacing w:after="0" w:line="182" w:lineRule="auto"/>
        <w:rPr>
          <w:sz w:val="20"/>
          <w:szCs w:val="20"/>
          <w:color w:val="auto"/>
        </w:rPr>
      </w:pPr>
      <w:r>
        <w:rPr>
          <w:rFonts w:ascii="Times New Roman" w:cs="Times New Roman" w:eastAsia="Times New Roman" w:hAnsi="Times New Roman"/>
          <w:sz w:val="9"/>
          <w:szCs w:val="9"/>
          <w:color w:val="FFFFFF"/>
        </w:rPr>
        <w:t>Kentwood, MI (2)</w:t>
      </w:r>
    </w:p>
    <w:p>
      <w:pPr>
        <w:spacing w:after="0" w:line="205" w:lineRule="auto"/>
        <w:rPr>
          <w:sz w:val="20"/>
          <w:szCs w:val="20"/>
          <w:color w:val="auto"/>
        </w:rPr>
      </w:pPr>
      <w:r>
        <w:rPr>
          <w:rFonts w:ascii="Times New Roman" w:cs="Times New Roman" w:eastAsia="Times New Roman" w:hAnsi="Times New Roman"/>
          <w:sz w:val="2"/>
          <w:szCs w:val="2"/>
          <w:color w:val="FFFFFF"/>
        </w:rPr>
        <w:t>Juá</w:t>
      </w:r>
      <w:r>
        <w:rPr>
          <w:rFonts w:ascii="Times New Roman" w:cs="Times New Roman" w:eastAsia="Times New Roman" w:hAnsi="Times New Roman"/>
          <w:sz w:val="4"/>
          <w:szCs w:val="4"/>
          <w:color w:val="FFFFFF"/>
          <w:vertAlign w:val="subscript"/>
        </w:rPr>
        <w:t>Marnaz,</w:t>
      </w:r>
      <w:r>
        <w:rPr>
          <w:rFonts w:ascii="Times New Roman" w:cs="Times New Roman" w:eastAsia="Times New Roman" w:hAnsi="Times New Roman"/>
          <w:sz w:val="2"/>
          <w:szCs w:val="2"/>
          <w:color w:val="FFFFFF"/>
        </w:rPr>
        <w:t>Wheeling,ez,MexicoIL</w:t>
      </w:r>
    </w:p>
    <w:p>
      <w:pPr>
        <w:ind w:left="480"/>
        <w:spacing w:after="0" w:line="205" w:lineRule="auto"/>
        <w:rPr>
          <w:sz w:val="20"/>
          <w:szCs w:val="20"/>
          <w:color w:val="auto"/>
        </w:rPr>
      </w:pPr>
      <w:r>
        <w:rPr>
          <w:rFonts w:ascii="Times New Roman" w:cs="Times New Roman" w:eastAsia="Times New Roman" w:hAnsi="Times New Roman"/>
          <w:sz w:val="4"/>
          <w:szCs w:val="4"/>
          <w:color w:val="FFFFFF"/>
        </w:rPr>
        <w:t>France</w:t>
      </w:r>
    </w:p>
    <w:p>
      <w:pPr>
        <w:spacing w:after="0" w:line="205" w:lineRule="auto"/>
        <w:rPr>
          <w:sz w:val="20"/>
          <w:szCs w:val="20"/>
          <w:color w:val="auto"/>
        </w:rPr>
      </w:pPr>
      <w:r>
        <w:rPr>
          <w:rFonts w:ascii="Times New Roman" w:cs="Times New Roman" w:eastAsia="Times New Roman" w:hAnsi="Times New Roman"/>
          <w:sz w:val="4"/>
          <w:szCs w:val="4"/>
          <w:color w:val="FFFFFF"/>
        </w:rPr>
        <w:t>Dowagiac, MI</w:t>
      </w:r>
    </w:p>
    <w:p>
      <w:pPr>
        <w:spacing w:after="0" w:line="205" w:lineRule="auto"/>
        <w:rPr>
          <w:sz w:val="20"/>
          <w:szCs w:val="20"/>
          <w:color w:val="auto"/>
        </w:rPr>
      </w:pPr>
      <w:r>
        <w:rPr>
          <w:rFonts w:ascii="Times New Roman" w:cs="Times New Roman" w:eastAsia="Times New Roman" w:hAnsi="Times New Roman"/>
          <w:sz w:val="4"/>
          <w:szCs w:val="4"/>
          <w:color w:val="FFFFFF"/>
        </w:rPr>
        <w:t>Wellington, OH (2)</w:t>
      </w:r>
    </w:p>
    <w:p>
      <w:pPr>
        <w:spacing w:after="0" w:line="182" w:lineRule="auto"/>
        <w:rPr>
          <w:sz w:val="20"/>
          <w:szCs w:val="20"/>
          <w:color w:val="auto"/>
        </w:rPr>
      </w:pPr>
      <w:r>
        <w:rPr>
          <w:rFonts w:ascii="Times New Roman" w:cs="Times New Roman" w:eastAsia="Times New Roman" w:hAnsi="Times New Roman"/>
          <w:sz w:val="9"/>
          <w:szCs w:val="9"/>
          <w:color w:val="FFFFFF"/>
        </w:rPr>
        <w:t>Kamienna Góra, Poland</w:t>
      </w:r>
    </w:p>
    <w:p>
      <w:pPr>
        <w:spacing w:after="0" w:line="205" w:lineRule="auto"/>
        <w:rPr>
          <w:sz w:val="20"/>
          <w:szCs w:val="20"/>
          <w:color w:val="auto"/>
        </w:rPr>
      </w:pPr>
      <w:r>
        <w:rPr>
          <w:rFonts w:ascii="Times New Roman" w:cs="Times New Roman" w:eastAsia="Times New Roman" w:hAnsi="Times New Roman"/>
          <w:sz w:val="4"/>
          <w:szCs w:val="4"/>
          <w:color w:val="FFFFFF"/>
        </w:rPr>
        <w:t>Boituva,SãoJoão BrazildaBoa Vista, Brazil (2)</w:t>
      </w:r>
    </w:p>
    <w:p>
      <w:pPr>
        <w:spacing w:after="0" w:line="189" w:lineRule="auto"/>
        <w:rPr>
          <w:sz w:val="20"/>
          <w:szCs w:val="20"/>
          <w:color w:val="auto"/>
        </w:rPr>
      </w:pPr>
      <w:r>
        <w:rPr>
          <w:rFonts w:ascii="Times New Roman" w:cs="Times New Roman" w:eastAsia="Times New Roman" w:hAnsi="Times New Roman"/>
          <w:sz w:val="13"/>
          <w:szCs w:val="13"/>
          <w:color w:val="FFFFFF"/>
        </w:rPr>
        <w:t>Wuxi, China (JV)</w:t>
      </w:r>
    </w:p>
    <w:p>
      <w:pPr>
        <w:spacing w:after="0"/>
        <w:rPr>
          <w:sz w:val="20"/>
          <w:szCs w:val="20"/>
          <w:color w:val="auto"/>
        </w:rPr>
      </w:pPr>
      <w:r>
        <w:rPr>
          <w:rFonts w:ascii="Times New Roman" w:cs="Times New Roman" w:eastAsia="Times New Roman" w:hAnsi="Times New Roman"/>
          <w:sz w:val="12"/>
          <w:szCs w:val="12"/>
          <w:color w:val="FFFFFF"/>
        </w:rPr>
        <w:t>36Strong global footprint allows NN to serve customers around the world</w:t>
      </w:r>
    </w:p>
    <w:p>
      <w:pPr>
        <w:sectPr>
          <w:pgSz w:w="11900" w:h="16838" w:orient="portrait"/>
          <w:cols w:equalWidth="0" w:num="1">
            <w:col w:w="10219"/>
          </w:cols>
          <w:pgMar w:left="240" w:top="1440" w:right="1440"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132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4725" cy="413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ProductMarket Size:Segments,FuelSavingMarketsSegmentandCustomers</w:t>
      </w:r>
    </w:p>
    <w:p>
      <w:pPr>
        <w:spacing w:after="0" w:line="182" w:lineRule="auto"/>
        <w:rPr>
          <w:sz w:val="20"/>
          <w:szCs w:val="20"/>
          <w:color w:val="auto"/>
        </w:rPr>
      </w:pPr>
      <w:r>
        <w:rPr>
          <w:rFonts w:ascii="Times New Roman" w:cs="Times New Roman" w:eastAsia="Times New Roman" w:hAnsi="Times New Roman"/>
          <w:sz w:val="9"/>
          <w:szCs w:val="9"/>
          <w:color w:val="FFFFFF"/>
        </w:rPr>
        <w:t>AddressableFuelSystems Powertrain Power Steering Electric Motors</w:t>
      </w:r>
    </w:p>
    <w:p>
      <w:pPr>
        <w:spacing w:after="0" w:line="182" w:lineRule="auto"/>
        <w:rPr>
          <w:sz w:val="20"/>
          <w:szCs w:val="20"/>
          <w:color w:val="auto"/>
        </w:rPr>
      </w:pPr>
      <w:r>
        <w:rPr>
          <w:rFonts w:ascii="Times New Roman" w:cs="Times New Roman" w:eastAsia="Times New Roman" w:hAnsi="Times New Roman"/>
          <w:sz w:val="9"/>
          <w:szCs w:val="9"/>
          <w:color w:val="FFFFFF"/>
        </w:rPr>
        <w:t>Market$2billion(2014)$1billion $500 million $300 million</w:t>
      </w:r>
    </w:p>
    <w:p>
      <w:pPr>
        <w:spacing w:after="0" w:line="205" w:lineRule="auto"/>
        <w:rPr>
          <w:sz w:val="20"/>
          <w:szCs w:val="20"/>
          <w:color w:val="auto"/>
        </w:rPr>
      </w:pPr>
      <w:r>
        <w:rPr>
          <w:rFonts w:ascii="Times New Roman" w:cs="Times New Roman" w:eastAsia="Times New Roman" w:hAnsi="Times New Roman"/>
          <w:sz w:val="4"/>
          <w:szCs w:val="4"/>
          <w:color w:val="FFFFFF"/>
        </w:rPr>
        <w:t>Market17%13%Growth10% 10%</w:t>
      </w:r>
    </w:p>
    <w:p>
      <w:pPr>
        <w:spacing w:after="0" w:line="182" w:lineRule="auto"/>
        <w:rPr>
          <w:sz w:val="20"/>
          <w:szCs w:val="20"/>
          <w:color w:val="auto"/>
        </w:rPr>
      </w:pPr>
      <w:r>
        <w:rPr>
          <w:rFonts w:ascii="Times New Roman" w:cs="Times New Roman" w:eastAsia="Times New Roman" w:hAnsi="Times New Roman"/>
          <w:sz w:val="9"/>
          <w:szCs w:val="9"/>
          <w:color w:val="FFFFFF"/>
        </w:rPr>
        <w:t>CAGR CAGR CAGR CAGR</w:t>
      </w:r>
    </w:p>
    <w:p>
      <w:pPr>
        <w:spacing w:after="0" w:line="182" w:lineRule="auto"/>
        <w:rPr>
          <w:sz w:val="20"/>
          <w:szCs w:val="20"/>
          <w:color w:val="auto"/>
        </w:rPr>
      </w:pPr>
      <w:r>
        <w:rPr>
          <w:rFonts w:ascii="Times New Roman" w:cs="Times New Roman" w:eastAsia="Times New Roman" w:hAnsi="Times New Roman"/>
          <w:sz w:val="9"/>
          <w:szCs w:val="9"/>
          <w:color w:val="FFFFFF"/>
        </w:rPr>
        <w:t>EPSTechnologies(Steering)GDI Conversion VVT/VCT More Electric</w:t>
      </w:r>
    </w:p>
    <w:p>
      <w:pPr>
        <w:spacing w:after="0" w:line="206" w:lineRule="auto"/>
        <w:rPr>
          <w:sz w:val="20"/>
          <w:szCs w:val="20"/>
          <w:color w:val="auto"/>
        </w:rPr>
      </w:pPr>
      <w:r>
        <w:rPr>
          <w:rFonts w:ascii="Times New Roman" w:cs="Times New Roman" w:eastAsia="Times New Roman" w:hAnsi="Times New Roman"/>
          <w:sz w:val="4"/>
          <w:szCs w:val="4"/>
          <w:color w:val="FFFFFF"/>
        </w:rPr>
        <w:t>CustomersDrivingGrowth Diesel Conversion Multi-Speed Trans Motors per Vehicle</w:t>
      </w:r>
    </w:p>
    <w:p>
      <w:pPr>
        <w:spacing w:after="0" w:line="205" w:lineRule="auto"/>
        <w:rPr>
          <w:sz w:val="20"/>
          <w:szCs w:val="20"/>
          <w:color w:val="auto"/>
        </w:rPr>
      </w:pPr>
      <w:r>
        <w:rPr>
          <w:rFonts w:ascii="Times New Roman" w:cs="Times New Roman" w:eastAsia="Times New Roman" w:hAnsi="Times New Roman"/>
          <w:sz w:val="4"/>
          <w:szCs w:val="4"/>
          <w:color w:val="FFFFFF"/>
        </w:rPr>
        <w:t>General Other</w:t>
      </w:r>
    </w:p>
    <w:p>
      <w:pPr>
        <w:spacing w:after="0" w:line="182" w:lineRule="auto"/>
        <w:rPr>
          <w:sz w:val="20"/>
          <w:szCs w:val="20"/>
          <w:color w:val="auto"/>
        </w:rPr>
      </w:pPr>
      <w:r>
        <w:rPr>
          <w:rFonts w:ascii="Times New Roman" w:cs="Times New Roman" w:eastAsia="Times New Roman" w:hAnsi="Times New Roman"/>
          <w:sz w:val="9"/>
          <w:szCs w:val="9"/>
          <w:color w:val="FFFFFF"/>
        </w:rPr>
        <w:t>Industrial 3%</w:t>
      </w:r>
    </w:p>
    <w:p>
      <w:pPr>
        <w:spacing w:after="0" w:line="206" w:lineRule="auto"/>
        <w:rPr>
          <w:sz w:val="20"/>
          <w:szCs w:val="20"/>
          <w:color w:val="auto"/>
        </w:rPr>
      </w:pPr>
      <w:r>
        <w:rPr>
          <w:rFonts w:ascii="Times New Roman" w:cs="Times New Roman" w:eastAsia="Times New Roman" w:hAnsi="Times New Roman"/>
          <w:sz w:val="4"/>
          <w:szCs w:val="4"/>
          <w:color w:val="FFFFFF"/>
        </w:rPr>
        <w:t>MotorElectric 10%</w:t>
      </w:r>
    </w:p>
    <w:p>
      <w:pPr>
        <w:spacing w:after="0" w:line="205" w:lineRule="auto"/>
        <w:rPr>
          <w:sz w:val="20"/>
          <w:szCs w:val="20"/>
          <w:color w:val="auto"/>
        </w:rPr>
      </w:pPr>
      <w:r>
        <w:rPr>
          <w:rFonts w:ascii="Times New Roman" w:cs="Times New Roman" w:eastAsia="Times New Roman" w:hAnsi="Times New Roman"/>
          <w:sz w:val="4"/>
          <w:szCs w:val="4"/>
          <w:color w:val="FFFFFF"/>
        </w:rPr>
        <w:t>9%</w:t>
      </w:r>
    </w:p>
    <w:p>
      <w:pPr>
        <w:spacing w:after="0" w:line="189" w:lineRule="auto"/>
        <w:rPr>
          <w:sz w:val="20"/>
          <w:szCs w:val="20"/>
          <w:color w:val="auto"/>
        </w:rPr>
      </w:pPr>
      <w:r>
        <w:rPr>
          <w:rFonts w:ascii="Times New Roman" w:cs="Times New Roman" w:eastAsia="Times New Roman" w:hAnsi="Times New Roman"/>
          <w:sz w:val="13"/>
          <w:szCs w:val="13"/>
          <w:color w:val="FFFFFF"/>
        </w:rPr>
        <w:t>AutomotiveChassis38%Fuel</w:t>
      </w:r>
    </w:p>
    <w:p>
      <w:pPr>
        <w:spacing w:after="0" w:line="205" w:lineRule="auto"/>
        <w:rPr>
          <w:sz w:val="20"/>
          <w:szCs w:val="20"/>
          <w:color w:val="auto"/>
        </w:rPr>
      </w:pPr>
      <w:r>
        <w:rPr>
          <w:rFonts w:ascii="Times New Roman" w:cs="Times New Roman" w:eastAsia="Times New Roman" w:hAnsi="Times New Roman"/>
          <w:sz w:val="4"/>
          <w:szCs w:val="4"/>
          <w:color w:val="FFFFFF"/>
        </w:rPr>
        <w:t>Powertrain4%</w:t>
      </w:r>
    </w:p>
    <w:p>
      <w:pPr>
        <w:spacing w:after="0" w:line="189" w:lineRule="auto"/>
        <w:rPr>
          <w:sz w:val="20"/>
          <w:szCs w:val="20"/>
          <w:color w:val="auto"/>
        </w:rPr>
      </w:pPr>
      <w:r>
        <w:rPr>
          <w:rFonts w:ascii="Times New Roman" w:cs="Times New Roman" w:eastAsia="Times New Roman" w:hAnsi="Times New Roman"/>
          <w:sz w:val="13"/>
          <w:szCs w:val="13"/>
          <w:color w:val="FFFFFF"/>
        </w:rPr>
        <w:t>22%SteeringPower</w:t>
      </w:r>
    </w:p>
    <w:p>
      <w:pPr>
        <w:spacing w:after="0" w:line="182" w:lineRule="auto"/>
        <w:rPr>
          <w:sz w:val="20"/>
          <w:szCs w:val="20"/>
          <w:color w:val="auto"/>
        </w:rPr>
      </w:pPr>
      <w:r>
        <w:rPr>
          <w:rFonts w:ascii="Times New Roman" w:cs="Times New Roman" w:eastAsia="Times New Roman" w:hAnsi="Times New Roman"/>
          <w:sz w:val="9"/>
          <w:szCs w:val="9"/>
          <w:color w:val="FFFFFF"/>
        </w:rPr>
        <w:t>201414%</w:t>
      </w:r>
    </w:p>
    <w:p>
      <w:pPr>
        <w:spacing w:after="0"/>
        <w:rPr>
          <w:sz w:val="20"/>
          <w:szCs w:val="20"/>
          <w:color w:val="auto"/>
        </w:rPr>
      </w:pPr>
      <w:r>
        <w:rPr>
          <w:rFonts w:ascii="Times New Roman" w:cs="Times New Roman" w:eastAsia="Times New Roman" w:hAnsi="Times New Roman"/>
          <w:sz w:val="13"/>
          <w:szCs w:val="13"/>
          <w:color w:val="FFFFFF"/>
        </w:rPr>
        <w:t>37New Technologies, New Growth Opportunities</w:t>
      </w:r>
    </w:p>
    <w:p>
      <w:pPr>
        <w:sectPr>
          <w:pgSz w:w="11900" w:h="16838" w:orient="portrait"/>
          <w:cols w:equalWidth="0" w:num="1">
            <w:col w:w="10219"/>
          </w:cols>
          <w:pgMar w:left="240" w:top="1440" w:right="14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gridSpan w:val="2"/>
          </w:tcPr>
          <w:p>
            <w:pPr>
              <w:spacing w:after="0"/>
              <w:rPr>
                <w:sz w:val="20"/>
                <w:szCs w:val="20"/>
                <w:color w:val="auto"/>
              </w:rPr>
            </w:pPr>
            <w:r>
              <w:rPr>
                <w:rFonts w:ascii="Times New Roman" w:cs="Times New Roman" w:eastAsia="Times New Roman" w:hAnsi="Times New Roman"/>
                <w:sz w:val="13"/>
                <w:szCs w:val="13"/>
                <w:color w:val="FFFFFF"/>
              </w:rPr>
              <w:t>Target Segments: Fuel Saving Technologies</w:t>
            </w:r>
          </w:p>
        </w:tc>
        <w:tc>
          <w:tcPr>
            <w:tcW w:w="0" w:type="dxa"/>
            <w:vAlign w:val="bottom"/>
          </w:tcPr>
          <w:p>
            <w:pPr>
              <w:spacing w:after="0"/>
              <w:rPr>
                <w:sz w:val="1"/>
                <w:szCs w:val="1"/>
                <w:color w:val="auto"/>
              </w:rPr>
            </w:pPr>
          </w:p>
        </w:tc>
      </w:tr>
      <w:tr>
        <w:trPr>
          <w:trHeight w:val="39"/>
        </w:trPr>
        <w:tc>
          <w:tcPr>
            <w:tcW w:w="47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GDI HP Diesel VCT/VVT Multi-Speed Trans EPS</w:t>
            </w:r>
          </w:p>
        </w:tc>
        <w:tc>
          <w:tcPr>
            <w:tcW w:w="0" w:type="dxa"/>
            <w:vAlign w:val="bottom"/>
          </w:tcPr>
          <w:p>
            <w:pPr>
              <w:spacing w:after="0" w:line="20" w:lineRule="exact"/>
              <w:rPr>
                <w:sz w:val="1"/>
                <w:szCs w:val="1"/>
                <w:color w:val="auto"/>
              </w:rPr>
            </w:pPr>
          </w:p>
        </w:tc>
      </w:tr>
      <w:tr>
        <w:trPr>
          <w:trHeight w:val="39"/>
        </w:trPr>
        <w:tc>
          <w:tcPr>
            <w:tcW w:w="47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MPG Increase + 15—20% (1) + 20—30% (1) + 4—6% (2) + 5—10% (3) + 3—5% (4)</w:t>
            </w:r>
          </w:p>
        </w:tc>
        <w:tc>
          <w:tcPr>
            <w:tcW w:w="0" w:type="dxa"/>
            <w:vAlign w:val="bottom"/>
          </w:tcPr>
          <w:p>
            <w:pPr>
              <w:spacing w:after="0" w:line="20" w:lineRule="exact"/>
              <w:rPr>
                <w:sz w:val="1"/>
                <w:szCs w:val="1"/>
                <w:color w:val="auto"/>
              </w:rPr>
            </w:pPr>
          </w:p>
        </w:tc>
      </w:tr>
      <w:tr>
        <w:trPr>
          <w:trHeight w:val="39"/>
        </w:trPr>
        <w:tc>
          <w:tcPr>
            <w:tcW w:w="47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CPV Impact + $54 (1) + $89 (1) + $10 (2) + $20 (3) + $4 (4)</w:t>
            </w:r>
          </w:p>
        </w:tc>
        <w:tc>
          <w:tcPr>
            <w:tcW w:w="0" w:type="dxa"/>
            <w:vAlign w:val="bottom"/>
          </w:tcPr>
          <w:p>
            <w:pPr>
              <w:spacing w:after="0" w:line="20" w:lineRule="exact"/>
              <w:rPr>
                <w:sz w:val="1"/>
                <w:szCs w:val="1"/>
                <w:color w:val="auto"/>
              </w:rPr>
            </w:pPr>
          </w:p>
        </w:tc>
      </w:tr>
      <w:tr>
        <w:trPr>
          <w:trHeight w:val="39"/>
        </w:trPr>
        <w:tc>
          <w:tcPr>
            <w:tcW w:w="47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Market Gr wth &gt; 17% CAGR &gt; 10% CAGR &gt; 10% CAGR &gt; 15% CAGR &gt; 10% CAGR</w:t>
            </w:r>
          </w:p>
        </w:tc>
        <w:tc>
          <w:tcPr>
            <w:tcW w:w="0" w:type="dxa"/>
            <w:vAlign w:val="bottom"/>
          </w:tcPr>
          <w:p>
            <w:pPr>
              <w:spacing w:after="0" w:line="20" w:lineRule="exact"/>
              <w:rPr>
                <w:sz w:val="1"/>
                <w:szCs w:val="1"/>
                <w:color w:val="auto"/>
              </w:rPr>
            </w:pPr>
          </w:p>
        </w:tc>
      </w:tr>
      <w:tr>
        <w:trPr>
          <w:trHeight w:val="39"/>
        </w:trPr>
        <w:tc>
          <w:tcPr>
            <w:tcW w:w="132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Global Adoption (5) (6)</w:t>
            </w:r>
          </w:p>
        </w:tc>
        <w:tc>
          <w:tcPr>
            <w:tcW w:w="3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7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27%  46% 20% / 30% 72% / 95% 30% / 45% 50% / 75%</w:t>
            </w:r>
          </w:p>
        </w:tc>
        <w:tc>
          <w:tcPr>
            <w:tcW w:w="0" w:type="dxa"/>
            <w:vAlign w:val="bottom"/>
          </w:tcPr>
          <w:p>
            <w:pPr>
              <w:spacing w:after="0" w:line="20" w:lineRule="exact"/>
              <w:rPr>
                <w:sz w:val="1"/>
                <w:szCs w:val="1"/>
                <w:color w:val="auto"/>
              </w:rPr>
            </w:pPr>
          </w:p>
        </w:tc>
      </w:tr>
      <w:tr>
        <w:trPr>
          <w:trHeight w:val="39"/>
        </w:trPr>
        <w:tc>
          <w:tcPr>
            <w:tcW w:w="132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Rate</w:t>
            </w:r>
          </w:p>
        </w:tc>
        <w:tc>
          <w:tcPr>
            <w:tcW w:w="3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32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Key Regions2014/2018</w:t>
            </w:r>
          </w:p>
        </w:tc>
        <w:tc>
          <w:tcPr>
            <w:tcW w:w="3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32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Markets</w:t>
            </w:r>
          </w:p>
        </w:tc>
        <w:tc>
          <w:tcPr>
            <w:tcW w:w="3380" w:type="dxa"/>
            <w:vAlign w:val="bottom"/>
            <w:vMerge w:val="restart"/>
          </w:tcPr>
          <w:p>
            <w:pPr>
              <w:ind w:left="80"/>
              <w:spacing w:after="0" w:line="38" w:lineRule="exact"/>
              <w:rPr>
                <w:sz w:val="20"/>
                <w:szCs w:val="20"/>
                <w:color w:val="auto"/>
              </w:rPr>
            </w:pPr>
            <w:r>
              <w:rPr>
                <w:rFonts w:ascii="Times New Roman" w:cs="Times New Roman" w:eastAsia="Times New Roman" w:hAnsi="Times New Roman"/>
                <w:sz w:val="4"/>
                <w:szCs w:val="4"/>
                <w:color w:val="FFFFFF"/>
              </w:rPr>
              <w:t>global scale to meet fuel economy regulations</w:t>
            </w:r>
          </w:p>
        </w:tc>
        <w:tc>
          <w:tcPr>
            <w:tcW w:w="0" w:type="dxa"/>
            <w:vAlign w:val="bottom"/>
          </w:tcPr>
          <w:p>
            <w:pPr>
              <w:spacing w:after="0" w:line="20" w:lineRule="exact"/>
              <w:rPr>
                <w:sz w:val="1"/>
                <w:szCs w:val="1"/>
                <w:color w:val="auto"/>
              </w:rPr>
            </w:pPr>
          </w:p>
        </w:tc>
      </w:tr>
      <w:tr>
        <w:trPr>
          <w:trHeight w:val="0"/>
        </w:trPr>
        <w:tc>
          <w:tcPr>
            <w:tcW w:w="1320" w:type="dxa"/>
            <w:vAlign w:val="bottom"/>
          </w:tcPr>
          <w:p>
            <w:pPr>
              <w:spacing w:after="0" w:line="78" w:lineRule="exact"/>
              <w:rPr>
                <w:sz w:val="20"/>
                <w:szCs w:val="20"/>
                <w:color w:val="auto"/>
              </w:rPr>
            </w:pPr>
            <w:r>
              <w:rPr>
                <w:rFonts w:ascii="Times New Roman" w:cs="Times New Roman" w:eastAsia="Times New Roman" w:hAnsi="Times New Roman"/>
                <w:sz w:val="8"/>
                <w:szCs w:val="8"/>
                <w:color w:val="FFFFFF"/>
              </w:rPr>
              <w:t>Technologies needed</w:t>
            </w:r>
          </w:p>
        </w:tc>
        <w:tc>
          <w:tcPr>
            <w:tcW w:w="3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auto"/>
        <w:rPr>
          <w:sz w:val="20"/>
          <w:szCs w:val="20"/>
          <w:color w:val="auto"/>
        </w:rPr>
      </w:pPr>
      <w:r>
        <w:rPr>
          <w:rFonts w:ascii="Times New Roman" w:cs="Times New Roman" w:eastAsia="Times New Roman" w:hAnsi="Times New Roman"/>
          <w:sz w:val="4"/>
          <w:szCs w:val="4"/>
          <w:color w:val="FFFFFF"/>
        </w:rPr>
        <w:t>Conversion/implementation rates will outpace market growth</w:t>
      </w:r>
    </w:p>
    <w:p>
      <w:pPr>
        <w:spacing w:after="0"/>
        <w:rPr>
          <w:sz w:val="20"/>
          <w:szCs w:val="20"/>
          <w:color w:val="auto"/>
        </w:rPr>
      </w:pPr>
      <w:r>
        <w:rPr>
          <w:rFonts w:ascii="Times New Roman" w:cs="Times New Roman" w:eastAsia="Times New Roman" w:hAnsi="Times New Roman"/>
          <w:sz w:val="13"/>
          <w:szCs w:val="13"/>
          <w:color w:val="FFFFFF"/>
        </w:rPr>
        <w:t>38All of these technologies require numerous high precision metal components</w:t>
      </w:r>
    </w:p>
    <w:p>
      <w:pPr>
        <w:sectPr>
          <w:pgSz w:w="11900" w:h="16838" w:orient="portrait"/>
          <w:cols w:equalWidth="0" w:num="1">
            <w:col w:w="10219"/>
          </w:cols>
          <w:pgMar w:left="240" w:top="1440"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Segments: General Industrial, Aerospace</w:t>
      </w:r>
    </w:p>
    <w:p>
      <w:pPr>
        <w:spacing w:after="0" w:line="182" w:lineRule="auto"/>
        <w:rPr>
          <w:sz w:val="20"/>
          <w:szCs w:val="20"/>
          <w:color w:val="auto"/>
        </w:rPr>
      </w:pPr>
      <w:r>
        <w:rPr>
          <w:rFonts w:ascii="Times New Roman" w:cs="Times New Roman" w:eastAsia="Times New Roman" w:hAnsi="Times New Roman"/>
          <w:sz w:val="9"/>
          <w:szCs w:val="9"/>
          <w:color w:val="FFFFFF"/>
        </w:rPr>
        <w:t>Product Segments, Markets &amp; Customers</w:t>
      </w:r>
    </w:p>
    <w:p>
      <w:pPr>
        <w:spacing w:after="0" w:line="182" w:lineRule="auto"/>
        <w:rPr>
          <w:sz w:val="20"/>
          <w:szCs w:val="20"/>
          <w:color w:val="auto"/>
        </w:rPr>
      </w:pPr>
      <w:r>
        <w:rPr>
          <w:rFonts w:ascii="Times New Roman" w:cs="Times New Roman" w:eastAsia="Times New Roman" w:hAnsi="Times New Roman"/>
          <w:sz w:val="9"/>
          <w:szCs w:val="9"/>
          <w:color w:val="FFFFFF"/>
        </w:rPr>
        <w:t>AddressableConsumerTools HVAC Rec/ATV Industrial Motors Aerospace Fluid Power</w:t>
      </w:r>
    </w:p>
    <w:p>
      <w:pPr>
        <w:spacing w:after="0" w:line="205" w:lineRule="auto"/>
        <w:rPr>
          <w:sz w:val="20"/>
          <w:szCs w:val="20"/>
          <w:color w:val="auto"/>
        </w:rPr>
      </w:pPr>
      <w:r>
        <w:rPr>
          <w:rFonts w:ascii="Times New Roman" w:cs="Times New Roman" w:eastAsia="Times New Roman" w:hAnsi="Times New Roman"/>
          <w:sz w:val="4"/>
          <w:szCs w:val="4"/>
          <w:color w:val="FFFFFF"/>
          <w:vertAlign w:val="subscript"/>
        </w:rPr>
        <w:t>Market</w:t>
      </w:r>
      <w:r>
        <w:rPr>
          <w:rFonts w:ascii="Times New Roman" w:cs="Times New Roman" w:eastAsia="Times New Roman" w:hAnsi="Times New Roman"/>
          <w:sz w:val="2"/>
          <w:szCs w:val="2"/>
          <w:color w:val="FFFFFF"/>
        </w:rPr>
        <w:t>$2billion(2014)$3billion $200 million $3 billion $10+ billion $5+ billion</w:t>
      </w:r>
    </w:p>
    <w:p>
      <w:pPr>
        <w:ind w:left="420"/>
        <w:spacing w:after="0" w:line="205" w:lineRule="auto"/>
        <w:rPr>
          <w:sz w:val="20"/>
          <w:szCs w:val="20"/>
          <w:color w:val="auto"/>
        </w:rPr>
      </w:pPr>
      <w:r>
        <w:rPr>
          <w:rFonts w:ascii="Times New Roman" w:cs="Times New Roman" w:eastAsia="Times New Roman" w:hAnsi="Times New Roman"/>
          <w:sz w:val="4"/>
          <w:szCs w:val="4"/>
          <w:color w:val="FFFFFF"/>
        </w:rPr>
        <w:t>Growth</w:t>
      </w:r>
    </w:p>
    <w:p>
      <w:pPr>
        <w:spacing w:after="0" w:line="182" w:lineRule="auto"/>
        <w:rPr>
          <w:sz w:val="20"/>
          <w:szCs w:val="20"/>
          <w:color w:val="auto"/>
        </w:rPr>
      </w:pPr>
      <w:r>
        <w:rPr>
          <w:rFonts w:ascii="Times New Roman" w:cs="Times New Roman" w:eastAsia="Times New Roman" w:hAnsi="Times New Roman"/>
          <w:sz w:val="9"/>
          <w:szCs w:val="9"/>
          <w:color w:val="FFFFFF"/>
        </w:rPr>
        <w:t>Technologies Longer battery life, EPS (Steering) Higher pressure, greater</w:t>
      </w:r>
    </w:p>
    <w:p>
      <w:pPr>
        <w:spacing w:after="0" w:line="182" w:lineRule="auto"/>
        <w:rPr>
          <w:sz w:val="20"/>
          <w:szCs w:val="20"/>
          <w:color w:val="auto"/>
        </w:rPr>
      </w:pPr>
      <w:r>
        <w:rPr>
          <w:rFonts w:ascii="Times New Roman" w:cs="Times New Roman" w:eastAsia="Times New Roman" w:hAnsi="Times New Roman"/>
          <w:sz w:val="9"/>
          <w:szCs w:val="9"/>
          <w:color w:val="FFFFFF"/>
        </w:rPr>
        <w:t>DrivingCompressorGrowthmodulationLighter weightHighefficiencyABScontrolmotors Weight reduction</w:t>
      </w:r>
    </w:p>
    <w:p>
      <w:pPr>
        <w:spacing w:after="0"/>
        <w:rPr>
          <w:sz w:val="20"/>
          <w:szCs w:val="20"/>
          <w:color w:val="auto"/>
        </w:rPr>
      </w:pPr>
      <w:r>
        <w:rPr>
          <w:rFonts w:ascii="Times New Roman" w:cs="Times New Roman" w:eastAsia="Times New Roman" w:hAnsi="Times New Roman"/>
          <w:sz w:val="13"/>
          <w:szCs w:val="13"/>
          <w:color w:val="FFFFFF"/>
        </w:rPr>
        <w:t>39Customers</w:t>
      </w:r>
    </w:p>
    <w:p>
      <w:pPr>
        <w:sectPr>
          <w:pgSz w:w="11900" w:h="16838" w:orient="portrait"/>
          <w:cols w:equalWidth="0" w:num="1">
            <w:col w:w="10219"/>
          </w:cols>
          <w:pgMar w:left="240" w:top="1440" w:right="1440"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FFFFFF"/>
        </w:rPr>
        <w:t>40APC Customer Profile</w:t>
      </w:r>
    </w:p>
    <w:p>
      <w:pPr>
        <w:sectPr>
          <w:pgSz w:w="11900" w:h="16838" w:orient="portrait"/>
          <w:cols w:equalWidth="0" w:num="1">
            <w:col w:w="10219"/>
          </w:cols>
          <w:pgMar w:left="240" w:top="144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1408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4725" cy="414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color w:val="FFFFFF"/>
              </w:rPr>
              <w:t>Sales Growth Path – China JV</w:t>
            </w: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56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Wuxi Weifu Autocam Precision Machinery Co. Ltd.</w:t>
            </w:r>
          </w:p>
        </w:tc>
        <w:tc>
          <w:tcPr>
            <w:tcW w:w="0" w:type="dxa"/>
            <w:vAlign w:val="bottom"/>
          </w:tcPr>
          <w:p>
            <w:pPr>
              <w:spacing w:after="0" w:line="20" w:lineRule="exact"/>
              <w:rPr>
                <w:sz w:val="1"/>
                <w:szCs w:val="1"/>
                <w:color w:val="auto"/>
              </w:rPr>
            </w:pPr>
          </w:p>
        </w:tc>
      </w:tr>
      <w:tr>
        <w:trPr>
          <w:trHeight w:val="39"/>
        </w:trPr>
        <w:tc>
          <w:tcPr>
            <w:tcW w:w="5560" w:type="dxa"/>
            <w:vAlign w:val="bottom"/>
            <w:gridSpan w:val="3"/>
          </w:tcPr>
          <w:p>
            <w:pPr>
              <w:ind w:left="80"/>
              <w:spacing w:after="0" w:line="40" w:lineRule="exact"/>
              <w:rPr>
                <w:sz w:val="20"/>
                <w:szCs w:val="20"/>
                <w:color w:val="auto"/>
              </w:rPr>
            </w:pPr>
            <w:r>
              <w:rPr>
                <w:rFonts w:ascii="Times New Roman" w:cs="Times New Roman" w:eastAsia="Times New Roman" w:hAnsi="Times New Roman"/>
                <w:sz w:val="4"/>
                <w:szCs w:val="4"/>
                <w:color w:val="FFFFFF"/>
              </w:rPr>
              <w:t>JV Partner - W   Weifu High-Technology Co., Ltd., publically traded on the Shenzhen Stock Exchange</w:t>
            </w:r>
          </w:p>
        </w:tc>
        <w:tc>
          <w:tcPr>
            <w:tcW w:w="0" w:type="dxa"/>
            <w:vAlign w:val="bottom"/>
          </w:tcPr>
          <w:p>
            <w:pPr>
              <w:spacing w:after="0" w:line="20" w:lineRule="exact"/>
              <w:rPr>
                <w:sz w:val="1"/>
                <w:szCs w:val="1"/>
                <w:color w:val="auto"/>
              </w:rPr>
            </w:pPr>
          </w:p>
        </w:tc>
      </w:tr>
      <w:tr>
        <w:trPr>
          <w:trHeight w:val="39"/>
        </w:trPr>
        <w:tc>
          <w:tcPr>
            <w:tcW w:w="1820" w:type="dxa"/>
            <w:vAlign w:val="bottom"/>
            <w:gridSpan w:val="2"/>
          </w:tcPr>
          <w:p>
            <w:pPr>
              <w:ind w:left="80"/>
              <w:spacing w:after="0" w:line="40" w:lineRule="exact"/>
              <w:rPr>
                <w:sz w:val="20"/>
                <w:szCs w:val="20"/>
                <w:color w:val="auto"/>
              </w:rPr>
            </w:pPr>
            <w:r>
              <w:rPr>
                <w:rFonts w:ascii="Times New Roman" w:cs="Times New Roman" w:eastAsia="Times New Roman" w:hAnsi="Times New Roman"/>
                <w:sz w:val="4"/>
                <w:szCs w:val="4"/>
                <w:color w:val="FFFFFF"/>
              </w:rPr>
              <w:t>Location — Wuxi, China</w:t>
            </w:r>
          </w:p>
        </w:tc>
        <w:tc>
          <w:tcPr>
            <w:tcW w:w="3740" w:type="dxa"/>
            <w:vAlign w:val="bottom"/>
            <w:vMerge w:val="restart"/>
          </w:tcPr>
          <w:p>
            <w:pPr>
              <w:jc w:val="right"/>
              <w:ind w:right="1996"/>
              <w:spacing w:after="0" w:line="79" w:lineRule="exact"/>
              <w:rPr>
                <w:sz w:val="20"/>
                <w:szCs w:val="20"/>
                <w:color w:val="auto"/>
              </w:rPr>
            </w:pPr>
            <w:r>
              <w:rPr>
                <w:rFonts w:ascii="Times New Roman" w:cs="Times New Roman" w:eastAsia="Times New Roman" w:hAnsi="Times New Roman"/>
                <w:sz w:val="9"/>
                <w:szCs w:val="9"/>
                <w:color w:val="FFFFFF"/>
              </w:rPr>
              <w:t>high-precision automotive parts</w:t>
            </w:r>
          </w:p>
        </w:tc>
        <w:tc>
          <w:tcPr>
            <w:tcW w:w="0" w:type="dxa"/>
            <w:vAlign w:val="bottom"/>
          </w:tcPr>
          <w:p>
            <w:pPr>
              <w:spacing w:after="0" w:line="20" w:lineRule="exact"/>
              <w:rPr>
                <w:sz w:val="1"/>
                <w:szCs w:val="1"/>
                <w:color w:val="auto"/>
              </w:rPr>
            </w:pPr>
          </w:p>
        </w:tc>
      </w:tr>
      <w:tr>
        <w:trPr>
          <w:trHeight w:val="39"/>
        </w:trPr>
        <w:tc>
          <w:tcPr>
            <w:tcW w:w="182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 Business Purpose—</w:t>
            </w:r>
          </w:p>
        </w:tc>
        <w:tc>
          <w:tcPr>
            <w:tcW w:w="3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56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for relevant domestic manufacturers</w:t>
            </w:r>
          </w:p>
        </w:tc>
        <w:tc>
          <w:tcPr>
            <w:tcW w:w="0" w:type="dxa"/>
            <w:vAlign w:val="bottom"/>
          </w:tcPr>
          <w:p>
            <w:pPr>
              <w:spacing w:after="0" w:line="20" w:lineRule="exact"/>
              <w:rPr>
                <w:sz w:val="1"/>
                <w:szCs w:val="1"/>
                <w:color w:val="auto"/>
              </w:rPr>
            </w:pPr>
          </w:p>
        </w:tc>
      </w:tr>
      <w:tr>
        <w:trPr>
          <w:trHeight w:val="39"/>
        </w:trPr>
        <w:tc>
          <w:tcPr>
            <w:tcW w:w="182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 APC Group</w:t>
            </w:r>
          </w:p>
        </w:tc>
        <w:tc>
          <w:tcPr>
            <w:tcW w:w="3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20" w:type="dxa"/>
            <w:vAlign w:val="bottom"/>
            <w:gridSpan w:val="2"/>
          </w:tcPr>
          <w:p>
            <w:pPr>
              <w:ind w:left="100"/>
              <w:spacing w:after="0" w:line="40" w:lineRule="exact"/>
              <w:rPr>
                <w:sz w:val="20"/>
                <w:szCs w:val="20"/>
                <w:color w:val="auto"/>
              </w:rPr>
            </w:pPr>
            <w:r>
              <w:rPr>
                <w:rFonts w:ascii="Times New Roman" w:cs="Times New Roman" w:eastAsia="Times New Roman" w:hAnsi="Times New Roman"/>
                <w:sz w:val="4"/>
                <w:szCs w:val="4"/>
                <w:color w:val="FFFFFF"/>
              </w:rPr>
              <w:t>49% ownership</w:t>
            </w:r>
          </w:p>
        </w:tc>
        <w:tc>
          <w:tcPr>
            <w:tcW w:w="3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560" w:type="dxa"/>
            <w:vAlign w:val="bottom"/>
            <w:gridSpan w:val="3"/>
          </w:tcPr>
          <w:p>
            <w:pPr>
              <w:ind w:left="100"/>
              <w:spacing w:after="0" w:line="40" w:lineRule="exact"/>
              <w:rPr>
                <w:sz w:val="20"/>
                <w:szCs w:val="20"/>
                <w:color w:val="auto"/>
              </w:rPr>
            </w:pPr>
            <w:r>
              <w:rPr>
                <w:rFonts w:ascii="Times New Roman" w:cs="Times New Roman" w:eastAsia="Times New Roman" w:hAnsi="Times New Roman"/>
                <w:sz w:val="4"/>
                <w:szCs w:val="4"/>
                <w:color w:val="FFFFFF"/>
              </w:rPr>
              <w:t>Appoints General Manager of Operations</w:t>
            </w:r>
          </w:p>
        </w:tc>
        <w:tc>
          <w:tcPr>
            <w:tcW w:w="0" w:type="dxa"/>
            <w:vAlign w:val="bottom"/>
          </w:tcPr>
          <w:p>
            <w:pPr>
              <w:spacing w:after="0" w:line="20" w:lineRule="exact"/>
              <w:rPr>
                <w:sz w:val="1"/>
                <w:szCs w:val="1"/>
                <w:color w:val="auto"/>
              </w:rPr>
            </w:pPr>
          </w:p>
        </w:tc>
      </w:tr>
      <w:tr>
        <w:trPr>
          <w:trHeight w:val="39"/>
        </w:trPr>
        <w:tc>
          <w:tcPr>
            <w:tcW w:w="5560" w:type="dxa"/>
            <w:vAlign w:val="bottom"/>
            <w:gridSpan w:val="3"/>
          </w:tcPr>
          <w:p>
            <w:pPr>
              <w:ind w:left="100"/>
              <w:spacing w:after="0" w:line="40" w:lineRule="exact"/>
              <w:rPr>
                <w:sz w:val="20"/>
                <w:szCs w:val="20"/>
                <w:color w:val="auto"/>
              </w:rPr>
            </w:pPr>
            <w:r>
              <w:rPr>
                <w:rFonts w:ascii="Times New Roman" w:cs="Times New Roman" w:eastAsia="Times New Roman" w:hAnsi="Times New Roman"/>
                <w:sz w:val="4"/>
                <w:szCs w:val="4"/>
                <w:color w:val="FFFFFF"/>
              </w:rPr>
              <w:t>Primary source of machining technology</w:t>
            </w:r>
          </w:p>
        </w:tc>
        <w:tc>
          <w:tcPr>
            <w:tcW w:w="0" w:type="dxa"/>
            <w:vAlign w:val="bottom"/>
          </w:tcPr>
          <w:p>
            <w:pPr>
              <w:spacing w:after="0" w:line="20" w:lineRule="exact"/>
              <w:rPr>
                <w:sz w:val="1"/>
                <w:szCs w:val="1"/>
                <w:color w:val="auto"/>
              </w:rPr>
            </w:pPr>
          </w:p>
        </w:tc>
      </w:tr>
      <w:tr>
        <w:trPr>
          <w:trHeight w:val="39"/>
        </w:trPr>
        <w:tc>
          <w:tcPr>
            <w:tcW w:w="5560" w:type="dxa"/>
            <w:vAlign w:val="bottom"/>
            <w:gridSpan w:val="3"/>
          </w:tcPr>
          <w:p>
            <w:pPr>
              <w:ind w:left="100"/>
              <w:spacing w:after="0" w:line="40" w:lineRule="exact"/>
              <w:rPr>
                <w:sz w:val="20"/>
                <w:szCs w:val="20"/>
                <w:color w:val="auto"/>
              </w:rPr>
            </w:pPr>
            <w:r>
              <w:rPr>
                <w:rFonts w:ascii="Times New Roman" w:cs="Times New Roman" w:eastAsia="Times New Roman" w:hAnsi="Times New Roman"/>
                <w:sz w:val="4"/>
                <w:szCs w:val="4"/>
                <w:color w:val="FFFFFF"/>
              </w:rPr>
              <w:t>Investment accounting - equity method</w:t>
            </w:r>
          </w:p>
        </w:tc>
        <w:tc>
          <w:tcPr>
            <w:tcW w:w="0" w:type="dxa"/>
            <w:vAlign w:val="bottom"/>
          </w:tcPr>
          <w:p>
            <w:pPr>
              <w:spacing w:after="0" w:line="20" w:lineRule="exact"/>
              <w:rPr>
                <w:sz w:val="1"/>
                <w:szCs w:val="1"/>
                <w:color w:val="auto"/>
              </w:rPr>
            </w:pPr>
          </w:p>
        </w:tc>
      </w:tr>
      <w:tr>
        <w:trPr>
          <w:trHeight w:val="39"/>
        </w:trPr>
        <w:tc>
          <w:tcPr>
            <w:tcW w:w="556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o Annual cash dividend representing 70% of prior years net income has historically been paid</w:t>
            </w:r>
          </w:p>
        </w:tc>
        <w:tc>
          <w:tcPr>
            <w:tcW w:w="0" w:type="dxa"/>
            <w:vAlign w:val="bottom"/>
          </w:tcPr>
          <w:p>
            <w:pPr>
              <w:spacing w:after="0" w:line="20" w:lineRule="exact"/>
              <w:rPr>
                <w:sz w:val="1"/>
                <w:szCs w:val="1"/>
                <w:color w:val="auto"/>
              </w:rPr>
            </w:pPr>
          </w:p>
        </w:tc>
      </w:tr>
      <w:tr>
        <w:trPr>
          <w:trHeight w:val="39"/>
        </w:trPr>
        <w:tc>
          <w:tcPr>
            <w:tcW w:w="5560" w:type="dxa"/>
            <w:vAlign w:val="bottom"/>
            <w:gridSpan w:val="3"/>
          </w:tcPr>
          <w:p>
            <w:pPr>
              <w:ind w:left="120"/>
              <w:spacing w:after="0" w:line="40" w:lineRule="exact"/>
              <w:rPr>
                <w:sz w:val="20"/>
                <w:szCs w:val="20"/>
                <w:color w:val="auto"/>
              </w:rPr>
            </w:pPr>
            <w:r>
              <w:rPr>
                <w:rFonts w:ascii="Times New Roman" w:cs="Times New Roman" w:eastAsia="Times New Roman" w:hAnsi="Times New Roman"/>
                <w:sz w:val="4"/>
                <w:szCs w:val="4"/>
                <w:color w:val="FFFFFF"/>
              </w:rPr>
              <w:t>arted with MPFI parts and have transitioned to GDI and HP Diesel</w:t>
            </w:r>
          </w:p>
        </w:tc>
        <w:tc>
          <w:tcPr>
            <w:tcW w:w="0" w:type="dxa"/>
            <w:vAlign w:val="bottom"/>
          </w:tcPr>
          <w:p>
            <w:pPr>
              <w:spacing w:after="0" w:line="20" w:lineRule="exact"/>
              <w:rPr>
                <w:sz w:val="1"/>
                <w:szCs w:val="1"/>
                <w:color w:val="auto"/>
              </w:rPr>
            </w:pPr>
          </w:p>
        </w:tc>
      </w:tr>
      <w:tr>
        <w:trPr>
          <w:trHeight w:val="39"/>
        </w:trPr>
        <w:tc>
          <w:tcPr>
            <w:tcW w:w="182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Strong YOY growth, 28% CAGR</w:t>
            </w:r>
          </w:p>
        </w:tc>
        <w:tc>
          <w:tcPr>
            <w:tcW w:w="3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20" w:type="dxa"/>
            <w:vAlign w:val="bottom"/>
            <w:gridSpan w:val="2"/>
          </w:tcPr>
          <w:p>
            <w:pPr>
              <w:ind w:left="80"/>
              <w:spacing w:after="0" w:line="40" w:lineRule="exact"/>
              <w:rPr>
                <w:sz w:val="20"/>
                <w:szCs w:val="20"/>
                <w:color w:val="auto"/>
              </w:rPr>
            </w:pPr>
            <w:r>
              <w:rPr>
                <w:rFonts w:ascii="Times New Roman" w:cs="Times New Roman" w:eastAsia="Times New Roman" w:hAnsi="Times New Roman"/>
                <w:sz w:val="4"/>
                <w:szCs w:val="4"/>
                <w:color w:val="FFFFFF"/>
              </w:rPr>
              <w:t>8% CAGR</w:t>
            </w:r>
          </w:p>
        </w:tc>
        <w:tc>
          <w:tcPr>
            <w:tcW w:w="3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2009</w:t>
            </w:r>
          </w:p>
        </w:tc>
        <w:tc>
          <w:tcPr>
            <w:tcW w:w="5280" w:type="dxa"/>
            <w:vAlign w:val="bottom"/>
            <w:gridSpan w:val="2"/>
          </w:tcPr>
          <w:p>
            <w:pPr>
              <w:jc w:val="right"/>
              <w:ind w:right="3196"/>
              <w:spacing w:after="0" w:line="40" w:lineRule="exact"/>
              <w:rPr>
                <w:sz w:val="20"/>
                <w:szCs w:val="20"/>
                <w:color w:val="auto"/>
              </w:rPr>
            </w:pPr>
            <w:r>
              <w:rPr>
                <w:rFonts w:ascii="Times New Roman" w:cs="Times New Roman" w:eastAsia="Times New Roman" w:hAnsi="Times New Roman"/>
                <w:sz w:val="4"/>
                <w:szCs w:val="4"/>
                <w:color w:val="FFFFFF"/>
              </w:rPr>
              <w:t>2012 2013 2014 2015 2016 2017 2018</w:t>
            </w:r>
          </w:p>
        </w:tc>
        <w:tc>
          <w:tcPr>
            <w:tcW w:w="0" w:type="dxa"/>
            <w:vAlign w:val="bottom"/>
          </w:tcPr>
          <w:p>
            <w:pPr>
              <w:spacing w:after="0" w:line="20" w:lineRule="exact"/>
              <w:rPr>
                <w:sz w:val="1"/>
                <w:szCs w:val="1"/>
                <w:color w:val="auto"/>
              </w:rPr>
            </w:pPr>
          </w:p>
        </w:tc>
      </w:tr>
      <w:tr>
        <w:trPr>
          <w:trHeight w:val="172"/>
        </w:trPr>
        <w:tc>
          <w:tcPr>
            <w:tcW w:w="280" w:type="dxa"/>
            <w:vAlign w:val="bottom"/>
          </w:tcPr>
          <w:p>
            <w:pPr>
              <w:spacing w:after="0"/>
              <w:rPr>
                <w:sz w:val="20"/>
                <w:szCs w:val="20"/>
                <w:color w:val="auto"/>
              </w:rPr>
            </w:pPr>
            <w:r>
              <w:rPr>
                <w:rFonts w:ascii="Times New Roman" w:cs="Times New Roman" w:eastAsia="Times New Roman" w:hAnsi="Times New Roman"/>
                <w:sz w:val="13"/>
                <w:szCs w:val="13"/>
                <w:color w:val="FFFFFF"/>
              </w:rPr>
              <w:t>41</w:t>
            </w:r>
          </w:p>
        </w:tc>
        <w:tc>
          <w:tcPr>
            <w:tcW w:w="15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gridSpan w:val="3"/>
          </w:tcPr>
          <w:p>
            <w:pPr>
              <w:spacing w:after="0"/>
              <w:rPr>
                <w:sz w:val="20"/>
                <w:szCs w:val="20"/>
                <w:color w:val="auto"/>
              </w:rPr>
            </w:pPr>
            <w:r>
              <w:rPr>
                <w:rFonts w:ascii="Times New Roman" w:cs="Times New Roman" w:eastAsia="Times New Roman" w:hAnsi="Times New Roman"/>
                <w:sz w:val="13"/>
                <w:szCs w:val="13"/>
                <w:color w:val="FFFFFF"/>
              </w:rPr>
              <w:t>APC: Road to $500 Million</w:t>
            </w:r>
          </w:p>
        </w:tc>
        <w:tc>
          <w:tcPr>
            <w:tcW w:w="0" w:type="dxa"/>
            <w:vAlign w:val="bottom"/>
          </w:tcPr>
          <w:p>
            <w:pPr>
              <w:spacing w:after="0"/>
              <w:rPr>
                <w:sz w:val="1"/>
                <w:szCs w:val="1"/>
                <w:color w:val="auto"/>
              </w:rPr>
            </w:pPr>
          </w:p>
        </w:tc>
      </w:tr>
      <w:tr>
        <w:trPr>
          <w:trHeight w:val="39"/>
        </w:trPr>
        <w:tc>
          <w:tcPr>
            <w:tcW w:w="840" w:type="dxa"/>
            <w:vAlign w:val="bottom"/>
            <w:gridSpan w:val="2"/>
          </w:tcPr>
          <w:p>
            <w:pPr>
              <w:ind w:left="100"/>
              <w:spacing w:after="0" w:line="40" w:lineRule="exact"/>
              <w:rPr>
                <w:sz w:val="20"/>
                <w:szCs w:val="20"/>
                <w:color w:val="auto"/>
              </w:rPr>
            </w:pPr>
            <w:r>
              <w:rPr>
                <w:rFonts w:ascii="Times New Roman" w:cs="Times New Roman" w:eastAsia="Times New Roman" w:hAnsi="Times New Roman"/>
                <w:sz w:val="4"/>
                <w:szCs w:val="4"/>
                <w:color w:val="FFFFFF"/>
              </w:rPr>
              <w:t>Millions</w:t>
            </w:r>
          </w:p>
        </w:tc>
        <w:tc>
          <w:tcPr>
            <w:tcW w:w="2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500</w:t>
            </w:r>
          </w:p>
        </w:tc>
        <w:tc>
          <w:tcPr>
            <w:tcW w:w="2760" w:type="dxa"/>
            <w:vAlign w:val="bottom"/>
            <w:gridSpan w:val="2"/>
          </w:tcPr>
          <w:p>
            <w:pPr>
              <w:ind w:left="20"/>
              <w:spacing w:after="0" w:line="40" w:lineRule="exact"/>
              <w:rPr>
                <w:sz w:val="20"/>
                <w:szCs w:val="20"/>
                <w:color w:val="auto"/>
              </w:rPr>
            </w:pPr>
            <w:r>
              <w:rPr>
                <w:rFonts w:ascii="Times New Roman" w:cs="Times New Roman" w:eastAsia="Times New Roman" w:hAnsi="Times New Roman"/>
                <w:sz w:val="4"/>
                <w:szCs w:val="4"/>
                <w:color w:val="FFFFFF"/>
              </w:rPr>
              <w:t>$500 $500</w:t>
            </w: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80</w:t>
            </w:r>
          </w:p>
        </w:tc>
        <w:tc>
          <w:tcPr>
            <w:tcW w:w="560" w:type="dxa"/>
            <w:vAlign w:val="bottom"/>
          </w:tcPr>
          <w:p>
            <w:pPr>
              <w:spacing w:after="0"/>
              <w:rPr>
                <w:sz w:val="3"/>
                <w:szCs w:val="3"/>
                <w:color w:val="auto"/>
              </w:rPr>
            </w:pPr>
          </w:p>
        </w:tc>
        <w:tc>
          <w:tcPr>
            <w:tcW w:w="2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75</w:t>
            </w:r>
          </w:p>
        </w:tc>
        <w:tc>
          <w:tcPr>
            <w:tcW w:w="560" w:type="dxa"/>
            <w:vAlign w:val="bottom"/>
          </w:tcPr>
          <w:p>
            <w:pPr>
              <w:spacing w:after="0"/>
              <w:rPr>
                <w:sz w:val="3"/>
                <w:szCs w:val="3"/>
                <w:color w:val="auto"/>
              </w:rPr>
            </w:pPr>
          </w:p>
        </w:tc>
        <w:tc>
          <w:tcPr>
            <w:tcW w:w="2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50</w:t>
            </w:r>
          </w:p>
        </w:tc>
        <w:tc>
          <w:tcPr>
            <w:tcW w:w="560" w:type="dxa"/>
            <w:vAlign w:val="bottom"/>
            <w:vMerge w:val="restart"/>
          </w:tcPr>
          <w:p>
            <w:pPr>
              <w:ind w:left="20"/>
              <w:spacing w:after="0" w:line="79" w:lineRule="exact"/>
              <w:rPr>
                <w:sz w:val="20"/>
                <w:szCs w:val="20"/>
                <w:color w:val="auto"/>
              </w:rPr>
            </w:pPr>
            <w:r>
              <w:rPr>
                <w:rFonts w:ascii="Times New Roman" w:cs="Times New Roman" w:eastAsia="Times New Roman" w:hAnsi="Times New Roman"/>
                <w:sz w:val="9"/>
                <w:szCs w:val="9"/>
                <w:color w:val="FFFFFF"/>
              </w:rPr>
              <w:t>$425</w:t>
            </w:r>
          </w:p>
        </w:tc>
        <w:tc>
          <w:tcPr>
            <w:tcW w:w="2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25</w:t>
            </w:r>
          </w:p>
        </w:tc>
        <w:tc>
          <w:tcPr>
            <w:tcW w:w="560" w:type="dxa"/>
            <w:vAlign w:val="bottom"/>
            <w:vMerge w:val="continue"/>
          </w:tcPr>
          <w:p>
            <w:pPr>
              <w:spacing w:after="0"/>
              <w:rPr>
                <w:sz w:val="3"/>
                <w:szCs w:val="3"/>
                <w:color w:val="auto"/>
              </w:rPr>
            </w:pPr>
          </w:p>
        </w:tc>
        <w:tc>
          <w:tcPr>
            <w:tcW w:w="2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400</w:t>
            </w:r>
          </w:p>
        </w:tc>
        <w:tc>
          <w:tcPr>
            <w:tcW w:w="560" w:type="dxa"/>
            <w:vAlign w:val="bottom"/>
          </w:tcPr>
          <w:p>
            <w:pPr>
              <w:spacing w:after="0"/>
              <w:rPr>
                <w:sz w:val="3"/>
                <w:szCs w:val="3"/>
                <w:color w:val="auto"/>
              </w:rPr>
            </w:pPr>
          </w:p>
        </w:tc>
        <w:tc>
          <w:tcPr>
            <w:tcW w:w="2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75</w:t>
            </w:r>
          </w:p>
        </w:tc>
        <w:tc>
          <w:tcPr>
            <w:tcW w:w="560" w:type="dxa"/>
            <w:vAlign w:val="bottom"/>
            <w:vMerge w:val="restart"/>
          </w:tcPr>
          <w:p>
            <w:pPr>
              <w:ind w:left="20"/>
              <w:spacing w:after="0" w:line="79" w:lineRule="exact"/>
              <w:rPr>
                <w:sz w:val="20"/>
                <w:szCs w:val="20"/>
                <w:color w:val="auto"/>
              </w:rPr>
            </w:pPr>
            <w:r>
              <w:rPr>
                <w:rFonts w:ascii="Times New Roman" w:cs="Times New Roman" w:eastAsia="Times New Roman" w:hAnsi="Times New Roman"/>
                <w:sz w:val="9"/>
                <w:szCs w:val="9"/>
                <w:color w:val="FFFFFF"/>
              </w:rPr>
              <w:t>$348</w:t>
            </w:r>
          </w:p>
        </w:tc>
        <w:tc>
          <w:tcPr>
            <w:tcW w:w="2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50</w:t>
            </w:r>
          </w:p>
        </w:tc>
        <w:tc>
          <w:tcPr>
            <w:tcW w:w="560" w:type="dxa"/>
            <w:vAlign w:val="bottom"/>
            <w:vMerge w:val="continue"/>
          </w:tcPr>
          <w:p>
            <w:pPr>
              <w:spacing w:after="0"/>
              <w:rPr>
                <w:sz w:val="3"/>
                <w:szCs w:val="3"/>
                <w:color w:val="auto"/>
              </w:rPr>
            </w:pPr>
          </w:p>
        </w:tc>
        <w:tc>
          <w:tcPr>
            <w:tcW w:w="2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28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color w:val="FFFFFF"/>
                <w:vertAlign w:val="subscript"/>
              </w:rPr>
              <w:t>3</w:t>
            </w:r>
            <w:r>
              <w:rPr>
                <w:rFonts w:ascii="Times New Roman" w:cs="Times New Roman" w:eastAsia="Times New Roman" w:hAnsi="Times New Roman"/>
                <w:sz w:val="7"/>
                <w:szCs w:val="7"/>
                <w:color w:val="FFFFFF"/>
              </w:rPr>
              <w:t>25</w:t>
            </w:r>
          </w:p>
        </w:tc>
        <w:tc>
          <w:tcPr>
            <w:tcW w:w="2760" w:type="dxa"/>
            <w:vAlign w:val="bottom"/>
            <w:gridSpan w:val="2"/>
            <w:vMerge w:val="restart"/>
          </w:tcPr>
          <w:p>
            <w:pPr>
              <w:ind w:left="20"/>
              <w:spacing w:after="0" w:line="118" w:lineRule="exact"/>
              <w:rPr>
                <w:sz w:val="20"/>
                <w:szCs w:val="20"/>
                <w:color w:val="auto"/>
              </w:rPr>
            </w:pPr>
            <w:r>
              <w:rPr>
                <w:rFonts w:ascii="Times New Roman" w:cs="Times New Roman" w:eastAsia="Times New Roman" w:hAnsi="Times New Roman"/>
                <w:sz w:val="13"/>
                <w:szCs w:val="13"/>
                <w:color w:val="FFFFFF"/>
              </w:rPr>
              <w:t>2014 Base 2018</w:t>
            </w:r>
          </w:p>
        </w:tc>
        <w:tc>
          <w:tcPr>
            <w:tcW w:w="0" w:type="dxa"/>
            <w:vAlign w:val="bottom"/>
          </w:tcPr>
          <w:p>
            <w:pPr>
              <w:spacing w:after="0"/>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$200</w:t>
            </w:r>
          </w:p>
        </w:tc>
        <w:tc>
          <w:tcPr>
            <w:tcW w:w="2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End of Life Projects</w:t>
            </w:r>
          </w:p>
        </w:tc>
        <w:tc>
          <w:tcPr>
            <w:tcW w:w="0" w:type="dxa"/>
            <w:vAlign w:val="bottom"/>
          </w:tcPr>
          <w:p>
            <w:pPr>
              <w:spacing w:after="0" w:line="20" w:lineRule="exact"/>
              <w:rPr>
                <w:sz w:val="1"/>
                <w:szCs w:val="1"/>
                <w:color w:val="auto"/>
              </w:rPr>
            </w:pPr>
          </w:p>
        </w:tc>
      </w:tr>
      <w:tr>
        <w:trPr>
          <w:trHeight w:val="39"/>
        </w:trPr>
        <w:tc>
          <w:tcPr>
            <w:tcW w:w="84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$30 million</w:t>
            </w:r>
          </w:p>
        </w:tc>
        <w:tc>
          <w:tcPr>
            <w:tcW w:w="2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Fuel Saving Technologies Growth</w:t>
            </w:r>
          </w:p>
        </w:tc>
        <w:tc>
          <w:tcPr>
            <w:tcW w:w="0" w:type="dxa"/>
            <w:vAlign w:val="bottom"/>
          </w:tcPr>
          <w:p>
            <w:pPr>
              <w:spacing w:after="0" w:line="20" w:lineRule="exact"/>
              <w:rPr>
                <w:sz w:val="1"/>
                <w:szCs w:val="1"/>
                <w:color w:val="auto"/>
              </w:rPr>
            </w:pPr>
          </w:p>
        </w:tc>
      </w:tr>
      <w:tr>
        <w:trPr>
          <w:trHeight w:val="39"/>
        </w:trPr>
        <w:tc>
          <w:tcPr>
            <w:tcW w:w="84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$107 million</w:t>
            </w:r>
          </w:p>
        </w:tc>
        <w:tc>
          <w:tcPr>
            <w:tcW w:w="2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Adjacent Markets</w:t>
            </w: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General Industrial $55 million</w:t>
            </w: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Strategic Acquisition</w:t>
            </w:r>
          </w:p>
        </w:tc>
        <w:tc>
          <w:tcPr>
            <w:tcW w:w="0" w:type="dxa"/>
            <w:vAlign w:val="bottom"/>
          </w:tcPr>
          <w:p>
            <w:pPr>
              <w:spacing w:after="0" w:line="20" w:lineRule="exact"/>
              <w:rPr>
                <w:sz w:val="1"/>
                <w:szCs w:val="1"/>
                <w:color w:val="auto"/>
              </w:rPr>
            </w:pPr>
          </w:p>
        </w:tc>
      </w:tr>
      <w:tr>
        <w:trPr>
          <w:trHeight w:val="39"/>
        </w:trPr>
        <w:tc>
          <w:tcPr>
            <w:tcW w:w="84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$20 million</w:t>
            </w:r>
          </w:p>
        </w:tc>
        <w:tc>
          <w:tcPr>
            <w:tcW w:w="2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Outpace the Market with Expanded Focus and Investment</w:t>
            </w:r>
          </w:p>
        </w:tc>
        <w:tc>
          <w:tcPr>
            <w:tcW w:w="0" w:type="dxa"/>
            <w:vAlign w:val="bottom"/>
          </w:tcPr>
          <w:p>
            <w:pPr>
              <w:spacing w:after="0" w:line="20" w:lineRule="exact"/>
              <w:rPr>
                <w:sz w:val="1"/>
                <w:szCs w:val="1"/>
                <w:color w:val="auto"/>
              </w:rPr>
            </w:pPr>
          </w:p>
        </w:tc>
      </w:tr>
      <w:tr>
        <w:trPr>
          <w:trHeight w:val="39"/>
        </w:trPr>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revenue</w:t>
            </w: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ind w:left="80"/>
              <w:spacing w:after="0" w:line="40" w:lineRule="exact"/>
              <w:rPr>
                <w:sz w:val="20"/>
                <w:szCs w:val="20"/>
                <w:color w:val="auto"/>
              </w:rPr>
            </w:pPr>
            <w:r>
              <w:rPr>
                <w:rFonts w:ascii="Times New Roman" w:cs="Times New Roman" w:eastAsia="Times New Roman" w:hAnsi="Times New Roman"/>
                <w:sz w:val="4"/>
                <w:szCs w:val="4"/>
                <w:color w:val="FFFFFF"/>
              </w:rPr>
              <w:t>107 million in organic growth</w:t>
            </w:r>
          </w:p>
        </w:tc>
        <w:tc>
          <w:tcPr>
            <w:tcW w:w="0" w:type="dxa"/>
            <w:vAlign w:val="bottom"/>
          </w:tcPr>
          <w:p>
            <w:pPr>
              <w:spacing w:after="0" w:line="20" w:lineRule="exact"/>
              <w:rPr>
                <w:sz w:val="1"/>
                <w:szCs w:val="1"/>
                <w:color w:val="auto"/>
              </w:rPr>
            </w:pPr>
          </w:p>
        </w:tc>
      </w:tr>
      <w:tr>
        <w:trPr>
          <w:trHeight w:val="39"/>
        </w:trPr>
        <w:tc>
          <w:tcPr>
            <w:tcW w:w="280" w:type="dxa"/>
            <w:vAlign w:val="bottom"/>
          </w:tcPr>
          <w:p>
            <w:pPr>
              <w:ind w:left="80"/>
              <w:spacing w:after="0" w:line="40" w:lineRule="exact"/>
              <w:rPr>
                <w:sz w:val="20"/>
                <w:szCs w:val="20"/>
                <w:color w:val="auto"/>
              </w:rPr>
            </w:pPr>
            <w:r>
              <w:rPr>
                <w:rFonts w:ascii="Times New Roman" w:cs="Times New Roman" w:eastAsia="Times New Roman" w:hAnsi="Times New Roman"/>
                <w:sz w:val="4"/>
                <w:szCs w:val="4"/>
                <w:color w:val="FFFFFF"/>
              </w:rPr>
              <w:t>55</w:t>
            </w:r>
          </w:p>
        </w:tc>
        <w:tc>
          <w:tcPr>
            <w:tcW w:w="2760" w:type="dxa"/>
            <w:vAlign w:val="bottom"/>
            <w:gridSpan w:val="2"/>
          </w:tcPr>
          <w:p>
            <w:pPr>
              <w:ind w:left="500"/>
              <w:spacing w:after="0" w:line="40" w:lineRule="exact"/>
              <w:rPr>
                <w:sz w:val="20"/>
                <w:szCs w:val="20"/>
                <w:color w:val="auto"/>
              </w:rPr>
            </w:pPr>
            <w:r>
              <w:rPr>
                <w:rFonts w:ascii="Times New Roman" w:cs="Times New Roman" w:eastAsia="Times New Roman" w:hAnsi="Times New Roman"/>
                <w:sz w:val="4"/>
                <w:szCs w:val="4"/>
                <w:color w:val="FFFFFF"/>
              </w:rPr>
              <w:t>adjacent market expansion</w:t>
            </w: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$20 million in strategic acquisitions</w:t>
            </w: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Enhanced R&amp;D and market presence</w:t>
            </w: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Improvi g s gment operating margins: 2013 ?2018</w:t>
            </w:r>
          </w:p>
        </w:tc>
        <w:tc>
          <w:tcPr>
            <w:tcW w:w="0" w:type="dxa"/>
            <w:vAlign w:val="bottom"/>
          </w:tcPr>
          <w:p>
            <w:pPr>
              <w:spacing w:after="0" w:line="20" w:lineRule="exact"/>
              <w:rPr>
                <w:sz w:val="1"/>
                <w:szCs w:val="1"/>
                <w:color w:val="auto"/>
              </w:rPr>
            </w:pPr>
          </w:p>
        </w:tc>
      </w:tr>
      <w:tr>
        <w:trPr>
          <w:trHeight w:val="39"/>
        </w:trPr>
        <w:tc>
          <w:tcPr>
            <w:tcW w:w="84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Precision Metal</w:t>
            </w:r>
          </w:p>
        </w:tc>
        <w:tc>
          <w:tcPr>
            <w:tcW w:w="2200" w:type="dxa"/>
            <w:vAlign w:val="bottom"/>
          </w:tcPr>
          <w:p>
            <w:pPr>
              <w:ind w:left="20"/>
              <w:spacing w:after="0" w:line="40" w:lineRule="exact"/>
              <w:rPr>
                <w:sz w:val="20"/>
                <w:szCs w:val="20"/>
                <w:color w:val="auto"/>
              </w:rPr>
            </w:pPr>
            <w:r>
              <w:rPr>
                <w:rFonts w:ascii="Times New Roman" w:cs="Times New Roman" w:eastAsia="Times New Roman" w:hAnsi="Times New Roman"/>
                <w:sz w:val="4"/>
                <w:szCs w:val="4"/>
                <w:color w:val="FFFFFF"/>
              </w:rPr>
              <w:t>Components: 11.6% ?16.00%</w:t>
            </w:r>
          </w:p>
        </w:tc>
        <w:tc>
          <w:tcPr>
            <w:tcW w:w="0" w:type="dxa"/>
            <w:vAlign w:val="bottom"/>
          </w:tcPr>
          <w:p>
            <w:pPr>
              <w:spacing w:after="0" w:line="20" w:lineRule="exact"/>
              <w:rPr>
                <w:sz w:val="1"/>
                <w:szCs w:val="1"/>
                <w:color w:val="auto"/>
              </w:rPr>
            </w:pPr>
          </w:p>
        </w:tc>
      </w:tr>
      <w:tr>
        <w:trPr>
          <w:trHeight w:val="171"/>
        </w:trPr>
        <w:tc>
          <w:tcPr>
            <w:tcW w:w="280" w:type="dxa"/>
            <w:vAlign w:val="bottom"/>
          </w:tcPr>
          <w:p>
            <w:pPr>
              <w:spacing w:after="0"/>
              <w:rPr>
                <w:sz w:val="20"/>
                <w:szCs w:val="20"/>
                <w:color w:val="auto"/>
              </w:rPr>
            </w:pPr>
            <w:r>
              <w:rPr>
                <w:rFonts w:ascii="Times New Roman" w:cs="Times New Roman" w:eastAsia="Times New Roman" w:hAnsi="Times New Roman"/>
                <w:sz w:val="13"/>
                <w:szCs w:val="13"/>
                <w:color w:val="FFFFFF"/>
              </w:rPr>
              <w:t>42</w:t>
            </w:r>
          </w:p>
        </w:tc>
        <w:tc>
          <w:tcPr>
            <w:tcW w:w="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APC Summary</w:t>
      </w:r>
    </w:p>
    <w:p>
      <w:pPr>
        <w:spacing w:after="0" w:line="204" w:lineRule="auto"/>
        <w:rPr>
          <w:sz w:val="20"/>
          <w:szCs w:val="20"/>
          <w:color w:val="auto"/>
        </w:rPr>
      </w:pPr>
      <w:r>
        <w:rPr>
          <w:rFonts w:ascii="Times New Roman" w:cs="Times New Roman" w:eastAsia="Times New Roman" w:hAnsi="Times New Roman"/>
          <w:sz w:val="4"/>
          <w:szCs w:val="4"/>
          <w:color w:val="FFFFFF"/>
          <w:vertAlign w:val="superscript"/>
        </w:rPr>
        <w:t>T</w:t>
      </w:r>
      <w:r>
        <w:rPr>
          <w:rFonts w:ascii="Times New Roman" w:cs="Times New Roman" w:eastAsia="Times New Roman" w:hAnsi="Times New Roman"/>
          <w:sz w:val="2"/>
          <w:szCs w:val="2"/>
          <w:color w:val="FFFFFF"/>
        </w:rPr>
        <w:t>Experiencedechnologyleadermanagement</w:t>
      </w:r>
    </w:p>
    <w:p>
      <w:pPr>
        <w:ind w:left="80"/>
        <w:spacing w:after="0" w:line="182" w:lineRule="auto"/>
        <w:rPr>
          <w:sz w:val="20"/>
          <w:szCs w:val="20"/>
          <w:color w:val="auto"/>
        </w:rPr>
      </w:pPr>
      <w:r>
        <w:rPr>
          <w:rFonts w:ascii="Times New Roman" w:cs="Times New Roman" w:eastAsia="Times New Roman" w:hAnsi="Times New Roman"/>
          <w:sz w:val="9"/>
          <w:szCs w:val="9"/>
          <w:color w:val="FFFFFF"/>
        </w:rPr>
        <w:t>argeted growth markets</w:t>
      </w:r>
    </w:p>
    <w:p>
      <w:pPr>
        <w:spacing w:after="0" w:line="182" w:lineRule="auto"/>
        <w:rPr>
          <w:sz w:val="20"/>
          <w:szCs w:val="20"/>
          <w:color w:val="auto"/>
        </w:rPr>
      </w:pPr>
      <w:r>
        <w:rPr>
          <w:rFonts w:ascii="Times New Roman" w:cs="Times New Roman" w:eastAsia="Times New Roman" w:hAnsi="Times New Roman"/>
          <w:sz w:val="9"/>
          <w:szCs w:val="9"/>
          <w:color w:val="FFFFFF"/>
          <w:vertAlign w:val="subscript"/>
        </w:rPr>
        <w:t>o</w:t>
      </w:r>
      <w:r>
        <w:rPr>
          <w:rFonts w:ascii="Times New Roman" w:cs="Times New Roman" w:eastAsia="Times New Roman" w:hAnsi="Times New Roman"/>
          <w:sz w:val="7"/>
          <w:szCs w:val="7"/>
          <w:color w:val="FFFFFF"/>
        </w:rPr>
        <w:t xml:space="preserve"> G</w:t>
      </w:r>
      <w:r>
        <w:rPr>
          <w:rFonts w:ascii="Times New Roman" w:cs="Times New Roman" w:eastAsia="Times New Roman" w:hAnsi="Times New Roman"/>
          <w:sz w:val="9"/>
          <w:szCs w:val="9"/>
          <w:color w:val="FFFFFF"/>
          <w:vertAlign w:val="subscript"/>
        </w:rPr>
        <w:t>Aerospace</w:t>
      </w:r>
      <w:r>
        <w:rPr>
          <w:rFonts w:ascii="Times New Roman" w:cs="Times New Roman" w:eastAsia="Times New Roman" w:hAnsi="Times New Roman"/>
          <w:sz w:val="7"/>
          <w:szCs w:val="7"/>
          <w:color w:val="FFFFFF"/>
        </w:rPr>
        <w:t>Transportationneralindustrial–fuel savings technologies</w:t>
      </w:r>
    </w:p>
    <w:p>
      <w:pPr>
        <w:spacing w:after="0" w:line="206" w:lineRule="auto"/>
        <w:rPr>
          <w:sz w:val="20"/>
          <w:szCs w:val="20"/>
          <w:color w:val="auto"/>
        </w:rPr>
      </w:pPr>
      <w:r>
        <w:rPr>
          <w:rFonts w:ascii="Times New Roman" w:cs="Times New Roman" w:eastAsia="Times New Roman" w:hAnsi="Times New Roman"/>
          <w:sz w:val="4"/>
          <w:szCs w:val="4"/>
          <w:color w:val="FFFFFF"/>
        </w:rPr>
        <w:t>Global footprint</w:t>
      </w:r>
    </w:p>
    <w:p>
      <w:pPr>
        <w:spacing w:after="0" w:line="205" w:lineRule="auto"/>
        <w:rPr>
          <w:sz w:val="20"/>
          <w:szCs w:val="20"/>
          <w:color w:val="auto"/>
        </w:rPr>
      </w:pPr>
      <w:r>
        <w:rPr>
          <w:rFonts w:ascii="Times New Roman" w:cs="Times New Roman" w:eastAsia="Times New Roman" w:hAnsi="Times New Roman"/>
          <w:sz w:val="4"/>
          <w:szCs w:val="4"/>
          <w:color w:val="FFFFFF"/>
        </w:rPr>
        <w:t>Full life cycle management</w:t>
      </w:r>
    </w:p>
    <w:p>
      <w:pPr>
        <w:ind w:right="839"/>
        <w:spacing w:after="0"/>
        <w:rPr>
          <w:sz w:val="20"/>
          <w:szCs w:val="20"/>
          <w:color w:val="auto"/>
        </w:rPr>
      </w:pPr>
      <w:r>
        <w:rPr>
          <w:rFonts w:ascii="Times New Roman" w:cs="Times New Roman" w:eastAsia="Times New Roman" w:hAnsi="Times New Roman"/>
          <w:sz w:val="12"/>
          <w:szCs w:val="12"/>
          <w:color w:val="FFFFFF"/>
        </w:rPr>
        <w:t>Our customers value our engineered process technologies, global footprint, and flexible production system allowing full life cycle management across many volume/mix scenarios 43</w:t>
      </w:r>
    </w:p>
    <w:p>
      <w:pPr>
        <w:sectPr>
          <w:pgSz w:w="11900" w:h="16838" w:orient="portrait"/>
          <w:cols w:equalWidth="0" w:num="1">
            <w:col w:w="10219"/>
          </w:cols>
          <w:pgMar w:left="2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FFFFFF"/>
        </w:rPr>
        <w:t>44Metal Bearing Components</w:t>
      </w:r>
    </w:p>
    <w:p>
      <w:pPr>
        <w:sectPr>
          <w:pgSz w:w="11900" w:h="16838" w:orient="portrait"/>
          <w:cols w:equalWidth="0" w:num="1">
            <w:col w:w="10219"/>
          </w:cols>
          <w:pgMar w:left="240" w:top="1440" w:right="1440"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JeffreyNewYorkManzagolInvestor Day 2015</w:t>
      </w:r>
    </w:p>
    <w:p>
      <w:pPr>
        <w:spacing w:after="0" w:line="204" w:lineRule="auto"/>
        <w:rPr>
          <w:sz w:val="20"/>
          <w:szCs w:val="20"/>
          <w:color w:val="auto"/>
        </w:rPr>
      </w:pPr>
      <w:r>
        <w:rPr>
          <w:rFonts w:ascii="Times New Roman" w:cs="Times New Roman" w:eastAsia="Times New Roman" w:hAnsi="Times New Roman"/>
          <w:sz w:val="4"/>
          <w:szCs w:val="4"/>
          <w:color w:val="FFFFFF"/>
        </w:rPr>
        <w:t>Senior Vice President, Metal Bearing Components Group</w:t>
      </w:r>
    </w:p>
    <w:p>
      <w:pPr>
        <w:spacing w:after="0" w:line="205" w:lineRule="auto"/>
        <w:rPr>
          <w:sz w:val="20"/>
          <w:szCs w:val="20"/>
          <w:color w:val="auto"/>
        </w:rPr>
      </w:pPr>
      <w:r>
        <w:rPr>
          <w:rFonts w:ascii="Times New Roman" w:cs="Times New Roman" w:eastAsia="Times New Roman" w:hAnsi="Times New Roman"/>
          <w:sz w:val="4"/>
          <w:szCs w:val="4"/>
          <w:color w:val="FFFFFF"/>
        </w:rPr>
        <w:t>Joined NN from Kaydon Corporation where he served as President of the Bearings Division from 2005 to 2014, leading their penetration into Renewable Energy and their acquisition of Avon Bearings</w:t>
      </w:r>
    </w:p>
    <w:p>
      <w:pPr>
        <w:spacing w:after="0" w:line="205" w:lineRule="auto"/>
        <w:rPr>
          <w:sz w:val="20"/>
          <w:szCs w:val="20"/>
          <w:color w:val="auto"/>
        </w:rPr>
      </w:pPr>
      <w:r>
        <w:rPr>
          <w:rFonts w:ascii="Times New Roman" w:cs="Times New Roman" w:eastAsia="Times New Roman" w:hAnsi="Times New Roman"/>
          <w:sz w:val="4"/>
          <w:szCs w:val="4"/>
          <w:color w:val="FFFFFF"/>
          <w:vertAlign w:val="superscript"/>
        </w:rPr>
        <w:t>Served</w:t>
      </w:r>
      <w:r>
        <w:rPr>
          <w:rFonts w:ascii="Times New Roman" w:cs="Times New Roman" w:eastAsia="Times New Roman" w:hAnsi="Times New Roman"/>
          <w:sz w:val="2"/>
          <w:szCs w:val="2"/>
          <w:color w:val="FFFFFF"/>
        </w:rPr>
        <w:t>tarted his career with The Timken Company and then held a variety of leadership positions during 24 years with SKF, working in both the automotive and industrial markets, both domestically and internationally</w:t>
      </w:r>
    </w:p>
    <w:p>
      <w:pPr>
        <w:spacing w:after="0" w:line="181" w:lineRule="auto"/>
        <w:tabs>
          <w:tab w:leader="none" w:pos="380" w:val="left"/>
        </w:tabs>
        <w:rPr>
          <w:sz w:val="20"/>
          <w:szCs w:val="20"/>
          <w:color w:val="auto"/>
        </w:rPr>
      </w:pPr>
      <w:r>
        <w:rPr>
          <w:rFonts w:ascii="Times New Roman" w:cs="Times New Roman" w:eastAsia="Times New Roman" w:hAnsi="Times New Roman"/>
          <w:sz w:val="18"/>
          <w:szCs w:val="18"/>
          <w:color w:val="FFFFFF"/>
          <w:vertAlign w:val="subscript"/>
        </w:rPr>
        <w:t>45</w:t>
      </w:r>
      <w:r>
        <w:rPr>
          <w:sz w:val="20"/>
          <w:szCs w:val="20"/>
          <w:color w:val="auto"/>
        </w:rPr>
        <w:tab/>
      </w:r>
      <w:r>
        <w:rPr>
          <w:rFonts w:ascii="Times New Roman" w:cs="Times New Roman" w:eastAsia="Times New Roman" w:hAnsi="Times New Roman"/>
          <w:sz w:val="10"/>
          <w:szCs w:val="10"/>
          <w:color w:val="FFFFFF"/>
        </w:rPr>
        <w:t>as Chairman of the American Bearing Manufacturers Association from 2010 to 2012</w:t>
      </w:r>
    </w:p>
    <w:p>
      <w:pPr>
        <w:sectPr>
          <w:pgSz w:w="11900" w:h="16838" w:orient="portrait"/>
          <w:cols w:equalWidth="0" w:num="1">
            <w:col w:w="11140"/>
          </w:cols>
          <w:pgMar w:left="240" w:top="1440" w:right="51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RobMBCHeinrichGroupOrganization</w:t>
      </w:r>
    </w:p>
    <w:p>
      <w:pPr>
        <w:spacing w:after="0" w:line="182" w:lineRule="auto"/>
        <w:rPr>
          <w:sz w:val="20"/>
          <w:szCs w:val="20"/>
          <w:color w:val="auto"/>
        </w:rPr>
      </w:pPr>
      <w:r>
        <w:rPr>
          <w:rFonts w:ascii="Times New Roman" w:cs="Times New Roman" w:eastAsia="Times New Roman" w:hAnsi="Times New Roman"/>
          <w:sz w:val="9"/>
          <w:szCs w:val="9"/>
          <w:color w:val="FFFFFF"/>
        </w:rPr>
        <w:t>SeniorJeffManzagolVicePresident</w:t>
      </w:r>
    </w:p>
    <w:p>
      <w:pPr>
        <w:spacing w:after="0" w:line="182" w:lineRule="auto"/>
        <w:rPr>
          <w:sz w:val="20"/>
          <w:szCs w:val="20"/>
          <w:color w:val="auto"/>
        </w:rPr>
      </w:pPr>
      <w:r>
        <w:rPr>
          <w:rFonts w:ascii="Times New Roman" w:cs="Times New Roman" w:eastAsia="Times New Roman" w:hAnsi="Times New Roman"/>
          <w:sz w:val="9"/>
          <w:szCs w:val="9"/>
          <w:color w:val="FFFFFF"/>
        </w:rPr>
        <w:t>DarioVicePresidentGaletti Global Rollers Div.</w:t>
      </w:r>
    </w:p>
    <w:p>
      <w:pPr>
        <w:spacing w:after="0" w:line="182" w:lineRule="auto"/>
        <w:rPr>
          <w:sz w:val="20"/>
          <w:szCs w:val="20"/>
          <w:color w:val="auto"/>
        </w:rPr>
      </w:pPr>
      <w:r>
        <w:rPr>
          <w:rFonts w:ascii="Times New Roman" w:cs="Times New Roman" w:eastAsia="Times New Roman" w:hAnsi="Times New Roman"/>
          <w:sz w:val="9"/>
          <w:szCs w:val="9"/>
          <w:color w:val="FFFFFF"/>
        </w:rPr>
        <w:t>JeffViceHodgePresident Global Balls Div.</w:t>
      </w:r>
    </w:p>
    <w:p>
      <w:pPr>
        <w:spacing w:after="0" w:line="182" w:lineRule="auto"/>
        <w:rPr>
          <w:sz w:val="20"/>
          <w:szCs w:val="20"/>
          <w:color w:val="auto"/>
        </w:rPr>
      </w:pPr>
      <w:r>
        <w:rPr>
          <w:rFonts w:ascii="Times New Roman" w:cs="Times New Roman" w:eastAsia="Times New Roman" w:hAnsi="Times New Roman"/>
          <w:sz w:val="9"/>
          <w:szCs w:val="9"/>
          <w:color w:val="FFFFFF"/>
        </w:rPr>
        <w:t>TrevorVicePresidentLynch Business Development</w:t>
      </w:r>
    </w:p>
    <w:p>
      <w:pPr>
        <w:spacing w:after="0" w:line="183" w:lineRule="auto"/>
        <w:rPr>
          <w:sz w:val="20"/>
          <w:szCs w:val="20"/>
          <w:color w:val="auto"/>
        </w:rPr>
      </w:pPr>
      <w:r>
        <w:rPr>
          <w:rFonts w:ascii="Times New Roman" w:cs="Times New Roman" w:eastAsia="Times New Roman" w:hAnsi="Times New Roman"/>
          <w:sz w:val="9"/>
          <w:szCs w:val="9"/>
          <w:color w:val="FFFFFF"/>
        </w:rPr>
        <w:t>MikeGroupHandController</w:t>
      </w:r>
    </w:p>
    <w:p>
      <w:pPr>
        <w:spacing w:after="0"/>
        <w:rPr>
          <w:sz w:val="20"/>
          <w:szCs w:val="20"/>
          <w:color w:val="auto"/>
        </w:rPr>
      </w:pPr>
      <w:r>
        <w:rPr>
          <w:rFonts w:ascii="Times New Roman" w:cs="Times New Roman" w:eastAsia="Times New Roman" w:hAnsi="Times New Roman"/>
          <w:sz w:val="13"/>
          <w:szCs w:val="13"/>
          <w:color w:val="FFFFFF"/>
        </w:rPr>
        <w:t>46Vice President Global Sales</w:t>
      </w:r>
    </w:p>
    <w:p>
      <w:pPr>
        <w:sectPr>
          <w:pgSz w:w="11900" w:h="16838" w:orient="portrait"/>
          <w:cols w:equalWidth="0" w:num="1">
            <w:col w:w="10219"/>
          </w:cols>
          <w:pgMar w:left="240" w:top="1440" w:right="1440"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gridSpan w:val="2"/>
          </w:tcPr>
          <w:p>
            <w:pPr>
              <w:spacing w:after="0"/>
              <w:rPr>
                <w:sz w:val="20"/>
                <w:szCs w:val="20"/>
                <w:color w:val="auto"/>
              </w:rPr>
            </w:pPr>
            <w:r>
              <w:rPr>
                <w:rFonts w:ascii="Times New Roman" w:cs="Times New Roman" w:eastAsia="Times New Roman" w:hAnsi="Times New Roman"/>
                <w:sz w:val="13"/>
                <w:szCs w:val="13"/>
                <w:color w:val="FFFFFF"/>
              </w:rPr>
              <w:t>MBC Group Overview</w:t>
            </w:r>
          </w:p>
        </w:tc>
        <w:tc>
          <w:tcPr>
            <w:tcW w:w="384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FFFFFF"/>
              </w:rPr>
              <w:t>Components to the Bearing Industry and other Related Applications</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820" w:type="dxa"/>
            <w:vAlign w:val="bottom"/>
          </w:tcPr>
          <w:p>
            <w:pPr>
              <w:ind w:left="320"/>
              <w:spacing w:after="0" w:line="40" w:lineRule="exact"/>
              <w:rPr>
                <w:sz w:val="20"/>
                <w:szCs w:val="20"/>
                <w:color w:val="auto"/>
              </w:rPr>
            </w:pPr>
            <w:r>
              <w:rPr>
                <w:rFonts w:ascii="Times New Roman" w:cs="Times New Roman" w:eastAsia="Times New Roman" w:hAnsi="Times New Roman"/>
                <w:sz w:val="4"/>
                <w:szCs w:val="4"/>
                <w:color w:val="FFFFFF"/>
              </w:rPr>
              <w:t>Leader in the Supply of</w:t>
            </w:r>
          </w:p>
        </w:tc>
        <w:tc>
          <w:tcPr>
            <w:tcW w:w="3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7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GlobalPrecision Balls  Precision RolPrecisionersStamped Metal Components</w:t>
            </w:r>
          </w:p>
        </w:tc>
        <w:tc>
          <w:tcPr>
            <w:tcW w:w="0" w:type="dxa"/>
            <w:vAlign w:val="bottom"/>
          </w:tcPr>
          <w:p>
            <w:pPr>
              <w:spacing w:after="0" w:line="20" w:lineRule="exact"/>
              <w:rPr>
                <w:sz w:val="1"/>
                <w:szCs w:val="1"/>
                <w:color w:val="auto"/>
              </w:rPr>
            </w:pPr>
          </w:p>
        </w:tc>
      </w:tr>
      <w:tr>
        <w:trPr>
          <w:trHeight w:val="39"/>
        </w:trPr>
        <w:tc>
          <w:tcPr>
            <w:tcW w:w="57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World Class Performance in Quality, Delivery and Cost Management</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7</w:t>
            </w:r>
          </w:p>
        </w:tc>
        <w:tc>
          <w:tcPr>
            <w:tcW w:w="1820" w:type="dxa"/>
            <w:vAlign w:val="bottom"/>
          </w:tcPr>
          <w:p>
            <w:pPr>
              <w:ind w:left="20"/>
              <w:spacing w:after="0" w:line="40" w:lineRule="exact"/>
              <w:rPr>
                <w:sz w:val="20"/>
                <w:szCs w:val="20"/>
                <w:color w:val="auto"/>
              </w:rPr>
            </w:pPr>
            <w:r>
              <w:rPr>
                <w:rFonts w:ascii="Times New Roman" w:cs="Times New Roman" w:eastAsia="Times New Roman" w:hAnsi="Times New Roman"/>
                <w:sz w:val="4"/>
                <w:szCs w:val="4"/>
                <w:color w:val="FFFFFF"/>
              </w:rPr>
              <w:t>Factories in 6 Countries</w:t>
            </w:r>
          </w:p>
        </w:tc>
        <w:tc>
          <w:tcPr>
            <w:tcW w:w="3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2</w:t>
            </w:r>
          </w:p>
        </w:tc>
        <w:tc>
          <w:tcPr>
            <w:tcW w:w="1820" w:type="dxa"/>
            <w:vAlign w:val="bottom"/>
          </w:tcPr>
          <w:p>
            <w:pPr>
              <w:ind w:left="20"/>
              <w:spacing w:after="0" w:line="40" w:lineRule="exact"/>
              <w:rPr>
                <w:sz w:val="20"/>
                <w:szCs w:val="20"/>
                <w:color w:val="auto"/>
              </w:rPr>
            </w:pPr>
            <w:r>
              <w:rPr>
                <w:rFonts w:ascii="Times New Roman" w:cs="Times New Roman" w:eastAsia="Times New Roman" w:hAnsi="Times New Roman"/>
                <w:sz w:val="4"/>
                <w:szCs w:val="4"/>
                <w:color w:val="FFFFFF"/>
              </w:rPr>
              <w:t>Centers of Excellence</w:t>
            </w:r>
          </w:p>
        </w:tc>
        <w:tc>
          <w:tcPr>
            <w:tcW w:w="3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o</w:t>
            </w:r>
          </w:p>
        </w:tc>
        <w:tc>
          <w:tcPr>
            <w:tcW w:w="5660" w:type="dxa"/>
            <w:vAlign w:val="bottom"/>
            <w:gridSpan w:val="2"/>
          </w:tcPr>
          <w:p>
            <w:pPr>
              <w:ind w:left="20"/>
              <w:spacing w:after="0" w:line="40" w:lineRule="exact"/>
              <w:rPr>
                <w:sz w:val="20"/>
                <w:szCs w:val="20"/>
                <w:color w:val="auto"/>
              </w:rPr>
            </w:pPr>
            <w:r>
              <w:rPr>
                <w:rFonts w:ascii="Times New Roman" w:cs="Times New Roman" w:eastAsia="Times New Roman" w:hAnsi="Times New Roman"/>
                <w:sz w:val="4"/>
                <w:szCs w:val="4"/>
                <w:color w:val="FFFFFF"/>
              </w:rPr>
              <w:t>Process and Product Development o Italy and The Netherlands</w:t>
            </w:r>
          </w:p>
        </w:tc>
        <w:tc>
          <w:tcPr>
            <w:tcW w:w="0" w:type="dxa"/>
            <w:vAlign w:val="bottom"/>
          </w:tcPr>
          <w:p>
            <w:pPr>
              <w:spacing w:after="0" w:line="20" w:lineRule="exact"/>
              <w:rPr>
                <w:sz w:val="1"/>
                <w:szCs w:val="1"/>
                <w:color w:val="auto"/>
              </w:rPr>
            </w:pPr>
          </w:p>
        </w:tc>
      </w:tr>
      <w:tr>
        <w:trPr>
          <w:trHeight w:val="171"/>
        </w:trPr>
        <w:tc>
          <w:tcPr>
            <w:tcW w:w="1900" w:type="dxa"/>
            <w:vAlign w:val="bottom"/>
            <w:gridSpan w:val="2"/>
          </w:tcPr>
          <w:p>
            <w:pPr>
              <w:spacing w:after="0"/>
              <w:rPr>
                <w:sz w:val="20"/>
                <w:szCs w:val="20"/>
                <w:color w:val="auto"/>
              </w:rPr>
            </w:pPr>
            <w:r>
              <w:rPr>
                <w:rFonts w:ascii="Times New Roman" w:cs="Times New Roman" w:eastAsia="Times New Roman" w:hAnsi="Times New Roman"/>
                <w:sz w:val="13"/>
                <w:szCs w:val="13"/>
                <w:color w:val="FFFFFF"/>
              </w:rPr>
              <w:t>47</w:t>
            </w: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Pinerolo,MBCGlobalItalyFootprint</w:t>
      </w:r>
    </w:p>
    <w:p>
      <w:pPr>
        <w:spacing w:after="0" w:line="182" w:lineRule="auto"/>
        <w:rPr>
          <w:sz w:val="20"/>
          <w:szCs w:val="20"/>
          <w:color w:val="auto"/>
        </w:rPr>
      </w:pPr>
      <w:r>
        <w:rPr>
          <w:rFonts w:ascii="Times New Roman" w:cs="Times New Roman" w:eastAsia="Times New Roman" w:hAnsi="Times New Roman"/>
          <w:sz w:val="9"/>
          <w:szCs w:val="9"/>
          <w:color w:val="FFFFFF"/>
        </w:rPr>
        <w:t>Erwin, TN Mountain City, TN</w:t>
      </w:r>
    </w:p>
    <w:p>
      <w:pPr>
        <w:spacing w:after="0" w:line="182" w:lineRule="auto"/>
        <w:rPr>
          <w:sz w:val="20"/>
          <w:szCs w:val="20"/>
          <w:color w:val="auto"/>
        </w:rPr>
      </w:pPr>
      <w:r>
        <w:rPr>
          <w:rFonts w:ascii="Times New Roman" w:cs="Times New Roman" w:eastAsia="Times New Roman" w:hAnsi="Times New Roman"/>
          <w:sz w:val="9"/>
          <w:szCs w:val="9"/>
          <w:color w:val="FFFFFF"/>
        </w:rPr>
        <w:t>Veenendaal,KysuckeNove Mesto, Slovakia</w:t>
      </w:r>
    </w:p>
    <w:p>
      <w:pPr>
        <w:spacing w:after="0" w:line="205" w:lineRule="auto"/>
        <w:rPr>
          <w:sz w:val="20"/>
          <w:szCs w:val="20"/>
          <w:color w:val="auto"/>
        </w:rPr>
      </w:pPr>
      <w:r>
        <w:rPr>
          <w:rFonts w:ascii="Times New Roman" w:cs="Times New Roman" w:eastAsia="Times New Roman" w:hAnsi="Times New Roman"/>
          <w:sz w:val="4"/>
          <w:szCs w:val="4"/>
          <w:color w:val="FFFFFF"/>
          <w:vertAlign w:val="subscript"/>
        </w:rPr>
        <w:t>Kunshan,</w:t>
      </w:r>
      <w:r>
        <w:rPr>
          <w:rFonts w:ascii="Times New Roman" w:cs="Times New Roman" w:eastAsia="Times New Roman" w:hAnsi="Times New Roman"/>
          <w:sz w:val="2"/>
          <w:szCs w:val="2"/>
          <w:color w:val="FFFFFF"/>
        </w:rPr>
        <w:t>Netherlandsojic,Bosnia</w:t>
      </w:r>
    </w:p>
    <w:p>
      <w:pPr>
        <w:ind w:left="540"/>
        <w:spacing w:after="0" w:line="182" w:lineRule="auto"/>
        <w:rPr>
          <w:sz w:val="20"/>
          <w:szCs w:val="20"/>
          <w:color w:val="auto"/>
        </w:rPr>
      </w:pPr>
      <w:r>
        <w:rPr>
          <w:rFonts w:ascii="Times New Roman" w:cs="Times New Roman" w:eastAsia="Times New Roman" w:hAnsi="Times New Roman"/>
          <w:sz w:val="9"/>
          <w:szCs w:val="9"/>
          <w:color w:val="FFFFFF"/>
        </w:rPr>
        <w:t>China</w:t>
      </w:r>
    </w:p>
    <w:p>
      <w:pPr>
        <w:spacing w:after="0"/>
        <w:rPr>
          <w:sz w:val="20"/>
          <w:szCs w:val="20"/>
          <w:color w:val="auto"/>
        </w:rPr>
      </w:pPr>
      <w:r>
        <w:rPr>
          <w:rFonts w:ascii="Times New Roman" w:cs="Times New Roman" w:eastAsia="Times New Roman" w:hAnsi="Times New Roman"/>
          <w:sz w:val="12"/>
          <w:szCs w:val="12"/>
          <w:color w:val="FFFFFF"/>
        </w:rPr>
        <w:t>48Strong global footprint allows NN to serve customers around the world</w:t>
      </w:r>
    </w:p>
    <w:p>
      <w:pPr>
        <w:sectPr>
          <w:pgSz w:w="11900" w:h="16838" w:orient="portrait"/>
          <w:cols w:equalWidth="0" w:num="1">
            <w:col w:w="10219"/>
          </w:cols>
          <w:pgMar w:left="240" w:top="1440" w:right="14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Global Market Size</w:t>
      </w:r>
    </w:p>
    <w:p>
      <w:pPr>
        <w:spacing w:after="0" w:line="204" w:lineRule="auto"/>
        <w:rPr>
          <w:sz w:val="20"/>
          <w:szCs w:val="20"/>
          <w:color w:val="auto"/>
        </w:rPr>
      </w:pPr>
      <w:r>
        <w:rPr>
          <w:rFonts w:ascii="Times New Roman" w:cs="Times New Roman" w:eastAsia="Times New Roman" w:hAnsi="Times New Roman"/>
          <w:sz w:val="4"/>
          <w:szCs w:val="4"/>
          <w:color w:val="FFFFFF"/>
        </w:rPr>
        <w:t>Product Segments, Markets and Customers</w:t>
      </w:r>
    </w:p>
    <w:p>
      <w:pPr>
        <w:spacing w:after="0" w:line="189" w:lineRule="auto"/>
        <w:rPr>
          <w:sz w:val="20"/>
          <w:szCs w:val="20"/>
          <w:color w:val="auto"/>
        </w:rPr>
      </w:pPr>
      <w:r>
        <w:rPr>
          <w:rFonts w:ascii="Times New Roman" w:cs="Times New Roman" w:eastAsia="Times New Roman" w:hAnsi="Times New Roman"/>
          <w:sz w:val="13"/>
          <w:szCs w:val="13"/>
          <w:color w:val="FFFFFF"/>
          <w:vertAlign w:val="subscript"/>
        </w:rPr>
        <w:t>Addressable</w:t>
      </w:r>
      <w:r>
        <w:rPr>
          <w:rFonts w:ascii="Times New Roman" w:cs="Times New Roman" w:eastAsia="Times New Roman" w:hAnsi="Times New Roman"/>
          <w:sz w:val="8"/>
          <w:szCs w:val="8"/>
          <w:color w:val="FFFFFF"/>
        </w:rPr>
        <w:t>utomotive Aerospace Railway Linear Systems Fluid Power</w:t>
      </w:r>
    </w:p>
    <w:p>
      <w:pPr>
        <w:spacing w:after="0" w:line="206" w:lineRule="auto"/>
        <w:rPr>
          <w:sz w:val="20"/>
          <w:szCs w:val="20"/>
          <w:color w:val="auto"/>
        </w:rPr>
      </w:pPr>
      <w:r>
        <w:rPr>
          <w:rFonts w:ascii="Times New Roman" w:cs="Times New Roman" w:eastAsia="Times New Roman" w:hAnsi="Times New Roman"/>
          <w:sz w:val="4"/>
          <w:szCs w:val="4"/>
          <w:color w:val="FFFFFF"/>
          <w:vertAlign w:val="subscript"/>
        </w:rPr>
        <w:t>Market</w:t>
      </w:r>
      <w:r>
        <w:rPr>
          <w:rFonts w:ascii="Times New Roman" w:cs="Times New Roman" w:eastAsia="Times New Roman" w:hAnsi="Times New Roman"/>
          <w:sz w:val="2"/>
          <w:szCs w:val="2"/>
          <w:color w:val="FFFFFF"/>
        </w:rPr>
        <w:t>$1billion(2014)$250 million $125 million $100 million $100 million</w:t>
      </w:r>
    </w:p>
    <w:p>
      <w:pPr>
        <w:ind w:left="420"/>
        <w:spacing w:after="0" w:line="205" w:lineRule="auto"/>
        <w:rPr>
          <w:sz w:val="20"/>
          <w:szCs w:val="20"/>
          <w:color w:val="auto"/>
        </w:rPr>
      </w:pPr>
      <w:r>
        <w:rPr>
          <w:rFonts w:ascii="Times New Roman" w:cs="Times New Roman" w:eastAsia="Times New Roman" w:hAnsi="Times New Roman"/>
          <w:sz w:val="4"/>
          <w:szCs w:val="4"/>
          <w:color w:val="FFFFFF"/>
        </w:rPr>
        <w:t>Growth</w:t>
      </w:r>
    </w:p>
    <w:p>
      <w:pPr>
        <w:ind w:right="4879"/>
        <w:spacing w:after="0" w:line="234" w:lineRule="auto"/>
        <w:rPr>
          <w:sz w:val="20"/>
          <w:szCs w:val="20"/>
          <w:color w:val="auto"/>
        </w:rPr>
      </w:pPr>
      <w:r>
        <w:rPr>
          <w:rFonts w:ascii="Times New Roman" w:cs="Times New Roman" w:eastAsia="Times New Roman" w:hAnsi="Times New Roman"/>
          <w:sz w:val="7"/>
          <w:szCs w:val="7"/>
          <w:color w:val="FFFFFF"/>
        </w:rPr>
        <w:t>Growth Drivers Penetration in Build rate on Increased utilization Expanding industrial Manufacturing developing markets commercial aircraft of rail automation investment</w:t>
      </w:r>
    </w:p>
    <w:p>
      <w:pPr>
        <w:spacing w:after="0" w:line="182" w:lineRule="auto"/>
        <w:rPr>
          <w:sz w:val="20"/>
          <w:szCs w:val="20"/>
          <w:color w:val="auto"/>
        </w:rPr>
      </w:pPr>
      <w:r>
        <w:rPr>
          <w:rFonts w:ascii="Times New Roman" w:cs="Times New Roman" w:eastAsia="Times New Roman" w:hAnsi="Times New Roman"/>
          <w:sz w:val="9"/>
          <w:szCs w:val="9"/>
          <w:color w:val="FFFFFF"/>
        </w:rPr>
        <w:t>Customers</w:t>
      </w:r>
    </w:p>
    <w:p>
      <w:pPr>
        <w:spacing w:after="0" w:line="205" w:lineRule="auto"/>
        <w:rPr>
          <w:sz w:val="20"/>
          <w:szCs w:val="20"/>
          <w:color w:val="auto"/>
        </w:rPr>
      </w:pPr>
      <w:r>
        <w:rPr>
          <w:rFonts w:ascii="Times New Roman" w:cs="Times New Roman" w:eastAsia="Times New Roman" w:hAnsi="Times New Roman"/>
          <w:sz w:val="4"/>
          <w:szCs w:val="4"/>
          <w:color w:val="FFFFFF"/>
        </w:rPr>
        <w:t>Industrial2014</w:t>
      </w:r>
    </w:p>
    <w:p>
      <w:pPr>
        <w:spacing w:after="0" w:line="182" w:lineRule="auto"/>
        <w:rPr>
          <w:sz w:val="20"/>
          <w:szCs w:val="20"/>
          <w:color w:val="auto"/>
        </w:rPr>
      </w:pPr>
      <w:r>
        <w:rPr>
          <w:rFonts w:ascii="Times New Roman" w:cs="Times New Roman" w:eastAsia="Times New Roman" w:hAnsi="Times New Roman"/>
          <w:sz w:val="9"/>
          <w:szCs w:val="9"/>
          <w:color w:val="FFFFFF"/>
          <w:vertAlign w:val="superscript"/>
        </w:rPr>
        <w:t>3</w:t>
      </w:r>
      <w:r>
        <w:rPr>
          <w:rFonts w:ascii="Times New Roman" w:cs="Times New Roman" w:eastAsia="Times New Roman" w:hAnsi="Times New Roman"/>
          <w:sz w:val="7"/>
          <w:szCs w:val="7"/>
          <w:color w:val="FFFFFF"/>
        </w:rPr>
        <w:t>65%</w:t>
      </w:r>
    </w:p>
    <w:p>
      <w:pPr>
        <w:spacing w:after="0" w:line="182" w:lineRule="auto"/>
        <w:rPr>
          <w:sz w:val="20"/>
          <w:szCs w:val="20"/>
          <w:color w:val="auto"/>
        </w:rPr>
      </w:pPr>
      <w:r>
        <w:rPr>
          <w:rFonts w:ascii="Times New Roman" w:cs="Times New Roman" w:eastAsia="Times New Roman" w:hAnsi="Times New Roman"/>
          <w:sz w:val="9"/>
          <w:szCs w:val="9"/>
          <w:color w:val="FFFFFF"/>
        </w:rPr>
        <w:t>Automotive</w:t>
      </w:r>
    </w:p>
    <w:p>
      <w:pPr>
        <w:spacing w:after="0" w:line="206" w:lineRule="auto"/>
        <w:rPr>
          <w:sz w:val="20"/>
          <w:szCs w:val="20"/>
          <w:color w:val="auto"/>
        </w:rPr>
      </w:pPr>
      <w:r>
        <w:rPr>
          <w:rFonts w:ascii="Times New Roman" w:cs="Times New Roman" w:eastAsia="Times New Roman" w:hAnsi="Times New Roman"/>
          <w:sz w:val="4"/>
          <w:szCs w:val="4"/>
          <w:color w:val="FFFFFF"/>
        </w:rPr>
        <w:t>2018</w:t>
      </w:r>
    </w:p>
    <w:p>
      <w:pPr>
        <w:spacing w:after="0" w:line="182" w:lineRule="auto"/>
        <w:rPr>
          <w:sz w:val="20"/>
          <w:szCs w:val="20"/>
          <w:color w:val="auto"/>
        </w:rPr>
      </w:pPr>
      <w:r>
        <w:rPr>
          <w:rFonts w:ascii="Times New Roman" w:cs="Times New Roman" w:eastAsia="Times New Roman" w:hAnsi="Times New Roman"/>
          <w:sz w:val="9"/>
          <w:szCs w:val="9"/>
          <w:color w:val="FFFFFF"/>
        </w:rPr>
        <w:t>58%Industrial</w:t>
      </w:r>
    </w:p>
    <w:p>
      <w:pPr>
        <w:spacing w:after="0"/>
        <w:rPr>
          <w:sz w:val="20"/>
          <w:szCs w:val="20"/>
          <w:color w:val="auto"/>
        </w:rPr>
      </w:pPr>
      <w:r>
        <w:rPr>
          <w:rFonts w:ascii="Times New Roman" w:cs="Times New Roman" w:eastAsia="Times New Roman" w:hAnsi="Times New Roman"/>
          <w:sz w:val="13"/>
          <w:szCs w:val="13"/>
          <w:color w:val="FFFFFF"/>
        </w:rPr>
        <w:t>49Automotive</w:t>
      </w:r>
    </w:p>
    <w:p>
      <w:pPr>
        <w:sectPr>
          <w:pgSz w:w="11900" w:h="16838" w:orient="portrait"/>
          <w:cols w:equalWidth="0" w:num="1">
            <w:col w:w="10219"/>
          </w:cols>
          <w:pgMar w:left="240" w:top="1440" w:right="1440"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20"/>
                <w:szCs w:val="20"/>
                <w:color w:val="auto"/>
              </w:rPr>
            </w:pPr>
            <w:r>
              <w:rPr>
                <w:rFonts w:ascii="Times New Roman" w:cs="Times New Roman" w:eastAsia="Times New Roman" w:hAnsi="Times New Roman"/>
                <w:sz w:val="13"/>
                <w:szCs w:val="13"/>
                <w:color w:val="FFFFFF"/>
              </w:rPr>
              <w:t>MBC High Growth Product Segments</w:t>
            </w: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Co  petitive Profile</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Primary Markets</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Market Growth</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Key</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Regions/Markets</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9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Balls Tapered Rollers Other Rollers Cages Sheet Metal Parts</w:t>
            </w: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Primarily outsourced</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ind w:left="640"/>
              <w:spacing w:after="0" w:line="40" w:lineRule="exact"/>
              <w:rPr>
                <w:sz w:val="20"/>
                <w:szCs w:val="20"/>
                <w:color w:val="auto"/>
              </w:rPr>
            </w:pPr>
            <w:r>
              <w:rPr>
                <w:rFonts w:ascii="Times New Roman" w:cs="Times New Roman" w:eastAsia="Times New Roman" w:hAnsi="Times New Roman"/>
                <w:sz w:val="4"/>
                <w:szCs w:val="4"/>
                <w:color w:val="FFFFFF"/>
              </w:rPr>
              <w:t>, electrical a ro and industrial</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Automotive growth in developing markets</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Primarily insourced</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90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Industrial, automotive, off-highway, rail and industrial Developing trend towards outsourcing</w:t>
            </w: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Primarily insourced</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ind w:left="540"/>
              <w:spacing w:after="0" w:line="40" w:lineRule="exact"/>
              <w:rPr>
                <w:sz w:val="20"/>
                <w:szCs w:val="20"/>
                <w:color w:val="auto"/>
              </w:rPr>
            </w:pPr>
            <w:r>
              <w:rPr>
                <w:rFonts w:ascii="Times New Roman" w:cs="Times New Roman" w:eastAsia="Times New Roman" w:hAnsi="Times New Roman"/>
                <w:sz w:val="4"/>
                <w:szCs w:val="4"/>
                <w:color w:val="FFFFFF"/>
              </w:rPr>
              <w:t>and some automotive</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ind w:left="540"/>
              <w:spacing w:after="0" w:line="40" w:lineRule="exact"/>
              <w:rPr>
                <w:sz w:val="20"/>
                <w:szCs w:val="20"/>
                <w:color w:val="auto"/>
              </w:rPr>
            </w:pPr>
            <w:r>
              <w:rPr>
                <w:rFonts w:ascii="Times New Roman" w:cs="Times New Roman" w:eastAsia="Times New Roman" w:hAnsi="Times New Roman"/>
                <w:sz w:val="4"/>
                <w:szCs w:val="4"/>
                <w:color w:val="FFFFFF"/>
              </w:rPr>
              <w:t>investment and aftermarket demand</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IndustrialMixand fragmented</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General industrial</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Follows the roller markets</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Mixed and fragmented</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D versified end market</w:t>
            </w: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Niche market within automotive</w:t>
            </w:r>
          </w:p>
        </w:tc>
        <w:tc>
          <w:tcPr>
            <w:tcW w:w="2120" w:type="dxa"/>
            <w:vAlign w:val="bottom"/>
            <w:vMerge w:val="restart"/>
          </w:tcPr>
          <w:p>
            <w:pPr>
              <w:ind w:left="20"/>
              <w:spacing w:after="0" w:line="79" w:lineRule="exact"/>
              <w:rPr>
                <w:sz w:val="20"/>
                <w:szCs w:val="20"/>
                <w:color w:val="auto"/>
              </w:rPr>
            </w:pPr>
            <w:r>
              <w:rPr>
                <w:rFonts w:ascii="Times New Roman" w:cs="Times New Roman" w:eastAsia="Times New Roman" w:hAnsi="Times New Roman"/>
                <w:sz w:val="9"/>
                <w:szCs w:val="9"/>
                <w:color w:val="FFFFFF"/>
              </w:rPr>
              <w:t>expansion</w:t>
            </w:r>
          </w:p>
        </w:tc>
        <w:tc>
          <w:tcPr>
            <w:tcW w:w="0" w:type="dxa"/>
            <w:vAlign w:val="bottom"/>
          </w:tcPr>
          <w:p>
            <w:pPr>
              <w:spacing w:after="0" w:line="20" w:lineRule="exact"/>
              <w:rPr>
                <w:sz w:val="1"/>
                <w:szCs w:val="1"/>
                <w:color w:val="auto"/>
              </w:rPr>
            </w:pPr>
          </w:p>
        </w:tc>
      </w:tr>
      <w:tr>
        <w:trPr>
          <w:trHeight w:val="39"/>
        </w:trPr>
        <w:tc>
          <w:tcPr>
            <w:tcW w:w="278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Growth in developing markets will drive end</w:t>
            </w:r>
          </w:p>
        </w:tc>
        <w:tc>
          <w:tcPr>
            <w:tcW w:w="2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
        </w:trPr>
        <w:tc>
          <w:tcPr>
            <w:tcW w:w="2780" w:type="dxa"/>
            <w:vAlign w:val="bottom"/>
          </w:tcPr>
          <w:p>
            <w:pPr>
              <w:spacing w:after="0" w:line="2" w:lineRule="exact"/>
              <w:rPr>
                <w:sz w:val="20"/>
                <w:szCs w:val="20"/>
                <w:color w:val="auto"/>
              </w:rPr>
            </w:pPr>
            <w:r>
              <w:rPr>
                <w:rFonts w:ascii="Times New Roman" w:cs="Times New Roman" w:eastAsia="Times New Roman" w:hAnsi="Times New Roman"/>
                <w:sz w:val="1"/>
                <w:szCs w:val="1"/>
                <w:color w:val="FFFFFF"/>
              </w:rPr>
              <w:t>Expansion of content into broader industrial markets</w:t>
            </w: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3"/>
          <w:szCs w:val="13"/>
          <w:color w:val="FFFFFF"/>
        </w:rPr>
        <w:t>50Outsourcing will create significant opportunities</w:t>
      </w:r>
    </w:p>
    <w:p>
      <w:pPr>
        <w:sectPr>
          <w:pgSz w:w="11900" w:h="16838" w:orient="portrait"/>
          <w:cols w:equalWidth="0" w:num="1">
            <w:col w:w="10219"/>
          </w:cols>
          <w:pgMar w:left="240" w:top="1440" w:right="1440"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FFFFFF"/>
        </w:rPr>
        <w:t>51MBC Customer Profiles</w:t>
      </w:r>
    </w:p>
    <w:p>
      <w:pPr>
        <w:sectPr>
          <w:pgSz w:w="11900" w:h="16838" w:orient="portrait"/>
          <w:cols w:equalWidth="0" w:num="1">
            <w:col w:w="10219"/>
          </w:cols>
          <w:pgMar w:left="240" w:top="1440" w:right="1440"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gridSpan w:val="3"/>
          </w:tcPr>
          <w:p>
            <w:pPr>
              <w:spacing w:after="0"/>
              <w:rPr>
                <w:sz w:val="20"/>
                <w:szCs w:val="20"/>
                <w:color w:val="auto"/>
              </w:rPr>
            </w:pPr>
            <w:r>
              <w:rPr>
                <w:rFonts w:ascii="Times New Roman" w:cs="Times New Roman" w:eastAsia="Times New Roman" w:hAnsi="Times New Roman"/>
                <w:sz w:val="13"/>
                <w:szCs w:val="13"/>
                <w:color w:val="FFFFFF"/>
              </w:rPr>
              <w:t>MBC: Road to $400 Million</w:t>
            </w:r>
          </w:p>
        </w:tc>
        <w:tc>
          <w:tcPr>
            <w:tcW w:w="0" w:type="dxa"/>
            <w:vAlign w:val="bottom"/>
          </w:tcPr>
          <w:p>
            <w:pPr>
              <w:spacing w:after="0"/>
              <w:rPr>
                <w:sz w:val="1"/>
                <w:szCs w:val="1"/>
                <w:color w:val="auto"/>
              </w:rPr>
            </w:pPr>
          </w:p>
        </w:tc>
      </w:tr>
      <w:tr>
        <w:trPr>
          <w:trHeight w:val="39"/>
        </w:trPr>
        <w:tc>
          <w:tcPr>
            <w:tcW w:w="620" w:type="dxa"/>
            <w:vAlign w:val="bottom"/>
            <w:gridSpan w:val="2"/>
          </w:tcPr>
          <w:p>
            <w:pPr>
              <w:ind w:left="100"/>
              <w:spacing w:after="0" w:line="40" w:lineRule="exact"/>
              <w:rPr>
                <w:sz w:val="20"/>
                <w:szCs w:val="20"/>
                <w:color w:val="auto"/>
              </w:rPr>
            </w:pPr>
            <w:r>
              <w:rPr>
                <w:rFonts w:ascii="Times New Roman" w:cs="Times New Roman" w:eastAsia="Times New Roman" w:hAnsi="Times New Roman"/>
                <w:sz w:val="4"/>
                <w:szCs w:val="4"/>
                <w:color w:val="FFFFFF"/>
              </w:rPr>
              <w:t>Millions</w:t>
            </w: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28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color w:val="FFFFFF"/>
              </w:rPr>
              <w:t>400</w:t>
            </w:r>
          </w:p>
        </w:tc>
        <w:tc>
          <w:tcPr>
            <w:tcW w:w="3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90</w:t>
            </w:r>
          </w:p>
        </w:tc>
        <w:tc>
          <w:tcPr>
            <w:tcW w:w="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75</w:t>
            </w:r>
          </w:p>
        </w:tc>
        <w:tc>
          <w:tcPr>
            <w:tcW w:w="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50</w:t>
            </w:r>
          </w:p>
        </w:tc>
        <w:tc>
          <w:tcPr>
            <w:tcW w:w="340" w:type="dxa"/>
            <w:vAlign w:val="bottom"/>
            <w:vMerge w:val="restart"/>
          </w:tcPr>
          <w:p>
            <w:pPr>
              <w:jc w:val="right"/>
              <w:ind w:right="24"/>
              <w:spacing w:after="0" w:line="79" w:lineRule="exact"/>
              <w:rPr>
                <w:sz w:val="20"/>
                <w:szCs w:val="20"/>
                <w:color w:val="auto"/>
              </w:rPr>
            </w:pPr>
            <w:r>
              <w:rPr>
                <w:rFonts w:ascii="Times New Roman" w:cs="Times New Roman" w:eastAsia="Times New Roman" w:hAnsi="Times New Roman"/>
                <w:sz w:val="9"/>
                <w:szCs w:val="9"/>
                <w:color w:val="FFFFFF"/>
              </w:rPr>
              <w:t>326</w:t>
            </w: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25</w:t>
            </w:r>
          </w:p>
        </w:tc>
        <w:tc>
          <w:tcPr>
            <w:tcW w:w="340" w:type="dxa"/>
            <w:vAlign w:val="bottom"/>
            <w:vMerge w:val="continue"/>
          </w:tcPr>
          <w:p>
            <w:pPr>
              <w:spacing w:after="0"/>
              <w:rPr>
                <w:sz w:val="3"/>
                <w:szCs w:val="3"/>
                <w:color w:val="auto"/>
              </w:rPr>
            </w:pP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300</w:t>
            </w:r>
          </w:p>
        </w:tc>
        <w:tc>
          <w:tcPr>
            <w:tcW w:w="340" w:type="dxa"/>
            <w:vAlign w:val="bottom"/>
          </w:tcPr>
          <w:p>
            <w:pPr>
              <w:jc w:val="right"/>
              <w:ind w:right="24"/>
              <w:spacing w:after="0" w:line="40" w:lineRule="exact"/>
              <w:rPr>
                <w:sz w:val="20"/>
                <w:szCs w:val="20"/>
                <w:color w:val="auto"/>
              </w:rPr>
            </w:pPr>
            <w:r>
              <w:rPr>
                <w:rFonts w:ascii="Times New Roman" w:cs="Times New Roman" w:eastAsia="Times New Roman" w:hAnsi="Times New Roman"/>
                <w:sz w:val="4"/>
                <w:szCs w:val="4"/>
                <w:color w:val="FFFFFF"/>
              </w:rPr>
              <w:t>$290</w:t>
            </w: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75</w:t>
            </w:r>
          </w:p>
        </w:tc>
        <w:tc>
          <w:tcPr>
            <w:tcW w:w="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50</w:t>
            </w:r>
          </w:p>
        </w:tc>
        <w:tc>
          <w:tcPr>
            <w:tcW w:w="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$225</w:t>
            </w:r>
          </w:p>
        </w:tc>
        <w:tc>
          <w:tcPr>
            <w:tcW w:w="2760" w:type="dxa"/>
            <w:vAlign w:val="bottom"/>
            <w:gridSpan w:val="2"/>
            <w:vMerge w:val="restart"/>
          </w:tcPr>
          <w:p>
            <w:pPr>
              <w:ind w:left="20"/>
              <w:spacing w:after="0" w:line="79" w:lineRule="exact"/>
              <w:rPr>
                <w:sz w:val="20"/>
                <w:szCs w:val="20"/>
                <w:color w:val="auto"/>
              </w:rPr>
            </w:pPr>
            <w:r>
              <w:rPr>
                <w:rFonts w:ascii="Times New Roman" w:cs="Times New Roman" w:eastAsia="Times New Roman" w:hAnsi="Times New Roman"/>
                <w:sz w:val="9"/>
                <w:szCs w:val="9"/>
                <w:color w:val="FFFFFF"/>
              </w:rPr>
              <w:t>Base 2018</w:t>
            </w:r>
          </w:p>
        </w:tc>
        <w:tc>
          <w:tcPr>
            <w:tcW w:w="0" w:type="dxa"/>
            <w:vAlign w:val="bottom"/>
          </w:tcPr>
          <w:p>
            <w:pPr>
              <w:spacing w:after="0" w:line="20" w:lineRule="exact"/>
              <w:rPr>
                <w:sz w:val="1"/>
                <w:szCs w:val="1"/>
                <w:color w:val="auto"/>
              </w:rPr>
            </w:pPr>
          </w:p>
        </w:tc>
      </w:tr>
      <w:tr>
        <w:trPr>
          <w:trHeight w:val="39"/>
        </w:trPr>
        <w:tc>
          <w:tcPr>
            <w:tcW w:w="280" w:type="dxa"/>
            <w:vAlign w:val="bottom"/>
          </w:tcPr>
          <w:p>
            <w:pPr>
              <w:jc w:val="right"/>
              <w:spacing w:after="0" w:line="40" w:lineRule="exact"/>
              <w:rPr>
                <w:sz w:val="20"/>
                <w:szCs w:val="20"/>
                <w:color w:val="auto"/>
              </w:rPr>
            </w:pPr>
            <w:r>
              <w:rPr>
                <w:rFonts w:ascii="Times New Roman" w:cs="Times New Roman" w:eastAsia="Times New Roman" w:hAnsi="Times New Roman"/>
                <w:sz w:val="4"/>
                <w:szCs w:val="4"/>
                <w:color w:val="FFFFFF"/>
              </w:rPr>
              <w:t>2014</w:t>
            </w:r>
          </w:p>
        </w:tc>
        <w:tc>
          <w:tcPr>
            <w:tcW w:w="2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End of Life Projects</w:t>
            </w:r>
          </w:p>
        </w:tc>
        <w:tc>
          <w:tcPr>
            <w:tcW w:w="0" w:type="dxa"/>
            <w:vAlign w:val="bottom"/>
          </w:tcPr>
          <w:p>
            <w:pPr>
              <w:spacing w:after="0" w:line="20" w:lineRule="exact"/>
              <w:rPr>
                <w:sz w:val="1"/>
                <w:szCs w:val="1"/>
                <w:color w:val="auto"/>
              </w:rPr>
            </w:pPr>
          </w:p>
        </w:tc>
      </w:tr>
      <w:tr>
        <w:trPr>
          <w:trHeight w:val="39"/>
        </w:trPr>
        <w:tc>
          <w:tcPr>
            <w:tcW w:w="62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$20 million</w:t>
            </w: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Organic Growth</w:t>
            </w:r>
          </w:p>
        </w:tc>
        <w:tc>
          <w:tcPr>
            <w:tcW w:w="0" w:type="dxa"/>
            <w:vAlign w:val="bottom"/>
          </w:tcPr>
          <w:p>
            <w:pPr>
              <w:spacing w:after="0" w:line="20" w:lineRule="exact"/>
              <w:rPr>
                <w:sz w:val="1"/>
                <w:szCs w:val="1"/>
                <w:color w:val="auto"/>
              </w:rPr>
            </w:pPr>
          </w:p>
        </w:tc>
      </w:tr>
      <w:tr>
        <w:trPr>
          <w:trHeight w:val="39"/>
        </w:trPr>
        <w:tc>
          <w:tcPr>
            <w:tcW w:w="62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$36 million</w:t>
            </w: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Adjacent Markets</w:t>
            </w:r>
          </w:p>
        </w:tc>
        <w:tc>
          <w:tcPr>
            <w:tcW w:w="0" w:type="dxa"/>
            <w:vAlign w:val="bottom"/>
          </w:tcPr>
          <w:p>
            <w:pPr>
              <w:spacing w:after="0" w:line="20" w:lineRule="exact"/>
              <w:rPr>
                <w:sz w:val="1"/>
                <w:szCs w:val="1"/>
                <w:color w:val="auto"/>
              </w:rPr>
            </w:pPr>
          </w:p>
        </w:tc>
      </w:tr>
      <w:tr>
        <w:trPr>
          <w:trHeight w:val="39"/>
        </w:trPr>
        <w:tc>
          <w:tcPr>
            <w:tcW w:w="62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$63 million</w:t>
            </w: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Strategic Acquisition</w:t>
            </w:r>
          </w:p>
        </w:tc>
        <w:tc>
          <w:tcPr>
            <w:tcW w:w="0" w:type="dxa"/>
            <w:vAlign w:val="bottom"/>
          </w:tcPr>
          <w:p>
            <w:pPr>
              <w:spacing w:after="0" w:line="20" w:lineRule="exact"/>
              <w:rPr>
                <w:sz w:val="1"/>
                <w:szCs w:val="1"/>
                <w:color w:val="auto"/>
              </w:rPr>
            </w:pPr>
          </w:p>
        </w:tc>
      </w:tr>
      <w:tr>
        <w:trPr>
          <w:trHeight w:val="39"/>
        </w:trPr>
        <w:tc>
          <w:tcPr>
            <w:tcW w:w="62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FFFFFF"/>
              </w:rPr>
              <w:t>$20 million</w:t>
            </w:r>
          </w:p>
        </w:tc>
        <w:tc>
          <w:tcPr>
            <w:tcW w:w="2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spacing w:after="0" w:line="40" w:lineRule="exact"/>
              <w:rPr>
                <w:sz w:val="20"/>
                <w:szCs w:val="20"/>
                <w:color w:val="auto"/>
              </w:rPr>
            </w:pPr>
            <w:r>
              <w:rPr>
                <w:rFonts w:ascii="Times New Roman" w:cs="Times New Roman" w:eastAsia="Times New Roman" w:hAnsi="Times New Roman"/>
                <w:sz w:val="4"/>
                <w:szCs w:val="4"/>
                <w:color w:val="FFFFFF"/>
              </w:rPr>
              <w:t>Outpace the Market with Expanded Focus and Investment</w:t>
            </w:r>
          </w:p>
        </w:tc>
        <w:tc>
          <w:tcPr>
            <w:tcW w:w="0" w:type="dxa"/>
            <w:vAlign w:val="bottom"/>
          </w:tcPr>
          <w:p>
            <w:pPr>
              <w:spacing w:after="0" w:line="20" w:lineRule="exact"/>
              <w:rPr>
                <w:sz w:val="1"/>
                <w:szCs w:val="1"/>
                <w:color w:val="auto"/>
              </w:rPr>
            </w:pPr>
          </w:p>
        </w:tc>
      </w:tr>
      <w:tr>
        <w:trPr>
          <w:trHeight w:val="39"/>
        </w:trPr>
        <w:tc>
          <w:tcPr>
            <w:tcW w:w="3040" w:type="dxa"/>
            <w:vAlign w:val="bottom"/>
            <w:gridSpan w:val="3"/>
          </w:tcPr>
          <w:p>
            <w:pPr>
              <w:ind w:left="80"/>
              <w:spacing w:after="0" w:line="40" w:lineRule="exact"/>
              <w:rPr>
                <w:sz w:val="20"/>
                <w:szCs w:val="20"/>
                <w:color w:val="auto"/>
              </w:rPr>
            </w:pPr>
            <w:r>
              <w:rPr>
                <w:rFonts w:ascii="Times New Roman" w:cs="Times New Roman" w:eastAsia="Times New Roman" w:hAnsi="Times New Roman"/>
                <w:sz w:val="4"/>
                <w:szCs w:val="4"/>
                <w:color w:val="FFFFFF"/>
              </w:rPr>
              <w:t>400 million in evenue</w:t>
            </w:r>
          </w:p>
        </w:tc>
        <w:tc>
          <w:tcPr>
            <w:tcW w:w="0" w:type="dxa"/>
            <w:vAlign w:val="bottom"/>
          </w:tcPr>
          <w:p>
            <w:pPr>
              <w:spacing w:after="0" w:line="20" w:lineRule="exact"/>
              <w:rPr>
                <w:sz w:val="1"/>
                <w:szCs w:val="1"/>
                <w:color w:val="auto"/>
              </w:rPr>
            </w:pPr>
          </w:p>
        </w:tc>
      </w:tr>
      <w:tr>
        <w:trPr>
          <w:trHeight w:val="39"/>
        </w:trPr>
        <w:tc>
          <w:tcPr>
            <w:tcW w:w="280" w:type="dxa"/>
            <w:vAlign w:val="bottom"/>
          </w:tcPr>
          <w:p>
            <w:pPr>
              <w:ind w:left="80"/>
              <w:spacing w:after="0" w:line="40" w:lineRule="exact"/>
              <w:rPr>
                <w:sz w:val="20"/>
                <w:szCs w:val="20"/>
                <w:color w:val="auto"/>
              </w:rPr>
            </w:pPr>
            <w:r>
              <w:rPr>
                <w:rFonts w:ascii="Times New Roman" w:cs="Times New Roman" w:eastAsia="Times New Roman" w:hAnsi="Times New Roman"/>
                <w:sz w:val="4"/>
                <w:szCs w:val="4"/>
                <w:color w:val="FFFFFF"/>
              </w:rPr>
              <w:t>36</w:t>
            </w:r>
          </w:p>
        </w:tc>
        <w:tc>
          <w:tcPr>
            <w:tcW w:w="340" w:type="dxa"/>
            <w:vAlign w:val="bottom"/>
          </w:tcPr>
          <w:p>
            <w:pPr>
              <w:spacing w:after="0"/>
              <w:rPr>
                <w:sz w:val="3"/>
                <w:szCs w:val="3"/>
                <w:color w:val="auto"/>
              </w:rPr>
            </w:pPr>
          </w:p>
        </w:tc>
        <w:tc>
          <w:tcPr>
            <w:tcW w:w="2420" w:type="dxa"/>
            <w:vAlign w:val="bottom"/>
          </w:tcPr>
          <w:p>
            <w:pPr>
              <w:ind w:left="160"/>
              <w:spacing w:after="0" w:line="40" w:lineRule="exact"/>
              <w:rPr>
                <w:sz w:val="20"/>
                <w:szCs w:val="20"/>
                <w:color w:val="auto"/>
              </w:rPr>
            </w:pPr>
            <w:r>
              <w:rPr>
                <w:rFonts w:ascii="Times New Roman" w:cs="Times New Roman" w:eastAsia="Times New Roman" w:hAnsi="Times New Roman"/>
                <w:sz w:val="4"/>
                <w:szCs w:val="4"/>
                <w:color w:val="FFFFFF"/>
              </w:rPr>
              <w:t>organic growth</w:t>
            </w:r>
          </w:p>
        </w:tc>
        <w:tc>
          <w:tcPr>
            <w:tcW w:w="0" w:type="dxa"/>
            <w:vAlign w:val="bottom"/>
          </w:tcPr>
          <w:p>
            <w:pPr>
              <w:spacing w:after="0" w:line="20" w:lineRule="exact"/>
              <w:rPr>
                <w:sz w:val="1"/>
                <w:szCs w:val="1"/>
                <w:color w:val="auto"/>
              </w:rPr>
            </w:pPr>
          </w:p>
        </w:tc>
      </w:tr>
      <w:tr>
        <w:trPr>
          <w:trHeight w:val="0"/>
        </w:trPr>
        <w:tc>
          <w:tcPr>
            <w:tcW w:w="280" w:type="dxa"/>
            <w:vAlign w:val="bottom"/>
          </w:tcPr>
          <w:p>
            <w:pPr>
              <w:ind w:left="80"/>
              <w:spacing w:after="0" w:line="78" w:lineRule="exact"/>
              <w:rPr>
                <w:sz w:val="20"/>
                <w:szCs w:val="20"/>
                <w:color w:val="auto"/>
              </w:rPr>
            </w:pPr>
            <w:r>
              <w:rPr>
                <w:rFonts w:ascii="Times New Roman" w:cs="Times New Roman" w:eastAsia="Times New Roman" w:hAnsi="Times New Roman"/>
                <w:sz w:val="8"/>
                <w:szCs w:val="8"/>
                <w:color w:val="FFFFFF"/>
              </w:rPr>
              <w:t>63</w:t>
            </w:r>
          </w:p>
        </w:tc>
        <w:tc>
          <w:tcPr>
            <w:tcW w:w="340" w:type="dxa"/>
            <w:vAlign w:val="bottom"/>
          </w:tcPr>
          <w:p>
            <w:pPr>
              <w:spacing w:after="0" w:line="20" w:lineRule="exact"/>
              <w:rPr>
                <w:sz w:val="1"/>
                <w:szCs w:val="1"/>
                <w:color w:val="auto"/>
              </w:rPr>
            </w:pPr>
          </w:p>
        </w:tc>
        <w:tc>
          <w:tcPr>
            <w:tcW w:w="2420" w:type="dxa"/>
            <w:vAlign w:val="bottom"/>
          </w:tcPr>
          <w:p>
            <w:pPr>
              <w:ind w:left="20"/>
              <w:spacing w:after="0" w:line="78" w:lineRule="exact"/>
              <w:rPr>
                <w:sz w:val="20"/>
                <w:szCs w:val="20"/>
                <w:color w:val="auto"/>
              </w:rPr>
            </w:pPr>
            <w:r>
              <w:rPr>
                <w:rFonts w:ascii="Times New Roman" w:cs="Times New Roman" w:eastAsia="Times New Roman" w:hAnsi="Times New Roman"/>
                <w:sz w:val="8"/>
                <w:szCs w:val="8"/>
                <w:color w:val="FFFFFF"/>
              </w:rPr>
              <w:t>in adjacent market growth</w:t>
            </w:r>
          </w:p>
        </w:tc>
        <w:tc>
          <w:tcPr>
            <w:tcW w:w="0" w:type="dxa"/>
            <w:vAlign w:val="bottom"/>
          </w:tcPr>
          <w:p>
            <w:pPr>
              <w:spacing w:after="0" w:line="20" w:lineRule="exact"/>
              <w:rPr>
                <w:sz w:val="1"/>
                <w:szCs w:val="1"/>
                <w:color w:val="auto"/>
              </w:rPr>
            </w:pPr>
          </w:p>
        </w:tc>
      </w:tr>
    </w:tbl>
    <w:p>
      <w:pPr>
        <w:spacing w:after="0" w:line="211" w:lineRule="auto"/>
        <w:rPr>
          <w:sz w:val="20"/>
          <w:szCs w:val="20"/>
          <w:color w:val="auto"/>
        </w:rPr>
      </w:pPr>
      <w:r>
        <w:rPr>
          <w:rFonts w:ascii="Times New Roman" w:cs="Times New Roman" w:eastAsia="Times New Roman" w:hAnsi="Times New Roman"/>
          <w:sz w:val="4"/>
          <w:szCs w:val="4"/>
          <w:color w:val="FFFFFF"/>
        </w:rPr>
        <w:t>$20 million from additional acquisitions</w:t>
      </w:r>
    </w:p>
    <w:p>
      <w:pPr>
        <w:spacing w:after="0" w:line="205" w:lineRule="auto"/>
        <w:rPr>
          <w:sz w:val="20"/>
          <w:szCs w:val="20"/>
          <w:color w:val="auto"/>
        </w:rPr>
      </w:pPr>
      <w:r>
        <w:rPr>
          <w:rFonts w:ascii="Times New Roman" w:cs="Times New Roman" w:eastAsia="Times New Roman" w:hAnsi="Times New Roman"/>
          <w:sz w:val="4"/>
          <w:szCs w:val="4"/>
          <w:color w:val="FFFFFF"/>
        </w:rPr>
        <w:t>Enhanced R&amp;D and market presence</w:t>
      </w:r>
    </w:p>
    <w:p>
      <w:pPr>
        <w:spacing w:after="0" w:line="205" w:lineRule="auto"/>
        <w:rPr>
          <w:sz w:val="20"/>
          <w:szCs w:val="20"/>
          <w:color w:val="auto"/>
        </w:rPr>
      </w:pPr>
      <w:r>
        <w:rPr>
          <w:rFonts w:ascii="Times New Roman" w:cs="Times New Roman" w:eastAsia="Times New Roman" w:hAnsi="Times New Roman"/>
          <w:sz w:val="8"/>
          <w:szCs w:val="8"/>
          <w:color w:val="FFFFFF"/>
        </w:rPr>
        <w:t>MetalImprovingBearingsegmentComponents:operating10.7%margins:?17.4%2013 ?2018</w:t>
      </w:r>
    </w:p>
    <w:p>
      <w:pPr>
        <w:spacing w:after="0"/>
        <w:rPr>
          <w:sz w:val="20"/>
          <w:szCs w:val="20"/>
          <w:color w:val="auto"/>
        </w:rPr>
      </w:pPr>
      <w:r>
        <w:rPr>
          <w:rFonts w:ascii="Times New Roman" w:cs="Times New Roman" w:eastAsia="Times New Roman" w:hAnsi="Times New Roman"/>
          <w:sz w:val="13"/>
          <w:szCs w:val="13"/>
          <w:color w:val="FFFFFF"/>
        </w:rPr>
        <w:t>52Outgrowing end markets while expanding margins</w:t>
      </w:r>
    </w:p>
    <w:p>
      <w:pPr>
        <w:sectPr>
          <w:pgSz w:w="11900" w:h="16838" w:orient="portrait"/>
          <w:cols w:equalWidth="0" w:num="1">
            <w:col w:w="10219"/>
          </w:cols>
          <w:pgMar w:left="240" w:top="1440" w:right="1440"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FFFFFF"/>
              </w:rPr>
              <w:t>MBC Summary</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040" w:type="dxa"/>
            <w:vAlign w:val="bottom"/>
          </w:tcPr>
          <w:p>
            <w:pPr>
              <w:spacing w:after="0" w:line="40" w:lineRule="exact"/>
              <w:rPr>
                <w:sz w:val="20"/>
                <w:szCs w:val="20"/>
                <w:color w:val="auto"/>
              </w:rPr>
            </w:pPr>
            <w:r>
              <w:rPr>
                <w:rFonts w:ascii="Times New Roman" w:cs="Times New Roman" w:eastAsia="Times New Roman" w:hAnsi="Times New Roman"/>
                <w:sz w:val="4"/>
                <w:szCs w:val="4"/>
                <w:color w:val="FFFFFF"/>
              </w:rPr>
              <w:t>Strategic Priorities:</w:t>
            </w:r>
          </w:p>
        </w:tc>
        <w:tc>
          <w:tcPr>
            <w:tcW w:w="1800" w:type="dxa"/>
            <w:vAlign w:val="bottom"/>
            <w:vMerge w:val="restart"/>
          </w:tcPr>
          <w:p>
            <w:pPr>
              <w:ind w:left="540"/>
              <w:spacing w:after="0" w:line="79" w:lineRule="exact"/>
              <w:rPr>
                <w:sz w:val="20"/>
                <w:szCs w:val="20"/>
                <w:color w:val="auto"/>
              </w:rPr>
            </w:pPr>
            <w:r>
              <w:rPr>
                <w:rFonts w:ascii="Times New Roman" w:cs="Times New Roman" w:eastAsia="Times New Roman" w:hAnsi="Times New Roman"/>
                <w:sz w:val="9"/>
                <w:szCs w:val="9"/>
                <w:color w:val="FFFFFF"/>
              </w:rPr>
              <w:t>trend</w:t>
            </w:r>
          </w:p>
        </w:tc>
        <w:tc>
          <w:tcPr>
            <w:tcW w:w="0" w:type="dxa"/>
            <w:vAlign w:val="bottom"/>
          </w:tcPr>
          <w:p>
            <w:pPr>
              <w:spacing w:after="0" w:line="20" w:lineRule="exact"/>
              <w:rPr>
                <w:sz w:val="1"/>
                <w:szCs w:val="1"/>
                <w:color w:val="auto"/>
              </w:rPr>
            </w:pPr>
          </w:p>
        </w:tc>
      </w:tr>
      <w:tr>
        <w:trPr>
          <w:trHeight w:val="39"/>
        </w:trPr>
        <w:tc>
          <w:tcPr>
            <w:tcW w:w="1040" w:type="dxa"/>
            <w:vAlign w:val="bottom"/>
          </w:tcPr>
          <w:p>
            <w:pPr>
              <w:ind w:left="220"/>
              <w:spacing w:after="0" w:line="40" w:lineRule="exact"/>
              <w:rPr>
                <w:sz w:val="20"/>
                <w:szCs w:val="20"/>
                <w:color w:val="auto"/>
              </w:rPr>
            </w:pPr>
            <w:r>
              <w:rPr>
                <w:rFonts w:ascii="Times New Roman" w:cs="Times New Roman" w:eastAsia="Times New Roman" w:hAnsi="Times New Roman"/>
                <w:sz w:val="4"/>
                <w:szCs w:val="4"/>
                <w:color w:val="FFFFFF"/>
              </w:rPr>
              <w:t>loit the roller</w:t>
            </w:r>
          </w:p>
        </w:tc>
        <w:tc>
          <w:tcPr>
            <w:tcW w:w="1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840" w:type="dxa"/>
            <w:vAlign w:val="bottom"/>
            <w:gridSpan w:val="2"/>
          </w:tcPr>
          <w:p>
            <w:pPr>
              <w:ind w:left="440"/>
              <w:spacing w:after="0" w:line="40" w:lineRule="exact"/>
              <w:rPr>
                <w:sz w:val="20"/>
                <w:szCs w:val="20"/>
                <w:color w:val="auto"/>
              </w:rPr>
            </w:pPr>
            <w:r>
              <w:rPr>
                <w:rFonts w:ascii="Times New Roman" w:cs="Times New Roman" w:eastAsia="Times New Roman" w:hAnsi="Times New Roman"/>
                <w:sz w:val="4"/>
                <w:szCs w:val="4"/>
                <w:color w:val="FFFFFF"/>
              </w:rPr>
              <w:t>our rangeoutsourcingindustrial and aerospace bearings</w:t>
            </w:r>
          </w:p>
        </w:tc>
        <w:tc>
          <w:tcPr>
            <w:tcW w:w="0" w:type="dxa"/>
            <w:vAlign w:val="bottom"/>
          </w:tcPr>
          <w:p>
            <w:pPr>
              <w:spacing w:after="0" w:line="20" w:lineRule="exact"/>
              <w:rPr>
                <w:sz w:val="1"/>
                <w:szCs w:val="1"/>
                <w:color w:val="auto"/>
              </w:rPr>
            </w:pPr>
          </w:p>
        </w:tc>
      </w:tr>
      <w:tr>
        <w:trPr>
          <w:trHeight w:val="0"/>
        </w:trPr>
        <w:tc>
          <w:tcPr>
            <w:tcW w:w="1040" w:type="dxa"/>
            <w:vAlign w:val="bottom"/>
          </w:tcPr>
          <w:p>
            <w:pPr>
              <w:ind w:left="440"/>
              <w:spacing w:after="0" w:line="78" w:lineRule="exact"/>
              <w:rPr>
                <w:sz w:val="20"/>
                <w:szCs w:val="20"/>
                <w:color w:val="auto"/>
              </w:rPr>
            </w:pPr>
            <w:r>
              <w:rPr>
                <w:rFonts w:ascii="Times New Roman" w:cs="Times New Roman" w:eastAsia="Times New Roman" w:hAnsi="Times New Roman"/>
                <w:sz w:val="8"/>
                <w:szCs w:val="8"/>
                <w:color w:val="FFFFFF"/>
              </w:rPr>
              <w:t>capacity</w:t>
            </w:r>
          </w:p>
        </w:tc>
        <w:tc>
          <w:tcPr>
            <w:tcW w:w="1800" w:type="dxa"/>
            <w:vAlign w:val="bottom"/>
          </w:tcPr>
          <w:p>
            <w:pPr>
              <w:spacing w:after="0" w:line="78" w:lineRule="exact"/>
              <w:rPr>
                <w:sz w:val="20"/>
                <w:szCs w:val="20"/>
                <w:color w:val="auto"/>
              </w:rPr>
            </w:pPr>
            <w:r>
              <w:rPr>
                <w:rFonts w:ascii="Times New Roman" w:cs="Times New Roman" w:eastAsia="Times New Roman" w:hAnsi="Times New Roman"/>
                <w:sz w:val="8"/>
                <w:szCs w:val="8"/>
                <w:color w:val="FFFFFF"/>
              </w:rPr>
              <w:t>developing markets</w:t>
            </w:r>
          </w:p>
        </w:tc>
        <w:tc>
          <w:tcPr>
            <w:tcW w:w="0" w:type="dxa"/>
            <w:vAlign w:val="bottom"/>
          </w:tcPr>
          <w:p>
            <w:pPr>
              <w:spacing w:after="0" w:line="20" w:lineRule="exact"/>
              <w:rPr>
                <w:sz w:val="1"/>
                <w:szCs w:val="1"/>
                <w:color w:val="auto"/>
              </w:rPr>
            </w:pPr>
          </w:p>
        </w:tc>
      </w:tr>
    </w:tbl>
    <w:p>
      <w:pPr>
        <w:spacing w:after="0" w:line="24" w:lineRule="auto"/>
        <w:tabs>
          <w:tab w:leader="none" w:pos="800" w:val="left"/>
        </w:tabs>
        <w:rPr>
          <w:sz w:val="20"/>
          <w:szCs w:val="20"/>
          <w:color w:val="auto"/>
        </w:rPr>
      </w:pPr>
      <w:r>
        <w:rPr>
          <w:rFonts w:ascii="Times New Roman" w:cs="Times New Roman" w:eastAsia="Times New Roman" w:hAnsi="Times New Roman"/>
          <w:sz w:val="1"/>
          <w:szCs w:val="1"/>
          <w:color w:val="FFFFFF"/>
        </w:rPr>
        <w:t>Expand</w:t>
      </w:r>
      <w:r>
        <w:rPr>
          <w:sz w:val="20"/>
          <w:szCs w:val="20"/>
          <w:color w:val="auto"/>
        </w:rPr>
        <w:tab/>
      </w:r>
      <w:r>
        <w:rPr>
          <w:rFonts w:ascii="Times New Roman" w:cs="Times New Roman" w:eastAsia="Times New Roman" w:hAnsi="Times New Roman"/>
          <w:sz w:val="1"/>
          <w:szCs w:val="1"/>
          <w:color w:val="FFFFFF"/>
        </w:rPr>
        <w:t>bearing</w:t>
      </w:r>
    </w:p>
    <w:p>
      <w:pPr>
        <w:spacing w:after="0" w:line="188" w:lineRule="auto"/>
        <w:tabs>
          <w:tab w:leader="none" w:pos="420" w:val="left"/>
          <w:tab w:leader="none" w:pos="1220" w:val="left"/>
        </w:tabs>
        <w:rPr>
          <w:sz w:val="20"/>
          <w:szCs w:val="20"/>
          <w:color w:val="auto"/>
        </w:rPr>
      </w:pPr>
      <w:r>
        <w:rPr>
          <w:rFonts w:ascii="Times New Roman" w:cs="Times New Roman" w:eastAsia="Times New Roman" w:hAnsi="Times New Roman"/>
          <w:sz w:val="13"/>
          <w:szCs w:val="13"/>
          <w:color w:val="FFFFFF"/>
        </w:rPr>
        <w:t>53</w:t>
      </w:r>
      <w:r>
        <w:rPr>
          <w:sz w:val="20"/>
          <w:szCs w:val="20"/>
          <w:color w:val="auto"/>
        </w:rPr>
        <w:tab/>
      </w:r>
      <w:r>
        <w:rPr>
          <w:rFonts w:ascii="Times New Roman" w:cs="Times New Roman" w:eastAsia="Times New Roman" w:hAnsi="Times New Roman"/>
          <w:sz w:val="13"/>
          <w:szCs w:val="13"/>
          <w:color w:val="FFFFFF"/>
        </w:rPr>
        <w:t>in non-</w:t>
      </w:r>
      <w:r>
        <w:rPr>
          <w:sz w:val="20"/>
          <w:szCs w:val="20"/>
          <w:color w:val="auto"/>
        </w:rPr>
        <w:tab/>
      </w:r>
      <w:r>
        <w:rPr>
          <w:rFonts w:ascii="Times New Roman" w:cs="Times New Roman" w:eastAsia="Times New Roman" w:hAnsi="Times New Roman"/>
          <w:sz w:val="13"/>
          <w:szCs w:val="13"/>
          <w:color w:val="FFFFFF"/>
        </w:rPr>
        <w:t>applications</w:t>
      </w:r>
    </w:p>
    <w:p>
      <w:pPr>
        <w:sectPr>
          <w:pgSz w:w="11900" w:h="16838" w:orient="portrait"/>
          <w:cols w:equalWidth="0" w:num="1">
            <w:col w:w="10219"/>
          </w:cols>
          <w:pgMar w:left="240" w:top="1440" w:right="1440"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FFFFFF"/>
        </w:rPr>
        <w:t>54Wrap Up &amp; Summary</w:t>
      </w:r>
    </w:p>
    <w:p>
      <w:pPr>
        <w:sectPr>
          <w:pgSz w:w="11900" w:h="16838" w:orient="portrait"/>
          <w:cols w:equalWidth="0" w:num="1">
            <w:col w:w="10219"/>
          </w:cols>
          <w:pgMar w:left="240" w:top="1440" w:right="1440"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Road</w:t>
      </w:r>
      <w:r>
        <w:rPr>
          <w:rFonts w:ascii="Times New Roman" w:cs="Times New Roman" w:eastAsia="Times New Roman" w:hAnsi="Times New Roman"/>
          <w:sz w:val="26"/>
          <w:szCs w:val="26"/>
          <w:color w:val="FFFFFF"/>
          <w:vertAlign w:val="subscript"/>
        </w:rPr>
        <w:t>1,000</w:t>
      </w:r>
      <w:r>
        <w:rPr>
          <w:rFonts w:ascii="Times New Roman" w:cs="Times New Roman" w:eastAsia="Times New Roman" w:hAnsi="Times New Roman"/>
          <w:sz w:val="13"/>
          <w:szCs w:val="13"/>
          <w:color w:val="FFFFFF"/>
        </w:rPr>
        <w:t>Millionsto$1 Billion</w:t>
      </w:r>
    </w:p>
    <w:p>
      <w:pPr>
        <w:ind w:left="80"/>
        <w:spacing w:after="0" w:line="182" w:lineRule="auto"/>
        <w:tabs>
          <w:tab w:leader="none" w:pos="380" w:val="left"/>
        </w:tabs>
        <w:rPr>
          <w:sz w:val="20"/>
          <w:szCs w:val="20"/>
          <w:color w:val="auto"/>
        </w:rPr>
      </w:pPr>
      <w:r>
        <w:rPr>
          <w:rFonts w:ascii="Times New Roman" w:cs="Times New Roman" w:eastAsia="Times New Roman" w:hAnsi="Times New Roman"/>
          <w:sz w:val="7"/>
          <w:szCs w:val="7"/>
          <w:color w:val="FFFFFF"/>
        </w:rPr>
        <w:t>9</w:t>
      </w:r>
      <w:r>
        <w:rPr>
          <w:rFonts w:ascii="Times New Roman" w:cs="Times New Roman" w:eastAsia="Times New Roman" w:hAnsi="Times New Roman"/>
          <w:sz w:val="9"/>
          <w:szCs w:val="9"/>
          <w:color w:val="FFFFFF"/>
          <w:vertAlign w:val="subscript"/>
        </w:rPr>
        <w:t>26</w:t>
      </w:r>
      <w:r>
        <w:rPr>
          <w:sz w:val="20"/>
          <w:szCs w:val="20"/>
          <w:color w:val="auto"/>
        </w:rPr>
        <w:tab/>
      </w:r>
      <w:r>
        <w:rPr>
          <w:rFonts w:ascii="Times New Roman" w:cs="Times New Roman" w:eastAsia="Times New Roman" w:hAnsi="Times New Roman"/>
          <w:sz w:val="9"/>
          <w:szCs w:val="9"/>
          <w:color w:val="FFFFFF"/>
        </w:rPr>
        <w:t>$1,000 $1,000</w:t>
      </w:r>
    </w:p>
    <w:p>
      <w:pPr>
        <w:ind w:left="80"/>
        <w:spacing w:after="0" w:line="205" w:lineRule="auto"/>
        <w:rPr>
          <w:sz w:val="20"/>
          <w:szCs w:val="20"/>
          <w:color w:val="auto"/>
        </w:rPr>
      </w:pPr>
      <w:r>
        <w:rPr>
          <w:rFonts w:ascii="Times New Roman" w:cs="Times New Roman" w:eastAsia="Times New Roman" w:hAnsi="Times New Roman"/>
          <w:sz w:val="4"/>
          <w:szCs w:val="4"/>
          <w:color w:val="FFFFFF"/>
        </w:rPr>
        <w:t>800</w:t>
      </w:r>
    </w:p>
    <w:p>
      <w:pPr>
        <w:ind w:left="140"/>
        <w:spacing w:after="0" w:line="205" w:lineRule="auto"/>
        <w:rPr>
          <w:sz w:val="20"/>
          <w:szCs w:val="20"/>
          <w:color w:val="auto"/>
        </w:rPr>
      </w:pPr>
      <w:r>
        <w:rPr>
          <w:rFonts w:ascii="Times New Roman" w:cs="Times New Roman" w:eastAsia="Times New Roman" w:hAnsi="Times New Roman"/>
          <w:sz w:val="4"/>
          <w:szCs w:val="4"/>
          <w:color w:val="FFFFFF"/>
        </w:rPr>
        <w:t>72</w:t>
      </w:r>
    </w:p>
    <w:p>
      <w:pPr>
        <w:ind w:left="80"/>
        <w:spacing w:after="0" w:line="205" w:lineRule="auto"/>
        <w:rPr>
          <w:sz w:val="20"/>
          <w:szCs w:val="20"/>
          <w:color w:val="auto"/>
        </w:rPr>
      </w:pPr>
      <w:r>
        <w:rPr>
          <w:rFonts w:ascii="Times New Roman" w:cs="Times New Roman" w:eastAsia="Times New Roman" w:hAnsi="Times New Roman"/>
          <w:sz w:val="4"/>
          <w:szCs w:val="4"/>
          <w:color w:val="FFFFFF"/>
        </w:rPr>
        <w:t>700</w:t>
      </w:r>
    </w:p>
    <w:p>
      <w:pPr>
        <w:ind w:left="80"/>
        <w:spacing w:after="0" w:line="182" w:lineRule="auto"/>
        <w:rPr>
          <w:sz w:val="20"/>
          <w:szCs w:val="20"/>
          <w:color w:val="auto"/>
        </w:rPr>
      </w:pPr>
      <w:r>
        <w:rPr>
          <w:rFonts w:ascii="Times New Roman" w:cs="Times New Roman" w:eastAsia="Times New Roman" w:hAnsi="Times New Roman"/>
          <w:sz w:val="9"/>
          <w:szCs w:val="9"/>
          <w:color w:val="FFFFFF"/>
          <w:vertAlign w:val="subscript"/>
        </w:rPr>
        <w:t>6</w:t>
      </w:r>
      <w:r>
        <w:rPr>
          <w:rFonts w:ascii="Times New Roman" w:cs="Times New Roman" w:eastAsia="Times New Roman" w:hAnsi="Times New Roman"/>
          <w:sz w:val="7"/>
          <w:szCs w:val="7"/>
          <w:color w:val="FFFFFF"/>
        </w:rPr>
        <w:t>80</w:t>
      </w:r>
    </w:p>
    <w:p>
      <w:pPr>
        <w:ind w:left="80"/>
        <w:spacing w:after="0" w:line="205" w:lineRule="auto"/>
        <w:rPr>
          <w:sz w:val="20"/>
          <w:szCs w:val="20"/>
          <w:color w:val="auto"/>
        </w:rPr>
      </w:pPr>
      <w:r>
        <w:rPr>
          <w:rFonts w:ascii="Times New Roman" w:cs="Times New Roman" w:eastAsia="Times New Roman" w:hAnsi="Times New Roman"/>
          <w:sz w:val="4"/>
          <w:szCs w:val="4"/>
          <w:color w:val="FFFFFF"/>
        </w:rPr>
        <w:t>5</w:t>
      </w:r>
    </w:p>
    <w:p>
      <w:pPr>
        <w:ind w:left="80"/>
        <w:spacing w:after="0" w:line="205" w:lineRule="auto"/>
        <w:rPr>
          <w:sz w:val="20"/>
          <w:szCs w:val="20"/>
          <w:color w:val="auto"/>
        </w:rPr>
      </w:pPr>
      <w:r>
        <w:rPr>
          <w:rFonts w:ascii="Times New Roman" w:cs="Times New Roman" w:eastAsia="Times New Roman" w:hAnsi="Times New Roman"/>
          <w:sz w:val="4"/>
          <w:szCs w:val="4"/>
          <w:color w:val="FFFFFF"/>
        </w:rPr>
        <w:t>400</w:t>
      </w:r>
    </w:p>
    <w:p>
      <w:pPr>
        <w:ind w:left="80"/>
        <w:spacing w:after="0" w:line="189" w:lineRule="auto"/>
        <w:rPr>
          <w:sz w:val="20"/>
          <w:szCs w:val="20"/>
          <w:color w:val="auto"/>
        </w:rPr>
      </w:pPr>
      <w:r>
        <w:rPr>
          <w:rFonts w:ascii="Times New Roman" w:cs="Times New Roman" w:eastAsia="Times New Roman" w:hAnsi="Times New Roman"/>
          <w:sz w:val="13"/>
          <w:szCs w:val="13"/>
          <w:color w:val="FFFFFF"/>
          <w:vertAlign w:val="subscript"/>
        </w:rPr>
        <w:t>3</w:t>
      </w:r>
      <w:r>
        <w:rPr>
          <w:rFonts w:ascii="Times New Roman" w:cs="Times New Roman" w:eastAsia="Times New Roman" w:hAnsi="Times New Roman"/>
          <w:sz w:val="8"/>
          <w:szCs w:val="8"/>
          <w:color w:val="FFFFFF"/>
        </w:rPr>
        <w:t>73</w:t>
      </w:r>
    </w:p>
    <w:p>
      <w:pPr>
        <w:spacing w:after="0" w:line="182" w:lineRule="auto"/>
        <w:rPr>
          <w:sz w:val="20"/>
          <w:szCs w:val="20"/>
          <w:color w:val="auto"/>
        </w:rPr>
      </w:pPr>
      <w:r>
        <w:rPr>
          <w:rFonts w:ascii="Times New Roman" w:cs="Times New Roman" w:eastAsia="Times New Roman" w:hAnsi="Times New Roman"/>
          <w:sz w:val="9"/>
          <w:szCs w:val="9"/>
          <w:color w:val="FFFFFF"/>
        </w:rPr>
        <w:t>$200 2013 Base 2018</w:t>
      </w:r>
    </w:p>
    <w:p>
      <w:pPr>
        <w:spacing w:after="0" w:line="206" w:lineRule="auto"/>
        <w:rPr>
          <w:sz w:val="20"/>
          <w:szCs w:val="20"/>
          <w:color w:val="auto"/>
        </w:rPr>
      </w:pPr>
      <w:r>
        <w:rPr>
          <w:rFonts w:ascii="Times New Roman" w:cs="Times New Roman" w:eastAsia="Times New Roman" w:hAnsi="Times New Roman"/>
          <w:sz w:val="4"/>
          <w:szCs w:val="4"/>
          <w:color w:val="FFFFFF"/>
        </w:rPr>
        <w:t>Organic2014FullGrowthYearPro Forma Revenue</w:t>
      </w:r>
    </w:p>
    <w:p>
      <w:pPr>
        <w:spacing w:after="0" w:line="189" w:lineRule="auto"/>
        <w:rPr>
          <w:sz w:val="20"/>
          <w:szCs w:val="20"/>
          <w:color w:val="auto"/>
        </w:rPr>
      </w:pPr>
      <w:r>
        <w:rPr>
          <w:rFonts w:ascii="Times New Roman" w:cs="Times New Roman" w:eastAsia="Times New Roman" w:hAnsi="Times New Roman"/>
          <w:sz w:val="13"/>
          <w:szCs w:val="13"/>
          <w:color w:val="FFFFFF"/>
        </w:rPr>
        <w:t>3%AdjacentperYearMarkets</w:t>
      </w:r>
    </w:p>
    <w:p>
      <w:pPr>
        <w:spacing w:after="0" w:line="182" w:lineRule="auto"/>
        <w:rPr>
          <w:sz w:val="20"/>
          <w:szCs w:val="20"/>
          <w:color w:val="auto"/>
        </w:rPr>
      </w:pPr>
      <w:r>
        <w:rPr>
          <w:rFonts w:ascii="Times New Roman" w:cs="Times New Roman" w:eastAsia="Times New Roman" w:hAnsi="Times New Roman"/>
          <w:sz w:val="9"/>
          <w:szCs w:val="9"/>
          <w:color w:val="FFFFFF"/>
        </w:rPr>
        <w:t>Acquisitions5%perYear</w:t>
      </w:r>
    </w:p>
    <w:p>
      <w:pPr>
        <w:spacing w:after="0" w:line="207" w:lineRule="auto"/>
        <w:rPr>
          <w:sz w:val="20"/>
          <w:szCs w:val="20"/>
          <w:color w:val="auto"/>
        </w:rPr>
      </w:pPr>
      <w:r>
        <w:rPr>
          <w:rFonts w:ascii="Times New Roman" w:cs="Times New Roman" w:eastAsia="Times New Roman" w:hAnsi="Times New Roman"/>
          <w:sz w:val="4"/>
          <w:szCs w:val="4"/>
          <w:color w:val="FFFFFF"/>
        </w:rPr>
        <w:t>$Outpace1+billiontheinMarketrevenuewith Expanded Focus and Investment</w:t>
      </w:r>
    </w:p>
    <w:p>
      <w:pPr>
        <w:spacing w:after="0" w:line="205" w:lineRule="auto"/>
        <w:rPr>
          <w:sz w:val="20"/>
          <w:szCs w:val="20"/>
          <w:color w:val="auto"/>
        </w:rPr>
      </w:pPr>
      <w:r>
        <w:rPr>
          <w:rFonts w:ascii="Times New Roman" w:cs="Times New Roman" w:eastAsia="Times New Roman" w:hAnsi="Times New Roman"/>
          <w:sz w:val="4"/>
          <w:szCs w:val="4"/>
          <w:color w:val="FFFFFF"/>
          <w:vertAlign w:val="superscript"/>
        </w:rPr>
        <w:t>~$</w:t>
      </w:r>
      <w:r>
        <w:rPr>
          <w:rFonts w:ascii="Times New Roman" w:cs="Times New Roman" w:eastAsia="Times New Roman" w:hAnsi="Times New Roman"/>
          <w:sz w:val="2"/>
          <w:szCs w:val="2"/>
          <w:color w:val="FFFFFF"/>
        </w:rPr>
        <w:t>75</w:t>
      </w:r>
      <w:r>
        <w:rPr>
          <w:rFonts w:ascii="Times New Roman" w:cs="Times New Roman" w:eastAsia="Times New Roman" w:hAnsi="Times New Roman"/>
          <w:sz w:val="4"/>
          <w:szCs w:val="4"/>
          <w:color w:val="FFFFFF"/>
          <w:vertAlign w:val="superscript"/>
        </w:rPr>
        <w:t>245</w:t>
      </w:r>
      <w:r>
        <w:rPr>
          <w:rFonts w:ascii="Times New Roman" w:cs="Times New Roman" w:eastAsia="Times New Roman" w:hAnsi="Times New Roman"/>
          <w:sz w:val="2"/>
          <w:szCs w:val="2"/>
          <w:color w:val="FFFFFF"/>
        </w:rPr>
        <w:t>million planned acquisitions</w:t>
      </w:r>
    </w:p>
    <w:p>
      <w:pPr>
        <w:ind w:right="4819" w:firstLine="365"/>
        <w:spacing w:after="0" w:line="204" w:lineRule="auto"/>
        <w:rPr>
          <w:sz w:val="20"/>
          <w:szCs w:val="20"/>
          <w:color w:val="auto"/>
        </w:rPr>
      </w:pPr>
      <w:r>
        <w:rPr>
          <w:rFonts w:ascii="Times New Roman" w:cs="Times New Roman" w:eastAsia="Times New Roman" w:hAnsi="Times New Roman"/>
          <w:sz w:val="8"/>
          <w:szCs w:val="8"/>
          <w:color w:val="FFFFFF"/>
        </w:rPr>
        <w:t>million from organic and adjacent market growth based on enhanced R&amp;D and market presence Improving segment operating margins: 2013 ? 2018</w:t>
      </w:r>
    </w:p>
    <w:p>
      <w:pPr>
        <w:spacing w:after="0" w:line="206" w:lineRule="auto"/>
        <w:rPr>
          <w:sz w:val="20"/>
          <w:szCs w:val="20"/>
          <w:color w:val="auto"/>
        </w:rPr>
      </w:pPr>
      <w:r>
        <w:rPr>
          <w:rFonts w:ascii="Times New Roman" w:cs="Times New Roman" w:eastAsia="Times New Roman" w:hAnsi="Times New Roman"/>
          <w:sz w:val="4"/>
          <w:szCs w:val="4"/>
          <w:color w:val="FFFFFF"/>
        </w:rPr>
        <w:t>Metal Bearing Components: 10.7% ? 17.4%</w:t>
      </w:r>
    </w:p>
    <w:p>
      <w:pPr>
        <w:spacing w:after="0" w:line="205" w:lineRule="auto"/>
        <w:rPr>
          <w:sz w:val="20"/>
          <w:szCs w:val="20"/>
          <w:color w:val="auto"/>
        </w:rPr>
      </w:pPr>
      <w:r>
        <w:rPr>
          <w:rFonts w:ascii="Times New Roman" w:cs="Times New Roman" w:eastAsia="Times New Roman" w:hAnsi="Times New Roman"/>
          <w:sz w:val="4"/>
          <w:szCs w:val="4"/>
          <w:color w:val="FFFFFF"/>
        </w:rPr>
        <w:t>Autocam Precision Components: 11.6% ? 16.0%</w:t>
      </w:r>
    </w:p>
    <w:p>
      <w:pPr>
        <w:spacing w:after="0" w:line="182" w:lineRule="auto"/>
        <w:rPr>
          <w:sz w:val="20"/>
          <w:szCs w:val="20"/>
          <w:color w:val="auto"/>
        </w:rPr>
      </w:pPr>
      <w:r>
        <w:rPr>
          <w:rFonts w:ascii="Times New Roman" w:cs="Times New Roman" w:eastAsia="Times New Roman" w:hAnsi="Times New Roman"/>
          <w:sz w:val="7"/>
          <w:szCs w:val="7"/>
          <w:color w:val="FFFFFF"/>
        </w:rPr>
        <w:t>Plastic and Rubber Components:</w:t>
      </w:r>
      <w:r>
        <w:rPr>
          <w:rFonts w:ascii="Times New Roman" w:cs="Times New Roman" w:eastAsia="Times New Roman" w:hAnsi="Times New Roman"/>
          <w:sz w:val="9"/>
          <w:szCs w:val="9"/>
          <w:color w:val="FFFFFF"/>
          <w:vertAlign w:val="superscript"/>
        </w:rPr>
        <w:t>270%</w:t>
      </w:r>
      <w:r>
        <w:rPr>
          <w:rFonts w:ascii="Times New Roman" w:cs="Times New Roman" w:eastAsia="Times New Roman" w:hAnsi="Times New Roman"/>
          <w:sz w:val="7"/>
          <w:szCs w:val="7"/>
          <w:color w:val="FFFFFF"/>
        </w:rPr>
        <w:t>.0% ? 12.0%</w:t>
      </w:r>
    </w:p>
    <w:p>
      <w:pPr>
        <w:spacing w:after="0" w:line="188" w:lineRule="auto"/>
        <w:tabs>
          <w:tab w:leader="none" w:pos="1860" w:val="left"/>
        </w:tabs>
        <w:rPr>
          <w:sz w:val="20"/>
          <w:szCs w:val="20"/>
          <w:color w:val="auto"/>
        </w:rPr>
      </w:pPr>
      <w:r>
        <w:rPr>
          <w:rFonts w:ascii="Times New Roman" w:cs="Times New Roman" w:eastAsia="Times New Roman" w:hAnsi="Times New Roman"/>
          <w:sz w:val="13"/>
          <w:szCs w:val="13"/>
          <w:color w:val="FFFFFF"/>
        </w:rPr>
        <w:t>55NN will be growing revenue</w:t>
      </w:r>
      <w:r>
        <w:rPr>
          <w:sz w:val="20"/>
          <w:szCs w:val="20"/>
          <w:color w:val="auto"/>
        </w:rPr>
        <w:tab/>
      </w:r>
      <w:r>
        <w:rPr>
          <w:rFonts w:ascii="Times New Roman" w:cs="Times New Roman" w:eastAsia="Times New Roman" w:hAnsi="Times New Roman"/>
          <w:sz w:val="13"/>
          <w:szCs w:val="13"/>
          <w:color w:val="FFFFFF"/>
        </w:rPr>
        <w:t>and EPS 400% over the Strategic Plan years</w:t>
      </w:r>
    </w:p>
    <w:p>
      <w:pPr>
        <w:sectPr>
          <w:pgSz w:w="11900" w:h="16838" w:orient="portrait"/>
          <w:cols w:equalWidth="0" w:num="1">
            <w:col w:w="10219"/>
          </w:cols>
          <w:pgMar w:left="240" w:top="1440" w:right="1440"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FFFFFF"/>
        </w:rPr>
        <w:t>allSummaryourbusiness–NN,groupsaDiversified Industrial</w:t>
      </w:r>
    </w:p>
    <w:p>
      <w:pPr>
        <w:spacing w:after="0" w:line="182" w:lineRule="auto"/>
        <w:rPr>
          <w:sz w:val="20"/>
          <w:szCs w:val="20"/>
          <w:color w:val="auto"/>
        </w:rPr>
      </w:pPr>
      <w:r>
        <w:rPr>
          <w:rFonts w:ascii="Times New Roman" w:cs="Times New Roman" w:eastAsia="Times New Roman" w:hAnsi="Times New Roman"/>
          <w:sz w:val="9"/>
          <w:szCs w:val="9"/>
          <w:color w:val="FFFFFF"/>
        </w:rPr>
        <w:t>the parts</w:t>
      </w:r>
    </w:p>
    <w:p>
      <w:pPr>
        <w:spacing w:after="0"/>
        <w:rPr>
          <w:sz w:val="20"/>
          <w:szCs w:val="20"/>
          <w:color w:val="auto"/>
        </w:rPr>
      </w:pPr>
      <w:r>
        <w:rPr>
          <w:rFonts w:ascii="Times New Roman" w:cs="Times New Roman" w:eastAsia="Times New Roman" w:hAnsi="Times New Roman"/>
          <w:sz w:val="12"/>
          <w:szCs w:val="12"/>
          <w:color w:val="FFFFFF"/>
        </w:rPr>
        <w:t>56Bringing the best of NN to all our markets</w:t>
      </w:r>
    </w:p>
    <w:p>
      <w:pPr>
        <w:sectPr>
          <w:pgSz w:w="11900" w:h="16838" w:orient="portrait"/>
          <w:cols w:equalWidth="0" w:num="1">
            <w:col w:w="10219"/>
          </w:cols>
          <w:pgMar w:left="240" w:top="1440" w:right="1440"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FFFFFF"/>
        </w:rPr>
        <w:t>57</w:t>
      </w:r>
    </w:p>
    <w:p>
      <w:pPr>
        <w:sectPr>
          <w:pgSz w:w="11900" w:h="16838" w:orient="portrait"/>
          <w:cols w:equalWidth="0" w:num="1">
            <w:col w:w="10219"/>
          </w:cols>
          <w:pgMar w:left="240" w:top="1440" w:right="1440"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FFFFFF"/>
        </w:rPr>
        <w:t>February2015Investor5,2015Day Conference: Growing into the Future</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2019-12-06T10:17:59Z</dcterms:created>
  <dcterms:modified xsi:type="dcterms:W3CDTF">2019-12-06T10:17:59Z</dcterms:modified>
</cp:coreProperties>
</file>