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jc w:val="center"/>
        <w:ind w:right="1739"/>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8" w:lineRule="exact"/>
        <w:rPr>
          <w:sz w:val="24"/>
          <w:szCs w:val="24"/>
          <w:color w:val="auto"/>
        </w:rPr>
      </w:pPr>
    </w:p>
    <w:p>
      <w:pPr>
        <w:jc w:val="center"/>
        <w:ind w:right="1739"/>
        <w:spacing w:after="0"/>
        <w:rPr>
          <w:sz w:val="20"/>
          <w:szCs w:val="20"/>
          <w:color w:val="auto"/>
        </w:rPr>
      </w:pPr>
      <w:r>
        <w:rPr>
          <w:rFonts w:ascii="Courier New" w:cs="Courier New" w:eastAsia="Courier New" w:hAnsi="Courier New"/>
          <w:sz w:val="16"/>
          <w:szCs w:val="16"/>
          <w:color w:val="auto"/>
        </w:rPr>
        <w:t>Washington, D.C. 20549</w:t>
      </w:r>
    </w:p>
    <w:p>
      <w:pPr>
        <w:spacing w:after="0" w:line="388" w:lineRule="exact"/>
        <w:rPr>
          <w:sz w:val="24"/>
          <w:szCs w:val="24"/>
          <w:color w:val="auto"/>
        </w:rPr>
      </w:pPr>
    </w:p>
    <w:p>
      <w:pPr>
        <w:ind w:left="3740"/>
        <w:spacing w:after="0"/>
        <w:rPr>
          <w:sz w:val="20"/>
          <w:szCs w:val="20"/>
          <w:color w:val="auto"/>
        </w:rPr>
      </w:pPr>
      <w:r>
        <w:rPr>
          <w:rFonts w:ascii="Courier New" w:cs="Courier New" w:eastAsia="Courier New" w:hAnsi="Courier New"/>
          <w:sz w:val="16"/>
          <w:szCs w:val="16"/>
          <w:color w:val="auto"/>
        </w:rPr>
        <w:t>FORM 10-Q</w:t>
      </w:r>
    </w:p>
    <w:p>
      <w:pPr>
        <w:spacing w:after="0" w:line="198" w:lineRule="exact"/>
        <w:rPr>
          <w:sz w:val="24"/>
          <w:szCs w:val="24"/>
          <w:color w:val="auto"/>
        </w:rPr>
      </w:pPr>
    </w:p>
    <w:p>
      <w:pPr>
        <w:ind w:right="2439"/>
        <w:spacing w:after="0" w:line="255" w:lineRule="auto"/>
        <w:rPr>
          <w:sz w:val="20"/>
          <w:szCs w:val="20"/>
          <w:color w:val="auto"/>
        </w:rPr>
      </w:pPr>
      <w:r>
        <w:rPr>
          <w:rFonts w:ascii="Courier New" w:cs="Courier New" w:eastAsia="Courier New" w:hAnsi="Courier New"/>
          <w:sz w:val="16"/>
          <w:szCs w:val="16"/>
          <w:color w:val="auto"/>
        </w:rPr>
        <w:t>/X/ QUARTERLY REPORT PURSUANT TO SECTION 13 OR 15(d) OF THE SECURITIES EXCHANGE ACT OF 1934</w:t>
      </w:r>
    </w:p>
    <w:p>
      <w:pPr>
        <w:spacing w:after="0" w:line="184" w:lineRule="exact"/>
        <w:rPr>
          <w:sz w:val="24"/>
          <w:szCs w:val="24"/>
          <w:color w:val="auto"/>
        </w:rPr>
      </w:pPr>
    </w:p>
    <w:p>
      <w:pPr>
        <w:ind w:left="2080"/>
        <w:spacing w:after="0"/>
        <w:rPr>
          <w:sz w:val="20"/>
          <w:szCs w:val="20"/>
          <w:color w:val="auto"/>
        </w:rPr>
      </w:pPr>
      <w:r>
        <w:rPr>
          <w:rFonts w:ascii="Courier New" w:cs="Courier New" w:eastAsia="Courier New" w:hAnsi="Courier New"/>
          <w:sz w:val="16"/>
          <w:szCs w:val="16"/>
          <w:color w:val="auto"/>
        </w:rPr>
        <w:t>For the quarterly period ended June 30, 1998</w:t>
      </w:r>
    </w:p>
    <w:p>
      <w:pPr>
        <w:spacing w:after="0" w:line="8" w:lineRule="exact"/>
        <w:rPr>
          <w:sz w:val="24"/>
          <w:szCs w:val="24"/>
          <w:color w:val="auto"/>
        </w:rPr>
      </w:pPr>
    </w:p>
    <w:p>
      <w:pPr>
        <w:ind w:left="502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4140"/>
        <w:spacing w:after="0"/>
        <w:rPr>
          <w:sz w:val="20"/>
          <w:szCs w:val="20"/>
          <w:color w:val="auto"/>
        </w:rPr>
      </w:pPr>
      <w:r>
        <w:rPr>
          <w:rFonts w:ascii="Courier New" w:cs="Courier New" w:eastAsia="Courier New" w:hAnsi="Courier New"/>
          <w:sz w:val="16"/>
          <w:szCs w:val="16"/>
          <w:color w:val="auto"/>
        </w:rPr>
        <w:t>OR</w:t>
      </w:r>
    </w:p>
    <w:p>
      <w:pPr>
        <w:spacing w:after="0" w:line="198" w:lineRule="exact"/>
        <w:rPr>
          <w:sz w:val="24"/>
          <w:szCs w:val="24"/>
          <w:color w:val="auto"/>
        </w:rPr>
      </w:pPr>
    </w:p>
    <w:p>
      <w:pPr>
        <w:ind w:right="2339" w:firstLine="1"/>
        <w:spacing w:after="0" w:line="255" w:lineRule="auto"/>
        <w:tabs>
          <w:tab w:leader="none" w:pos="19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ectPr>
          <w:pgSz w:w="11900" w:h="16838" w:orient="portrait"/>
          <w:cols w:equalWidth="0" w:num="1">
            <w:col w:w="10219"/>
          </w:cols>
          <w:pgMar w:left="240" w:top="812" w:right="1440" w:bottom="1440" w:gutter="0" w:footer="0" w:header="0"/>
        </w:sectPr>
      </w:pPr>
    </w:p>
    <w:p>
      <w:pPr>
        <w:spacing w:after="0" w:line="184"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8" w:lineRule="exact"/>
        <w:rPr>
          <w:sz w:val="24"/>
          <w:szCs w:val="24"/>
          <w:color w:val="auto"/>
        </w:rPr>
      </w:pPr>
    </w:p>
    <w:p>
      <w:pPr>
        <w:sectPr>
          <w:pgSz w:w="11900" w:h="16838" w:orient="portrait"/>
          <w:cols w:equalWidth="0" w:num="2">
            <w:col w:w="4700" w:space="720"/>
            <w:col w:w="4799"/>
          </w:cols>
          <w:pgMar w:left="240" w:top="812" w:right="1440" w:bottom="1440" w:gutter="0" w:footer="0" w:header="0"/>
          <w:type w:val="continuous"/>
        </w:sectPr>
      </w:pPr>
    </w:p>
    <w:p>
      <w:pPr>
        <w:ind w:left="40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sectPr>
          <w:pgSz w:w="11900" w:h="16838" w:orient="portrait"/>
          <w:cols w:equalWidth="0" w:num="2">
            <w:col w:w="5320" w:space="400"/>
            <w:col w:w="4499"/>
          </w:cols>
          <w:pgMar w:left="240" w:top="812" w:right="1440" w:bottom="1440" w:gutter="0" w:footer="0" w:header="0"/>
          <w:type w:val="continuous"/>
        </w:sectPr>
      </w:pPr>
    </w:p>
    <w:p>
      <w:pPr>
        <w:ind w:left="266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Courier New" w:cs="Courier New" w:eastAsia="Courier New" w:hAnsi="Courier New"/>
          <w:sz w:val="16"/>
          <w:szCs w:val="16"/>
          <w:color w:val="auto"/>
        </w:rPr>
        <w:t>0-23486</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sectPr>
          <w:pgSz w:w="11900" w:h="16838" w:orient="portrait"/>
          <w:cols w:equalWidth="0" w:num="2">
            <w:col w:w="4840" w:space="100"/>
            <w:col w:w="5279"/>
          </w:cols>
          <w:pgMar w:left="240" w:top="812" w:right="1440" w:bottom="1440" w:gutter="0" w:footer="0" w:header="0"/>
          <w:type w:val="continuous"/>
        </w:sectPr>
      </w:pPr>
    </w:p>
    <w:p>
      <w:pPr>
        <w:jc w:val="center"/>
        <w:ind w:right="1739"/>
        <w:spacing w:after="0"/>
        <w:rPr>
          <w:sz w:val="20"/>
          <w:szCs w:val="20"/>
          <w:color w:val="auto"/>
        </w:rPr>
      </w:pPr>
      <w:r>
        <w:rPr>
          <w:rFonts w:ascii="Courier New" w:cs="Courier New" w:eastAsia="Courier New" w:hAnsi="Courier New"/>
          <w:sz w:val="16"/>
          <w:szCs w:val="16"/>
          <w:color w:val="auto"/>
        </w:rPr>
        <w:t>NN Ball &amp; Roller, Inc.</w:t>
      </w:r>
    </w:p>
    <w:p>
      <w:pPr>
        <w:spacing w:after="0" w:line="8" w:lineRule="exact"/>
        <w:rPr>
          <w:sz w:val="24"/>
          <w:szCs w:val="24"/>
          <w:color w:val="auto"/>
        </w:rPr>
      </w:pPr>
    </w:p>
    <w:p>
      <w:pPr>
        <w:jc w:val="center"/>
        <w:ind w:right="173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812" w:right="1440" w:bottom="1440" w:gutter="0" w:footer="0" w:header="0"/>
          <w:type w:val="continuous"/>
        </w:sectPr>
      </w:pPr>
    </w:p>
    <w:p>
      <w:pPr>
        <w:spacing w:after="0" w:line="388"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(State or other jurisdiction of</w:t>
      </w:r>
    </w:p>
    <w:p>
      <w:pPr>
        <w:spacing w:after="0" w:line="8"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62-1096725</w:t>
      </w:r>
    </w:p>
    <w:p>
      <w:pPr>
        <w:spacing w:after="0" w:line="8"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3820" w:space="720"/>
            <w:col w:w="5679"/>
          </w:cols>
          <w:pgMar w:left="240" w:top="812" w:right="1440" w:bottom="1440" w:gutter="0" w:footer="0" w:header="0"/>
          <w:type w:val="continuous"/>
        </w:sectPr>
      </w:pPr>
    </w:p>
    <w:p>
      <w:pPr>
        <w:spacing w:after="0" w:line="188" w:lineRule="exact"/>
        <w:rPr>
          <w:sz w:val="24"/>
          <w:szCs w:val="24"/>
          <w:color w:val="auto"/>
        </w:rPr>
      </w:pPr>
    </w:p>
    <w:p>
      <w:pPr>
        <w:ind w:left="3360"/>
        <w:spacing w:after="0"/>
        <w:rPr>
          <w:sz w:val="20"/>
          <w:szCs w:val="20"/>
          <w:color w:val="auto"/>
        </w:rPr>
      </w:pPr>
      <w:r>
        <w:rPr>
          <w:rFonts w:ascii="Courier New" w:cs="Courier New" w:eastAsia="Courier New" w:hAnsi="Courier New"/>
          <w:sz w:val="16"/>
          <w:szCs w:val="16"/>
          <w:color w:val="auto"/>
        </w:rPr>
        <w:t>800 Tennessee Road</w:t>
      </w:r>
    </w:p>
    <w:p>
      <w:pPr>
        <w:spacing w:after="0" w:line="8" w:lineRule="exact"/>
        <w:rPr>
          <w:sz w:val="24"/>
          <w:szCs w:val="24"/>
          <w:color w:val="auto"/>
        </w:rPr>
      </w:pPr>
    </w:p>
    <w:p>
      <w:pPr>
        <w:ind w:left="3060"/>
        <w:spacing w:after="0"/>
        <w:tabs>
          <w:tab w:leader="none" w:pos="4820" w:val="left"/>
        </w:tabs>
        <w:rPr>
          <w:sz w:val="20"/>
          <w:szCs w:val="20"/>
          <w:color w:val="auto"/>
        </w:rPr>
      </w:pPr>
      <w:r>
        <w:rPr>
          <w:rFonts w:ascii="Courier New" w:cs="Courier New" w:eastAsia="Courier New" w:hAnsi="Courier New"/>
          <w:sz w:val="16"/>
          <w:szCs w:val="16"/>
          <w:color w:val="auto"/>
        </w:rPr>
        <w:t>Erwin, Tennessee</w:t>
        <w:tab/>
        <w:t>37650</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198" w:lineRule="exact"/>
        <w:rPr>
          <w:sz w:val="24"/>
          <w:szCs w:val="24"/>
          <w:color w:val="auto"/>
        </w:rPr>
      </w:pPr>
    </w:p>
    <w:p>
      <w:pPr>
        <w:jc w:val="center"/>
        <w:ind w:right="1739"/>
        <w:spacing w:after="0"/>
        <w:rPr>
          <w:sz w:val="20"/>
          <w:szCs w:val="20"/>
          <w:color w:val="auto"/>
        </w:rPr>
      </w:pPr>
      <w:r>
        <w:rPr>
          <w:rFonts w:ascii="Courier New" w:cs="Courier New" w:eastAsia="Courier New" w:hAnsi="Courier New"/>
          <w:sz w:val="16"/>
          <w:szCs w:val="16"/>
          <w:color w:val="auto"/>
        </w:rPr>
        <w:t>(423) 743-9151</w:t>
      </w:r>
    </w:p>
    <w:p>
      <w:pPr>
        <w:spacing w:after="0" w:line="8" w:lineRule="exact"/>
        <w:rPr>
          <w:sz w:val="24"/>
          <w:szCs w:val="24"/>
          <w:color w:val="auto"/>
        </w:rPr>
      </w:pPr>
    </w:p>
    <w:p>
      <w:pPr>
        <w:jc w:val="center"/>
        <w:ind w:right="173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Indicate by check mark whether the registrant (1) has filed all reports required</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be filed by Section 13 or 15(d) of the Securities Exchange Act of 1934 during</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preceding 12 months (or for such shorter period that the registrant was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required to file such reports), and (2) has been subject to such filing</w:t>
      </w:r>
    </w:p>
    <w:p>
      <w:pPr>
        <w:spacing w:after="0" w:line="8" w:lineRule="exact"/>
        <w:rPr>
          <w:sz w:val="24"/>
          <w:szCs w:val="24"/>
          <w:color w:val="auto"/>
        </w:rPr>
      </w:pPr>
    </w:p>
    <w:p>
      <w:pPr>
        <w:spacing w:after="0"/>
        <w:tabs>
          <w:tab w:leader="none" w:pos="3820" w:val="left"/>
          <w:tab w:leader="none" w:pos="4420" w:val="left"/>
          <w:tab w:leader="none" w:pos="5100" w:val="left"/>
        </w:tabs>
        <w:rPr>
          <w:sz w:val="20"/>
          <w:szCs w:val="20"/>
          <w:color w:val="auto"/>
        </w:rPr>
      </w:pPr>
      <w:r>
        <w:rPr>
          <w:rFonts w:ascii="Courier New" w:cs="Courier New" w:eastAsia="Courier New" w:hAnsi="Courier New"/>
          <w:sz w:val="16"/>
          <w:szCs w:val="16"/>
          <w:color w:val="auto"/>
        </w:rPr>
        <w:t>requirements for the past 90 days.</w:t>
      </w:r>
      <w:r>
        <w:rPr>
          <w:sz w:val="20"/>
          <w:szCs w:val="20"/>
          <w:color w:val="auto"/>
        </w:rPr>
        <w:tab/>
      </w: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w:t>
      </w:r>
    </w:p>
    <w:p>
      <w:pPr>
        <w:spacing w:after="0" w:line="8" w:lineRule="exact"/>
        <w:rPr>
          <w:sz w:val="24"/>
          <w:szCs w:val="24"/>
          <w:color w:val="auto"/>
        </w:rPr>
      </w:pPr>
    </w:p>
    <w:p>
      <w:pPr>
        <w:ind w:left="4240"/>
        <w:spacing w:after="0"/>
        <w:tabs>
          <w:tab w:leader="none" w:pos="53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812" w:right="1440" w:bottom="1440" w:gutter="0" w:footer="0" w:header="0"/>
          <w:type w:val="continuous"/>
        </w:sectPr>
      </w:pPr>
    </w:p>
    <w:p>
      <w:pPr>
        <w:spacing w:after="0" w:line="198" w:lineRule="exact"/>
        <w:rPr>
          <w:sz w:val="24"/>
          <w:szCs w:val="24"/>
          <w:color w:val="auto"/>
        </w:rPr>
      </w:pPr>
    </w:p>
    <w:p>
      <w:pPr>
        <w:ind w:right="3219"/>
        <w:spacing w:after="0" w:line="255" w:lineRule="auto"/>
        <w:rPr>
          <w:sz w:val="20"/>
          <w:szCs w:val="20"/>
          <w:color w:val="auto"/>
        </w:rPr>
      </w:pPr>
      <w:r>
        <w:rPr>
          <w:rFonts w:ascii="Courier New" w:cs="Courier New" w:eastAsia="Courier New" w:hAnsi="Courier New"/>
          <w:sz w:val="16"/>
          <w:szCs w:val="16"/>
          <w:color w:val="auto"/>
        </w:rPr>
        <w:t>As of August 13, 1998 there were 14,804,244 shares of the registrant's common stock, par value $0.01 per share, outstanding.</w:t>
      </w:r>
    </w:p>
    <w:p>
      <w:pPr>
        <w:spacing w:after="0" w:line="184" w:lineRule="exact"/>
        <w:rPr>
          <w:sz w:val="24"/>
          <w:szCs w:val="24"/>
          <w:color w:val="auto"/>
        </w:rPr>
      </w:pPr>
    </w:p>
    <w:p>
      <w:pPr>
        <w:ind w:left="200" w:hanging="199"/>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12" w:right="1440" w:bottom="1440" w:gutter="0" w:footer="0" w:header="0"/>
          <w:type w:val="continuous"/>
        </w:sectPr>
      </w:pPr>
    </w:p>
    <w:bookmarkStart w:id="1" w:name="page2"/>
    <w:bookmarkEnd w:id="1"/>
    <w:p>
      <w:pPr>
        <w:ind w:left="3460" w:hanging="304"/>
        <w:spacing w:after="0"/>
        <w:tabs>
          <w:tab w:leader="none" w:pos="34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w:t>
      </w:r>
    </w:p>
    <w:p>
      <w:pPr>
        <w:spacing w:after="0" w:line="197" w:lineRule="exact"/>
        <w:rPr>
          <w:rFonts w:ascii="Courier New" w:cs="Courier New" w:eastAsia="Courier New" w:hAnsi="Courier New"/>
          <w:sz w:val="16"/>
          <w:szCs w:val="16"/>
          <w:color w:val="auto"/>
        </w:rPr>
      </w:pPr>
    </w:p>
    <w:p>
      <w:pPr>
        <w:ind w:left="3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190"/>
        </w:trPr>
        <w:tc>
          <w:tcPr>
            <w:tcW w:w="17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1720" w:type="dxa"/>
            <w:vAlign w:val="bottom"/>
          </w:tcPr>
          <w:p>
            <w:pPr>
              <w:spacing w:after="0"/>
              <w:rPr>
                <w:sz w:val="20"/>
                <w:szCs w:val="20"/>
                <w:color w:val="auto"/>
              </w:rPr>
            </w:pPr>
            <w:r>
              <w:rPr>
                <w:rFonts w:ascii="Courier New" w:cs="Courier New" w:eastAsia="Courier New" w:hAnsi="Courier New"/>
                <w:sz w:val="16"/>
                <w:szCs w:val="16"/>
                <w:color w:val="auto"/>
              </w:rPr>
              <w:t>Part I. Financial</w:t>
            </w:r>
          </w:p>
        </w:tc>
        <w:tc>
          <w:tcPr>
            <w:tcW w:w="4240" w:type="dxa"/>
            <w:vAlign w:val="bottom"/>
          </w:tcPr>
          <w:p>
            <w:pPr>
              <w:ind w:left="60"/>
              <w:spacing w:after="0"/>
              <w:rPr>
                <w:sz w:val="20"/>
                <w:szCs w:val="20"/>
                <w:color w:val="auto"/>
              </w:rPr>
            </w:pPr>
            <w:r>
              <w:rPr>
                <w:rFonts w:ascii="Courier New" w:cs="Courier New" w:eastAsia="Courier New" w:hAnsi="Courier New"/>
                <w:sz w:val="16"/>
                <w:szCs w:val="16"/>
                <w:color w:val="auto"/>
              </w:rPr>
              <w:t>Information</w:t>
            </w:r>
          </w:p>
        </w:tc>
        <w:tc>
          <w:tcPr>
            <w:tcW w:w="840" w:type="dxa"/>
            <w:vAlign w:val="bottom"/>
          </w:tcPr>
          <w:p>
            <w:pPr>
              <w:spacing w:after="0"/>
              <w:rPr>
                <w:sz w:val="24"/>
                <w:szCs w:val="24"/>
                <w:color w:val="auto"/>
              </w:rPr>
            </w:pPr>
          </w:p>
        </w:tc>
      </w:tr>
      <w:tr>
        <w:trPr>
          <w:trHeight w:val="379"/>
        </w:trPr>
        <w:tc>
          <w:tcPr>
            <w:tcW w:w="1720" w:type="dxa"/>
            <w:vAlign w:val="bottom"/>
          </w:tcPr>
          <w:p>
            <w:pPr>
              <w:spacing w:after="0"/>
              <w:rPr>
                <w:sz w:val="20"/>
                <w:szCs w:val="20"/>
                <w:color w:val="auto"/>
              </w:rPr>
            </w:pPr>
            <w:r>
              <w:rPr>
                <w:rFonts w:ascii="Courier New" w:cs="Courier New" w:eastAsia="Courier New" w:hAnsi="Courier New"/>
                <w:sz w:val="16"/>
                <w:szCs w:val="16"/>
                <w:color w:val="auto"/>
              </w:rPr>
              <w:t>Item 1. Financial</w:t>
            </w:r>
          </w:p>
        </w:tc>
        <w:tc>
          <w:tcPr>
            <w:tcW w:w="4240" w:type="dxa"/>
            <w:vAlign w:val="bottom"/>
          </w:tcPr>
          <w:p>
            <w:pPr>
              <w:ind w:left="60"/>
              <w:spacing w:after="0"/>
              <w:rPr>
                <w:sz w:val="20"/>
                <w:szCs w:val="20"/>
                <w:color w:val="auto"/>
              </w:rPr>
            </w:pPr>
            <w:r>
              <w:rPr>
                <w:rFonts w:ascii="Courier New" w:cs="Courier New" w:eastAsia="Courier New" w:hAnsi="Courier New"/>
                <w:sz w:val="16"/>
                <w:szCs w:val="16"/>
                <w:color w:val="auto"/>
              </w:rPr>
              <w:t>Statements:</w:t>
            </w:r>
          </w:p>
        </w:tc>
        <w:tc>
          <w:tcPr>
            <w:tcW w:w="840" w:type="dxa"/>
            <w:vAlign w:val="bottom"/>
          </w:tcPr>
          <w:p>
            <w:pPr>
              <w:spacing w:after="0"/>
              <w:rPr>
                <w:sz w:val="24"/>
                <w:szCs w:val="24"/>
                <w:color w:val="auto"/>
              </w:rPr>
            </w:pPr>
          </w:p>
        </w:tc>
      </w:tr>
      <w:tr>
        <w:trPr>
          <w:trHeight w:val="379"/>
        </w:trPr>
        <w:tc>
          <w:tcPr>
            <w:tcW w:w="1720" w:type="dxa"/>
            <w:vAlign w:val="bottom"/>
          </w:tcPr>
          <w:p>
            <w:pPr>
              <w:ind w:left="780"/>
              <w:spacing w:after="0"/>
              <w:rPr>
                <w:sz w:val="20"/>
                <w:szCs w:val="20"/>
                <w:color w:val="auto"/>
              </w:rPr>
            </w:pPr>
            <w:r>
              <w:rPr>
                <w:rFonts w:ascii="Courier New" w:cs="Courier New" w:eastAsia="Courier New" w:hAnsi="Courier New"/>
                <w:sz w:val="16"/>
                <w:szCs w:val="16"/>
                <w:color w:val="auto"/>
              </w:rPr>
              <w:t>Condensed</w:t>
            </w:r>
          </w:p>
        </w:tc>
        <w:tc>
          <w:tcPr>
            <w:tcW w:w="4240" w:type="dxa"/>
            <w:vAlign w:val="bottom"/>
          </w:tcPr>
          <w:p>
            <w:pPr>
              <w:ind w:left="60"/>
              <w:spacing w:after="0"/>
              <w:rPr>
                <w:sz w:val="20"/>
                <w:szCs w:val="20"/>
                <w:color w:val="auto"/>
              </w:rPr>
            </w:pPr>
            <w:r>
              <w:rPr>
                <w:rFonts w:ascii="Courier New" w:cs="Courier New" w:eastAsia="Courier New" w:hAnsi="Courier New"/>
                <w:sz w:val="16"/>
                <w:szCs w:val="16"/>
                <w:color w:val="auto"/>
              </w:rPr>
              <w:t>Statements of Income for the three and six</w:t>
            </w:r>
          </w:p>
        </w:tc>
        <w:tc>
          <w:tcPr>
            <w:tcW w:w="840" w:type="dxa"/>
            <w:vAlign w:val="bottom"/>
          </w:tcPr>
          <w:p>
            <w:pPr>
              <w:spacing w:after="0"/>
              <w:rPr>
                <w:sz w:val="24"/>
                <w:szCs w:val="24"/>
                <w:color w:val="auto"/>
              </w:rPr>
            </w:pPr>
          </w:p>
        </w:tc>
      </w:tr>
      <w:tr>
        <w:trPr>
          <w:trHeight w:val="190"/>
        </w:trPr>
        <w:tc>
          <w:tcPr>
            <w:tcW w:w="596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months ended June 30, 1998 and 1997</w:t>
            </w: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w:t>
            </w:r>
          </w:p>
        </w:tc>
      </w:tr>
      <w:tr>
        <w:trPr>
          <w:trHeight w:val="379"/>
        </w:trPr>
        <w:tc>
          <w:tcPr>
            <w:tcW w:w="1720" w:type="dxa"/>
            <w:vAlign w:val="bottom"/>
          </w:tcPr>
          <w:p>
            <w:pPr>
              <w:ind w:left="780"/>
              <w:spacing w:after="0"/>
              <w:rPr>
                <w:sz w:val="20"/>
                <w:szCs w:val="20"/>
                <w:color w:val="auto"/>
              </w:rPr>
            </w:pPr>
            <w:r>
              <w:rPr>
                <w:rFonts w:ascii="Courier New" w:cs="Courier New" w:eastAsia="Courier New" w:hAnsi="Courier New"/>
                <w:sz w:val="16"/>
                <w:szCs w:val="16"/>
                <w:color w:val="auto"/>
              </w:rPr>
              <w:t>Condensed</w:t>
            </w:r>
          </w:p>
        </w:tc>
        <w:tc>
          <w:tcPr>
            <w:tcW w:w="4240" w:type="dxa"/>
            <w:vAlign w:val="bottom"/>
          </w:tcPr>
          <w:p>
            <w:pPr>
              <w:ind w:left="60"/>
              <w:spacing w:after="0"/>
              <w:rPr>
                <w:sz w:val="20"/>
                <w:szCs w:val="20"/>
                <w:color w:val="auto"/>
              </w:rPr>
            </w:pPr>
            <w:r>
              <w:rPr>
                <w:rFonts w:ascii="Courier New" w:cs="Courier New" w:eastAsia="Courier New" w:hAnsi="Courier New"/>
                <w:sz w:val="16"/>
                <w:szCs w:val="16"/>
                <w:color w:val="auto"/>
              </w:rPr>
              <w:t>Balance Sheets at June 30, 1998 and</w:t>
            </w:r>
          </w:p>
        </w:tc>
        <w:tc>
          <w:tcPr>
            <w:tcW w:w="840" w:type="dxa"/>
            <w:vAlign w:val="bottom"/>
          </w:tcPr>
          <w:p>
            <w:pPr>
              <w:spacing w:after="0"/>
              <w:rPr>
                <w:sz w:val="24"/>
                <w:szCs w:val="24"/>
                <w:color w:val="auto"/>
              </w:rPr>
            </w:pPr>
          </w:p>
        </w:tc>
      </w:tr>
      <w:tr>
        <w:trPr>
          <w:trHeight w:val="190"/>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December</w:t>
            </w:r>
          </w:p>
        </w:tc>
        <w:tc>
          <w:tcPr>
            <w:tcW w:w="4240" w:type="dxa"/>
            <w:vAlign w:val="bottom"/>
          </w:tcPr>
          <w:p>
            <w:pPr>
              <w:ind w:left="60"/>
              <w:spacing w:after="0"/>
              <w:rPr>
                <w:sz w:val="20"/>
                <w:szCs w:val="20"/>
                <w:color w:val="auto"/>
              </w:rPr>
            </w:pPr>
            <w:r>
              <w:rPr>
                <w:rFonts w:ascii="Courier New" w:cs="Courier New" w:eastAsia="Courier New" w:hAnsi="Courier New"/>
                <w:sz w:val="16"/>
                <w:szCs w:val="16"/>
                <w:color w:val="auto"/>
              </w:rPr>
              <w:t>31, 1997</w:t>
            </w: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w:t>
            </w:r>
          </w:p>
        </w:tc>
      </w:tr>
      <w:tr>
        <w:trPr>
          <w:trHeight w:val="379"/>
        </w:trPr>
        <w:tc>
          <w:tcPr>
            <w:tcW w:w="1720" w:type="dxa"/>
            <w:vAlign w:val="bottom"/>
          </w:tcPr>
          <w:p>
            <w:pPr>
              <w:ind w:left="780"/>
              <w:spacing w:after="0"/>
              <w:rPr>
                <w:sz w:val="20"/>
                <w:szCs w:val="20"/>
                <w:color w:val="auto"/>
              </w:rPr>
            </w:pPr>
            <w:r>
              <w:rPr>
                <w:rFonts w:ascii="Courier New" w:cs="Courier New" w:eastAsia="Courier New" w:hAnsi="Courier New"/>
                <w:sz w:val="16"/>
                <w:szCs w:val="16"/>
                <w:color w:val="auto"/>
              </w:rPr>
              <w:t>Condensed</w:t>
            </w:r>
          </w:p>
        </w:tc>
        <w:tc>
          <w:tcPr>
            <w:tcW w:w="4240" w:type="dxa"/>
            <w:vAlign w:val="bottom"/>
          </w:tcPr>
          <w:p>
            <w:pPr>
              <w:ind w:left="60"/>
              <w:spacing w:after="0"/>
              <w:rPr>
                <w:sz w:val="20"/>
                <w:szCs w:val="20"/>
                <w:color w:val="auto"/>
              </w:rPr>
            </w:pPr>
            <w:r>
              <w:rPr>
                <w:rFonts w:ascii="Courier New" w:cs="Courier New" w:eastAsia="Courier New" w:hAnsi="Courier New"/>
                <w:sz w:val="16"/>
                <w:szCs w:val="16"/>
                <w:color w:val="auto"/>
              </w:rPr>
              <w:t>Statements of Changes in Stockholders'</w:t>
            </w:r>
          </w:p>
        </w:tc>
        <w:tc>
          <w:tcPr>
            <w:tcW w:w="840" w:type="dxa"/>
            <w:vAlign w:val="bottom"/>
          </w:tcPr>
          <w:p>
            <w:pPr>
              <w:spacing w:after="0"/>
              <w:rPr>
                <w:sz w:val="24"/>
                <w:szCs w:val="24"/>
                <w:color w:val="auto"/>
              </w:rPr>
            </w:pPr>
          </w:p>
        </w:tc>
      </w:tr>
      <w:tr>
        <w:trPr>
          <w:trHeight w:val="190"/>
        </w:trPr>
        <w:tc>
          <w:tcPr>
            <w:tcW w:w="596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Equity for the six months ended June 30, 1998</w:t>
            </w:r>
          </w:p>
        </w:tc>
        <w:tc>
          <w:tcPr>
            <w:tcW w:w="840" w:type="dxa"/>
            <w:vAlign w:val="bottom"/>
          </w:tcPr>
          <w:p>
            <w:pPr>
              <w:spacing w:after="0"/>
              <w:rPr>
                <w:sz w:val="16"/>
                <w:szCs w:val="16"/>
                <w:color w:val="auto"/>
              </w:rPr>
            </w:pPr>
          </w:p>
        </w:tc>
      </w:tr>
      <w:tr>
        <w:trPr>
          <w:trHeight w:val="190"/>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and 1997</w:t>
            </w:r>
          </w:p>
        </w:tc>
        <w:tc>
          <w:tcPr>
            <w:tcW w:w="4240" w:type="dxa"/>
            <w:vAlign w:val="bottom"/>
          </w:tcPr>
          <w:p>
            <w:pPr>
              <w:spacing w:after="0"/>
              <w:rPr>
                <w:sz w:val="16"/>
                <w:szCs w:val="16"/>
                <w:color w:val="auto"/>
              </w:rPr>
            </w:pP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w:t>
            </w:r>
          </w:p>
        </w:tc>
      </w:tr>
      <w:tr>
        <w:trPr>
          <w:trHeight w:val="379"/>
        </w:trPr>
        <w:tc>
          <w:tcPr>
            <w:tcW w:w="1720" w:type="dxa"/>
            <w:vAlign w:val="bottom"/>
          </w:tcPr>
          <w:p>
            <w:pPr>
              <w:ind w:left="780"/>
              <w:spacing w:after="0"/>
              <w:rPr>
                <w:sz w:val="20"/>
                <w:szCs w:val="20"/>
                <w:color w:val="auto"/>
              </w:rPr>
            </w:pPr>
            <w:r>
              <w:rPr>
                <w:rFonts w:ascii="Courier New" w:cs="Courier New" w:eastAsia="Courier New" w:hAnsi="Courier New"/>
                <w:sz w:val="16"/>
                <w:szCs w:val="16"/>
                <w:color w:val="auto"/>
              </w:rPr>
              <w:t>Condensed</w:t>
            </w:r>
          </w:p>
        </w:tc>
        <w:tc>
          <w:tcPr>
            <w:tcW w:w="4240" w:type="dxa"/>
            <w:vAlign w:val="bottom"/>
          </w:tcPr>
          <w:p>
            <w:pPr>
              <w:ind w:left="60"/>
              <w:spacing w:after="0"/>
              <w:rPr>
                <w:sz w:val="20"/>
                <w:szCs w:val="20"/>
                <w:color w:val="auto"/>
              </w:rPr>
            </w:pPr>
            <w:r>
              <w:rPr>
                <w:rFonts w:ascii="Courier New" w:cs="Courier New" w:eastAsia="Courier New" w:hAnsi="Courier New"/>
                <w:sz w:val="16"/>
                <w:szCs w:val="16"/>
                <w:color w:val="auto"/>
              </w:rPr>
              <w:t>Statements of Cash Flows for the six</w:t>
            </w:r>
          </w:p>
        </w:tc>
        <w:tc>
          <w:tcPr>
            <w:tcW w:w="840" w:type="dxa"/>
            <w:vAlign w:val="bottom"/>
          </w:tcPr>
          <w:p>
            <w:pPr>
              <w:spacing w:after="0"/>
              <w:rPr>
                <w:sz w:val="24"/>
                <w:szCs w:val="24"/>
                <w:color w:val="auto"/>
              </w:rPr>
            </w:pPr>
          </w:p>
        </w:tc>
      </w:tr>
      <w:tr>
        <w:trPr>
          <w:trHeight w:val="190"/>
        </w:trPr>
        <w:tc>
          <w:tcPr>
            <w:tcW w:w="596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months ended June 30, 1998 and 1997</w:t>
            </w: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w:t>
            </w:r>
          </w:p>
        </w:tc>
      </w:tr>
      <w:tr>
        <w:trPr>
          <w:trHeight w:val="379"/>
        </w:trPr>
        <w:tc>
          <w:tcPr>
            <w:tcW w:w="59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Notes to Condensed Financial Statements</w:t>
            </w: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w:t>
            </w:r>
          </w:p>
        </w:tc>
      </w:tr>
      <w:tr>
        <w:trPr>
          <w:trHeight w:val="379"/>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Item 2. Management's Discussion and Analysis of Financial</w:t>
            </w:r>
          </w:p>
        </w:tc>
        <w:tc>
          <w:tcPr>
            <w:tcW w:w="840" w:type="dxa"/>
            <w:vAlign w:val="bottom"/>
          </w:tcPr>
          <w:p>
            <w:pPr>
              <w:spacing w:after="0"/>
              <w:rPr>
                <w:sz w:val="24"/>
                <w:szCs w:val="24"/>
                <w:color w:val="auto"/>
              </w:rPr>
            </w:pPr>
          </w:p>
        </w:tc>
      </w:tr>
      <w:tr>
        <w:trPr>
          <w:trHeight w:val="190"/>
        </w:trPr>
        <w:tc>
          <w:tcPr>
            <w:tcW w:w="596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Condition and Results of Operations</w:t>
            </w: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w:t>
            </w:r>
          </w:p>
        </w:tc>
      </w:tr>
      <w:tr>
        <w:trPr>
          <w:trHeight w:val="569"/>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Part II. Other Information</w:t>
            </w:r>
          </w:p>
        </w:tc>
        <w:tc>
          <w:tcPr>
            <w:tcW w:w="840" w:type="dxa"/>
            <w:vAlign w:val="bottom"/>
          </w:tcPr>
          <w:p>
            <w:pPr>
              <w:spacing w:after="0"/>
              <w:rPr>
                <w:sz w:val="24"/>
                <w:szCs w:val="24"/>
                <w:color w:val="auto"/>
              </w:rPr>
            </w:pPr>
          </w:p>
        </w:tc>
      </w:tr>
      <w:tr>
        <w:trPr>
          <w:trHeight w:val="379"/>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Item 4. Submission of Matters to a Vote of Security Holders</w:t>
            </w: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13</w:t>
            </w:r>
          </w:p>
        </w:tc>
      </w:tr>
      <w:tr>
        <w:trPr>
          <w:trHeight w:val="379"/>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Item 5. Other Information</w:t>
            </w: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13</w:t>
            </w:r>
          </w:p>
        </w:tc>
      </w:tr>
      <w:tr>
        <w:trPr>
          <w:trHeight w:val="379"/>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Item 6. Exhibits and Reports on Form 8-K</w:t>
            </w: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13</w:t>
            </w:r>
          </w:p>
        </w:tc>
      </w:tr>
      <w:tr>
        <w:trPr>
          <w:trHeight w:val="379"/>
        </w:trPr>
        <w:tc>
          <w:tcPr>
            <w:tcW w:w="1720" w:type="dxa"/>
            <w:vAlign w:val="bottom"/>
          </w:tcPr>
          <w:p>
            <w:pPr>
              <w:spacing w:after="0"/>
              <w:rPr>
                <w:sz w:val="20"/>
                <w:szCs w:val="20"/>
                <w:color w:val="auto"/>
              </w:rPr>
            </w:pPr>
            <w:r>
              <w:rPr>
                <w:rFonts w:ascii="Courier New" w:cs="Courier New" w:eastAsia="Courier New" w:hAnsi="Courier New"/>
                <w:sz w:val="16"/>
                <w:szCs w:val="16"/>
                <w:color w:val="auto"/>
              </w:rPr>
              <w:t>Signatures</w:t>
            </w:r>
          </w:p>
        </w:tc>
        <w:tc>
          <w:tcPr>
            <w:tcW w:w="4240" w:type="dxa"/>
            <w:vAlign w:val="bottom"/>
          </w:tcPr>
          <w:p>
            <w:pPr>
              <w:spacing w:after="0"/>
              <w:rPr>
                <w:sz w:val="24"/>
                <w:szCs w:val="24"/>
                <w:color w:val="auto"/>
              </w:rPr>
            </w:pP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14</w:t>
            </w:r>
          </w:p>
        </w:tc>
      </w:tr>
      <w:tr>
        <w:trPr>
          <w:trHeight w:val="379"/>
        </w:trPr>
        <w:tc>
          <w:tcPr>
            <w:tcW w:w="1720" w:type="dxa"/>
            <w:vAlign w:val="bottom"/>
          </w:tcPr>
          <w:p>
            <w:pPr>
              <w:spacing w:after="0"/>
              <w:rPr>
                <w:sz w:val="20"/>
                <w:szCs w:val="20"/>
                <w:color w:val="auto"/>
              </w:rPr>
            </w:pPr>
            <w:r>
              <w:rPr>
                <w:rFonts w:ascii="Courier New" w:cs="Courier New" w:eastAsia="Courier New" w:hAnsi="Courier New"/>
                <w:sz w:val="16"/>
                <w:szCs w:val="16"/>
                <w:color w:val="auto"/>
              </w:rPr>
              <w:t>Index To Exhibits</w:t>
            </w:r>
          </w:p>
        </w:tc>
        <w:tc>
          <w:tcPr>
            <w:tcW w:w="4240" w:type="dxa"/>
            <w:vAlign w:val="bottom"/>
          </w:tcPr>
          <w:p>
            <w:pPr>
              <w:spacing w:after="0"/>
              <w:rPr>
                <w:sz w:val="24"/>
                <w:szCs w:val="24"/>
                <w:color w:val="auto"/>
              </w:rPr>
            </w:pP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15</w:t>
            </w:r>
          </w:p>
        </w:tc>
      </w:tr>
    </w:tbl>
    <w:p>
      <w:pPr>
        <w:sectPr>
          <w:pgSz w:w="11900" w:h="16838" w:orient="portrait"/>
          <w:cols w:equalWidth="0" w:num="1">
            <w:col w:w="10219"/>
          </w:cols>
          <w:pgMar w:left="240" w:top="875" w:right="1440" w:bottom="1440" w:gutter="0" w:footer="0" w:header="0"/>
        </w:sectPr>
      </w:pPr>
    </w:p>
    <w:bookmarkStart w:id="2" w:name="page3"/>
    <w:bookmarkEnd w:id="2"/>
    <w:p>
      <w:pPr>
        <w:ind w:left="2760"/>
        <w:spacing w:after="0"/>
        <w:tabs>
          <w:tab w:leader="none" w:pos="3620" w:val="left"/>
        </w:tabs>
        <w:rPr>
          <w:sz w:val="20"/>
          <w:szCs w:val="20"/>
          <w:color w:val="auto"/>
        </w:rPr>
      </w:pPr>
      <w:r>
        <w:rPr>
          <w:rFonts w:ascii="Courier New" w:cs="Courier New" w:eastAsia="Courier New" w:hAnsi="Courier New"/>
          <w:sz w:val="16"/>
          <w:szCs w:val="16"/>
          <w:color w:val="auto"/>
        </w:rPr>
        <w:t>PART I.</w:t>
        <w:tab/>
        <w:t>FINANCIAL INFORMATION</w:t>
      </w:r>
    </w:p>
    <w:p>
      <w:pPr>
        <w:spacing w:after="0" w:line="198" w:lineRule="exact"/>
        <w:rPr>
          <w:sz w:val="20"/>
          <w:szCs w:val="20"/>
          <w:color w:val="auto"/>
        </w:rPr>
      </w:pPr>
    </w:p>
    <w:p>
      <w:pPr>
        <w:ind w:left="2760" w:right="4499" w:firstLine="396"/>
        <w:spacing w:after="0" w:line="251" w:lineRule="auto"/>
        <w:tabs>
          <w:tab w:leader="none" w:pos="345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Condensed Statements of Income</w:t>
      </w:r>
    </w:p>
    <w:p>
      <w:pPr>
        <w:ind w:left="36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40"/>
        <w:spacing w:after="0"/>
        <w:tabs>
          <w:tab w:leader="none" w:pos="6780" w:val="left"/>
        </w:tabs>
        <w:rPr>
          <w:sz w:val="20"/>
          <w:szCs w:val="20"/>
          <w:color w:val="auto"/>
        </w:rPr>
      </w:pPr>
      <w:r>
        <w:rPr>
          <w:rFonts w:ascii="Courier New" w:cs="Courier New" w:eastAsia="Courier New" w:hAnsi="Courier New"/>
          <w:sz w:val="16"/>
          <w:szCs w:val="16"/>
          <w:color w:val="auto"/>
        </w:rPr>
        <w:t>Three Months Ended</w:t>
      </w:r>
      <w:r>
        <w:rPr>
          <w:sz w:val="20"/>
          <w:szCs w:val="20"/>
          <w:color w:val="auto"/>
        </w:rPr>
        <w:tab/>
      </w:r>
      <w:r>
        <w:rPr>
          <w:rFonts w:ascii="Courier New" w:cs="Courier New" w:eastAsia="Courier New" w:hAnsi="Courier New"/>
          <w:sz w:val="16"/>
          <w:szCs w:val="16"/>
          <w:color w:val="auto"/>
        </w:rPr>
        <w:t>Six Months Ended</w:t>
      </w:r>
    </w:p>
    <w:p>
      <w:pPr>
        <w:spacing w:after="0" w:line="8" w:lineRule="exact"/>
        <w:rPr>
          <w:sz w:val="20"/>
          <w:szCs w:val="20"/>
          <w:color w:val="auto"/>
        </w:rPr>
      </w:pPr>
    </w:p>
    <w:p>
      <w:pPr>
        <w:ind w:left="5120"/>
        <w:spacing w:after="0"/>
        <w:tabs>
          <w:tab w:leader="none" w:pos="7180" w:val="left"/>
        </w:tabs>
        <w:rPr>
          <w:sz w:val="20"/>
          <w:szCs w:val="20"/>
          <w:color w:val="auto"/>
        </w:rPr>
      </w:pPr>
      <w:r>
        <w:rPr>
          <w:rFonts w:ascii="Courier New" w:cs="Courier New" w:eastAsia="Courier New" w:hAnsi="Courier New"/>
          <w:sz w:val="16"/>
          <w:szCs w:val="16"/>
          <w:color w:val="auto"/>
        </w:rPr>
        <w:t>June 30,</w:t>
      </w:r>
      <w:r>
        <w:rPr>
          <w:sz w:val="20"/>
          <w:szCs w:val="20"/>
          <w:color w:val="auto"/>
        </w:rPr>
        <w:tab/>
      </w:r>
      <w:r>
        <w:rPr>
          <w:rFonts w:ascii="Courier New" w:cs="Courier New" w:eastAsia="Courier New" w:hAnsi="Courier New"/>
          <w:sz w:val="16"/>
          <w:szCs w:val="16"/>
          <w:color w:val="auto"/>
        </w:rPr>
        <w:t>June 30,</w:t>
      </w:r>
    </w:p>
    <w:p>
      <w:pPr>
        <w:spacing w:after="0" w:line="8" w:lineRule="exact"/>
        <w:rPr>
          <w:sz w:val="20"/>
          <w:szCs w:val="20"/>
          <w:color w:val="auto"/>
        </w:rPr>
      </w:pPr>
    </w:p>
    <w:p>
      <w:pPr>
        <w:spacing w:after="0"/>
        <w:tabs>
          <w:tab w:leader="none" w:pos="4820" w:val="left"/>
          <w:tab w:leader="none" w:pos="5800" w:val="left"/>
          <w:tab w:leader="none" w:pos="6980" w:val="left"/>
          <w:tab w:leader="none" w:pos="7960" w:val="left"/>
        </w:tabs>
        <w:rPr>
          <w:sz w:val="20"/>
          <w:szCs w:val="20"/>
          <w:color w:val="auto"/>
        </w:rPr>
      </w:pPr>
      <w:r>
        <w:rPr>
          <w:rFonts w:ascii="Courier New" w:cs="Courier New" w:eastAsia="Courier New" w:hAnsi="Courier New"/>
          <w:sz w:val="16"/>
          <w:szCs w:val="16"/>
          <w:color w:val="auto"/>
        </w:rPr>
        <w:t>Thousands of Dollars, Except Per Share Data</w:t>
      </w:r>
      <w:r>
        <w:rPr>
          <w:sz w:val="20"/>
          <w:szCs w:val="20"/>
          <w:color w:val="auto"/>
        </w:rPr>
        <w:tab/>
      </w:r>
      <w:r>
        <w:rPr>
          <w:rFonts w:ascii="Courier New" w:cs="Courier New" w:eastAsia="Courier New" w:hAnsi="Courier New"/>
          <w:sz w:val="16"/>
          <w:szCs w:val="16"/>
          <w:color w:val="auto"/>
        </w:rPr>
        <w:t>1998</w:t>
      </w:r>
      <w:r>
        <w:rPr>
          <w:sz w:val="20"/>
          <w:szCs w:val="20"/>
          <w:color w:val="auto"/>
        </w:rPr>
        <w:tab/>
      </w:r>
      <w:r>
        <w:rPr>
          <w:rFonts w:ascii="Courier New" w:cs="Courier New" w:eastAsia="Courier New" w:hAnsi="Courier New"/>
          <w:sz w:val="16"/>
          <w:szCs w:val="16"/>
          <w:color w:val="auto"/>
        </w:rPr>
        <w:t>1997</w:t>
      </w:r>
      <w:r>
        <w:rPr>
          <w:sz w:val="20"/>
          <w:szCs w:val="20"/>
          <w:color w:val="auto"/>
        </w:rPr>
        <w:tab/>
      </w:r>
      <w:r>
        <w:rPr>
          <w:rFonts w:ascii="Courier New" w:cs="Courier New" w:eastAsia="Courier New" w:hAnsi="Courier New"/>
          <w:sz w:val="16"/>
          <w:szCs w:val="16"/>
          <w:color w:val="auto"/>
        </w:rPr>
        <w:t>1998</w:t>
      </w:r>
      <w:r>
        <w:rPr>
          <w:sz w:val="20"/>
          <w:szCs w:val="20"/>
          <w:color w:val="auto"/>
        </w:rPr>
        <w:tab/>
      </w:r>
      <w:r>
        <w:rPr>
          <w:rFonts w:ascii="Courier New" w:cs="Courier New" w:eastAsia="Courier New" w:hAnsi="Courier New"/>
          <w:sz w:val="16"/>
          <w:szCs w:val="16"/>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5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7"/>
              </w:rPr>
              <w:t>19,674</w:t>
            </w:r>
          </w:p>
        </w:tc>
        <w:tc>
          <w:tcPr>
            <w:tcW w:w="3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20,964</w:t>
            </w:r>
          </w:p>
        </w:tc>
        <w:tc>
          <w:tcPr>
            <w:tcW w:w="12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$ 40,560</w:t>
            </w:r>
          </w:p>
        </w:tc>
        <w:tc>
          <w:tcPr>
            <w:tcW w:w="240" w:type="dxa"/>
            <w:vAlign w:val="bottom"/>
          </w:tcPr>
          <w:p>
            <w:pPr>
              <w:jc w:val="right"/>
              <w:ind w:right="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41,283</w:t>
            </w:r>
          </w:p>
        </w:tc>
      </w:tr>
      <w:tr>
        <w:trPr>
          <w:trHeight w:val="190"/>
        </w:trPr>
        <w:tc>
          <w:tcPr>
            <w:tcW w:w="410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5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7"/>
              </w:rPr>
              <w:t>13,563</w:t>
            </w:r>
          </w:p>
        </w:tc>
        <w:tc>
          <w:tcPr>
            <w:tcW w:w="34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14,307</w:t>
            </w:r>
          </w:p>
        </w:tc>
        <w:tc>
          <w:tcPr>
            <w:tcW w:w="4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27,740</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28,145</w:t>
            </w:r>
          </w:p>
        </w:tc>
      </w:tr>
      <w:tr>
        <w:trPr>
          <w:trHeight w:val="190"/>
        </w:trPr>
        <w:tc>
          <w:tcPr>
            <w:tcW w:w="4100" w:type="dxa"/>
            <w:vAlign w:val="bottom"/>
          </w:tcPr>
          <w:p>
            <w:pPr>
              <w:spacing w:after="0"/>
              <w:rPr>
                <w:sz w:val="16"/>
                <w:szCs w:val="16"/>
                <w:color w:val="auto"/>
              </w:rPr>
            </w:pPr>
          </w:p>
        </w:tc>
        <w:tc>
          <w:tcPr>
            <w:tcW w:w="12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4100" w:type="dxa"/>
            <w:vAlign w:val="bottom"/>
          </w:tcPr>
          <w:p>
            <w:pPr>
              <w:ind w:left="100"/>
              <w:spacing w:after="0"/>
              <w:rPr>
                <w:sz w:val="20"/>
                <w:szCs w:val="20"/>
                <w:color w:val="auto"/>
              </w:rPr>
            </w:pPr>
            <w:r>
              <w:rPr>
                <w:rFonts w:ascii="Courier New" w:cs="Courier New" w:eastAsia="Courier New" w:hAnsi="Courier New"/>
                <w:sz w:val="16"/>
                <w:szCs w:val="16"/>
                <w:color w:val="auto"/>
              </w:rPr>
              <w:t>Gross profit</w:t>
            </w:r>
          </w:p>
        </w:tc>
        <w:tc>
          <w:tcPr>
            <w:tcW w:w="5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6,111</w:t>
            </w:r>
          </w:p>
        </w:tc>
        <w:tc>
          <w:tcPr>
            <w:tcW w:w="34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6,657</w:t>
            </w:r>
          </w:p>
        </w:tc>
        <w:tc>
          <w:tcPr>
            <w:tcW w:w="4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12,820</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13,138</w:t>
            </w:r>
          </w:p>
        </w:tc>
      </w:tr>
      <w:tr>
        <w:trPr>
          <w:trHeight w:val="379"/>
        </w:trPr>
        <w:tc>
          <w:tcPr>
            <w:tcW w:w="410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540" w:type="dxa"/>
            <w:vAlign w:val="bottom"/>
          </w:tcPr>
          <w:p>
            <w:pPr>
              <w:spacing w:after="0"/>
              <w:rPr>
                <w:sz w:val="24"/>
                <w:szCs w:val="24"/>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1,530</w:t>
            </w:r>
          </w:p>
        </w:tc>
        <w:tc>
          <w:tcPr>
            <w:tcW w:w="340" w:type="dxa"/>
            <w:vAlign w:val="bottom"/>
          </w:tcPr>
          <w:p>
            <w:pPr>
              <w:spacing w:after="0"/>
              <w:rPr>
                <w:sz w:val="24"/>
                <w:szCs w:val="24"/>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1,227</w:t>
            </w:r>
          </w:p>
        </w:tc>
        <w:tc>
          <w:tcPr>
            <w:tcW w:w="460" w:type="dxa"/>
            <w:vAlign w:val="bottom"/>
          </w:tcPr>
          <w:p>
            <w:pPr>
              <w:spacing w:after="0"/>
              <w:rPr>
                <w:sz w:val="24"/>
                <w:szCs w:val="24"/>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2,834</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2,532</w:t>
            </w:r>
          </w:p>
        </w:tc>
      </w:tr>
      <w:tr>
        <w:trPr>
          <w:trHeight w:val="190"/>
        </w:trPr>
        <w:tc>
          <w:tcPr>
            <w:tcW w:w="410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5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1,179</w:t>
            </w:r>
          </w:p>
        </w:tc>
        <w:tc>
          <w:tcPr>
            <w:tcW w:w="34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1,052</w:t>
            </w:r>
          </w:p>
        </w:tc>
        <w:tc>
          <w:tcPr>
            <w:tcW w:w="4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2,338</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2,104</w:t>
            </w:r>
          </w:p>
        </w:tc>
      </w:tr>
      <w:tr>
        <w:trPr>
          <w:trHeight w:val="190"/>
        </w:trPr>
        <w:tc>
          <w:tcPr>
            <w:tcW w:w="4100" w:type="dxa"/>
            <w:vAlign w:val="bottom"/>
          </w:tcPr>
          <w:p>
            <w:pPr>
              <w:spacing w:after="0"/>
              <w:rPr>
                <w:sz w:val="16"/>
                <w:szCs w:val="16"/>
                <w:color w:val="auto"/>
              </w:rPr>
            </w:pPr>
          </w:p>
        </w:tc>
        <w:tc>
          <w:tcPr>
            <w:tcW w:w="12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410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5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3,402</w:t>
            </w:r>
          </w:p>
        </w:tc>
        <w:tc>
          <w:tcPr>
            <w:tcW w:w="34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4,378</w:t>
            </w:r>
          </w:p>
        </w:tc>
        <w:tc>
          <w:tcPr>
            <w:tcW w:w="4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7,648</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8,502</w:t>
            </w:r>
          </w:p>
        </w:tc>
      </w:tr>
      <w:tr>
        <w:trPr>
          <w:trHeight w:val="379"/>
        </w:trPr>
        <w:tc>
          <w:tcPr>
            <w:tcW w:w="41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540" w:type="dxa"/>
            <w:vAlign w:val="bottom"/>
          </w:tcPr>
          <w:p>
            <w:pPr>
              <w:spacing w:after="0"/>
              <w:rPr>
                <w:sz w:val="24"/>
                <w:szCs w:val="24"/>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w:t>
            </w:r>
          </w:p>
        </w:tc>
        <w:tc>
          <w:tcPr>
            <w:tcW w:w="340" w:type="dxa"/>
            <w:vAlign w:val="bottom"/>
          </w:tcPr>
          <w:p>
            <w:pPr>
              <w:spacing w:after="0"/>
              <w:rPr>
                <w:sz w:val="24"/>
                <w:szCs w:val="24"/>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24"/>
                <w:szCs w:val="24"/>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33</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90"/>
        </w:trPr>
        <w:tc>
          <w:tcPr>
            <w:tcW w:w="4100" w:type="dxa"/>
            <w:vAlign w:val="bottom"/>
          </w:tcPr>
          <w:p>
            <w:pPr>
              <w:spacing w:after="0"/>
              <w:rPr>
                <w:sz w:val="16"/>
                <w:szCs w:val="16"/>
                <w:color w:val="auto"/>
              </w:rPr>
            </w:pPr>
          </w:p>
        </w:tc>
        <w:tc>
          <w:tcPr>
            <w:tcW w:w="12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410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 taxes</w:t>
            </w:r>
          </w:p>
        </w:tc>
        <w:tc>
          <w:tcPr>
            <w:tcW w:w="5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3,384</w:t>
            </w:r>
          </w:p>
        </w:tc>
        <w:tc>
          <w:tcPr>
            <w:tcW w:w="34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4,378</w:t>
            </w:r>
          </w:p>
        </w:tc>
        <w:tc>
          <w:tcPr>
            <w:tcW w:w="4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7,615</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8,483</w:t>
            </w:r>
          </w:p>
        </w:tc>
      </w:tr>
      <w:tr>
        <w:trPr>
          <w:trHeight w:val="190"/>
        </w:trPr>
        <w:tc>
          <w:tcPr>
            <w:tcW w:w="410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5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1,060</w:t>
            </w:r>
          </w:p>
        </w:tc>
        <w:tc>
          <w:tcPr>
            <w:tcW w:w="34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1,646</w:t>
            </w:r>
          </w:p>
        </w:tc>
        <w:tc>
          <w:tcPr>
            <w:tcW w:w="4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2,624</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3,112</w:t>
            </w:r>
          </w:p>
        </w:tc>
      </w:tr>
      <w:tr>
        <w:trPr>
          <w:trHeight w:val="190"/>
        </w:trPr>
        <w:tc>
          <w:tcPr>
            <w:tcW w:w="4100" w:type="dxa"/>
            <w:vAlign w:val="bottom"/>
          </w:tcPr>
          <w:p>
            <w:pPr>
              <w:spacing w:after="0"/>
              <w:rPr>
                <w:sz w:val="16"/>
                <w:szCs w:val="16"/>
                <w:color w:val="auto"/>
              </w:rPr>
            </w:pPr>
          </w:p>
        </w:tc>
        <w:tc>
          <w:tcPr>
            <w:tcW w:w="12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4100" w:type="dxa"/>
            <w:vAlign w:val="bottom"/>
          </w:tcPr>
          <w:p>
            <w:pPr>
              <w:ind w:left="100"/>
              <w:spacing w:after="0"/>
              <w:rPr>
                <w:sz w:val="20"/>
                <w:szCs w:val="20"/>
                <w:color w:val="auto"/>
              </w:rPr>
            </w:pPr>
            <w:r>
              <w:rPr>
                <w:rFonts w:ascii="Courier New" w:cs="Courier New" w:eastAsia="Courier New" w:hAnsi="Courier New"/>
                <w:sz w:val="16"/>
                <w:szCs w:val="16"/>
                <w:color w:val="auto"/>
              </w:rPr>
              <w:t>Net income</w:t>
            </w:r>
          </w:p>
        </w:tc>
        <w:tc>
          <w:tcPr>
            <w:tcW w:w="5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2,324</w:t>
            </w:r>
          </w:p>
        </w:tc>
        <w:tc>
          <w:tcPr>
            <w:tcW w:w="3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2,732</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4,991</w:t>
            </w:r>
          </w:p>
        </w:tc>
        <w:tc>
          <w:tcPr>
            <w:tcW w:w="240" w:type="dxa"/>
            <w:vAlign w:val="bottom"/>
          </w:tcPr>
          <w:p>
            <w:pPr>
              <w:jc w:val="right"/>
              <w:ind w:right="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5,371</w:t>
            </w:r>
          </w:p>
        </w:tc>
      </w:tr>
      <w:tr>
        <w:trPr>
          <w:trHeight w:val="379"/>
        </w:trPr>
        <w:tc>
          <w:tcPr>
            <w:tcW w:w="4100" w:type="dxa"/>
            <w:vAlign w:val="bottom"/>
          </w:tcPr>
          <w:p>
            <w:pPr>
              <w:spacing w:after="0"/>
              <w:rPr>
                <w:sz w:val="20"/>
                <w:szCs w:val="20"/>
                <w:color w:val="auto"/>
              </w:rPr>
            </w:pPr>
            <w:r>
              <w:rPr>
                <w:rFonts w:ascii="Courier New" w:cs="Courier New" w:eastAsia="Courier New" w:hAnsi="Courier New"/>
                <w:sz w:val="16"/>
                <w:szCs w:val="16"/>
                <w:color w:val="auto"/>
              </w:rPr>
              <w:t>Other comprehensive income:</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0"/>
        </w:trPr>
        <w:tc>
          <w:tcPr>
            <w:tcW w:w="4100" w:type="dxa"/>
            <w:vAlign w:val="bottom"/>
          </w:tcPr>
          <w:p>
            <w:pPr>
              <w:ind w:left="100"/>
              <w:spacing w:after="0"/>
              <w:rPr>
                <w:sz w:val="20"/>
                <w:szCs w:val="20"/>
                <w:color w:val="auto"/>
              </w:rPr>
            </w:pPr>
            <w:r>
              <w:rPr>
                <w:rFonts w:ascii="Courier New" w:cs="Courier New" w:eastAsia="Courier New" w:hAnsi="Courier New"/>
                <w:sz w:val="16"/>
                <w:szCs w:val="16"/>
                <w:color w:val="auto"/>
              </w:rPr>
              <w:t>Foreign currency translation</w:t>
            </w:r>
          </w:p>
        </w:tc>
        <w:tc>
          <w:tcPr>
            <w:tcW w:w="5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72</w:t>
            </w:r>
          </w:p>
        </w:tc>
        <w:tc>
          <w:tcPr>
            <w:tcW w:w="34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100" w:type="dxa"/>
            <w:vAlign w:val="bottom"/>
          </w:tcPr>
          <w:p>
            <w:pPr>
              <w:spacing w:after="0"/>
              <w:rPr>
                <w:sz w:val="16"/>
                <w:szCs w:val="16"/>
                <w:color w:val="auto"/>
              </w:rPr>
            </w:pPr>
          </w:p>
        </w:tc>
        <w:tc>
          <w:tcPr>
            <w:tcW w:w="12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4100" w:type="dxa"/>
            <w:vAlign w:val="bottom"/>
          </w:tcPr>
          <w:p>
            <w:pPr>
              <w:ind w:left="100"/>
              <w:spacing w:after="0"/>
              <w:rPr>
                <w:sz w:val="20"/>
                <w:szCs w:val="20"/>
                <w:color w:val="auto"/>
              </w:rPr>
            </w:pPr>
            <w:r>
              <w:rPr>
                <w:rFonts w:ascii="Courier New" w:cs="Courier New" w:eastAsia="Courier New" w:hAnsi="Courier New"/>
                <w:sz w:val="16"/>
                <w:szCs w:val="16"/>
                <w:color w:val="auto"/>
              </w:rPr>
              <w:t>Other comprehensive income</w:t>
            </w:r>
          </w:p>
        </w:tc>
        <w:tc>
          <w:tcPr>
            <w:tcW w:w="5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72</w:t>
            </w:r>
          </w:p>
        </w:tc>
        <w:tc>
          <w:tcPr>
            <w:tcW w:w="34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100" w:type="dxa"/>
            <w:vAlign w:val="bottom"/>
          </w:tcPr>
          <w:p>
            <w:pPr>
              <w:spacing w:after="0"/>
              <w:rPr>
                <w:sz w:val="16"/>
                <w:szCs w:val="16"/>
                <w:color w:val="auto"/>
              </w:rPr>
            </w:pPr>
          </w:p>
        </w:tc>
        <w:tc>
          <w:tcPr>
            <w:tcW w:w="12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4100" w:type="dxa"/>
            <w:vAlign w:val="bottom"/>
          </w:tcPr>
          <w:p>
            <w:pPr>
              <w:ind w:left="100"/>
              <w:spacing w:after="0"/>
              <w:rPr>
                <w:sz w:val="20"/>
                <w:szCs w:val="20"/>
                <w:color w:val="auto"/>
              </w:rPr>
            </w:pPr>
            <w:r>
              <w:rPr>
                <w:rFonts w:ascii="Courier New" w:cs="Courier New" w:eastAsia="Courier New" w:hAnsi="Courier New"/>
                <w:sz w:val="16"/>
                <w:szCs w:val="16"/>
                <w:color w:val="auto"/>
              </w:rPr>
              <w:t>Comprehensive income</w:t>
            </w:r>
          </w:p>
        </w:tc>
        <w:tc>
          <w:tcPr>
            <w:tcW w:w="5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2,396</w:t>
            </w:r>
          </w:p>
        </w:tc>
        <w:tc>
          <w:tcPr>
            <w:tcW w:w="3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2,732</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4,802</w:t>
            </w:r>
          </w:p>
        </w:tc>
        <w:tc>
          <w:tcPr>
            <w:tcW w:w="240" w:type="dxa"/>
            <w:vAlign w:val="bottom"/>
          </w:tcPr>
          <w:p>
            <w:pPr>
              <w:jc w:val="right"/>
              <w:ind w:right="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5,371</w:t>
            </w:r>
          </w:p>
        </w:tc>
      </w:tr>
      <w:tr>
        <w:trPr>
          <w:trHeight w:val="190"/>
        </w:trPr>
        <w:tc>
          <w:tcPr>
            <w:tcW w:w="4100" w:type="dxa"/>
            <w:vAlign w:val="bottom"/>
          </w:tcPr>
          <w:p>
            <w:pPr>
              <w:spacing w:after="0"/>
              <w:rPr>
                <w:sz w:val="16"/>
                <w:szCs w:val="16"/>
                <w:color w:val="auto"/>
              </w:rPr>
            </w:pPr>
          </w:p>
        </w:tc>
        <w:tc>
          <w:tcPr>
            <w:tcW w:w="12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4100" w:type="dxa"/>
            <w:vAlign w:val="bottom"/>
          </w:tcPr>
          <w:p>
            <w:pPr>
              <w:spacing w:after="0"/>
              <w:rPr>
                <w:sz w:val="16"/>
                <w:szCs w:val="16"/>
                <w:color w:val="auto"/>
              </w:rPr>
            </w:pPr>
          </w:p>
        </w:tc>
        <w:tc>
          <w:tcPr>
            <w:tcW w:w="12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4100" w:type="dxa"/>
            <w:vAlign w:val="bottom"/>
          </w:tcPr>
          <w:p>
            <w:pPr>
              <w:spacing w:after="0"/>
              <w:rPr>
                <w:sz w:val="20"/>
                <w:szCs w:val="20"/>
                <w:color w:val="auto"/>
              </w:rPr>
            </w:pPr>
            <w:r>
              <w:rPr>
                <w:rFonts w:ascii="Courier New" w:cs="Courier New" w:eastAsia="Courier New" w:hAnsi="Courier New"/>
                <w:sz w:val="16"/>
                <w:szCs w:val="16"/>
                <w:color w:val="auto"/>
              </w:rPr>
              <w:t>Net income per common share (Note 3):</w:t>
            </w:r>
          </w:p>
        </w:tc>
        <w:tc>
          <w:tcPr>
            <w:tcW w:w="5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0.16</w:t>
            </w:r>
          </w:p>
        </w:tc>
        <w:tc>
          <w:tcPr>
            <w:tcW w:w="3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0.19</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0.34</w:t>
            </w:r>
          </w:p>
        </w:tc>
        <w:tc>
          <w:tcPr>
            <w:tcW w:w="240" w:type="dxa"/>
            <w:vAlign w:val="bottom"/>
          </w:tcPr>
          <w:p>
            <w:pPr>
              <w:jc w:val="right"/>
              <w:ind w:right="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0.37</w:t>
            </w:r>
          </w:p>
        </w:tc>
      </w:tr>
      <w:tr>
        <w:trPr>
          <w:trHeight w:val="190"/>
        </w:trPr>
        <w:tc>
          <w:tcPr>
            <w:tcW w:w="4100" w:type="dxa"/>
            <w:vAlign w:val="bottom"/>
          </w:tcPr>
          <w:p>
            <w:pPr>
              <w:spacing w:after="0"/>
              <w:rPr>
                <w:sz w:val="16"/>
                <w:szCs w:val="16"/>
                <w:color w:val="auto"/>
              </w:rPr>
            </w:pPr>
          </w:p>
        </w:tc>
        <w:tc>
          <w:tcPr>
            <w:tcW w:w="12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4100" w:type="dxa"/>
            <w:vAlign w:val="bottom"/>
          </w:tcPr>
          <w:p>
            <w:pPr>
              <w:spacing w:after="0"/>
              <w:rPr>
                <w:sz w:val="16"/>
                <w:szCs w:val="16"/>
                <w:color w:val="auto"/>
              </w:rPr>
            </w:pPr>
          </w:p>
        </w:tc>
        <w:tc>
          <w:tcPr>
            <w:tcW w:w="12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4100" w:type="dxa"/>
            <w:vAlign w:val="bottom"/>
          </w:tcPr>
          <w:p>
            <w:pPr>
              <w:spacing w:after="0"/>
              <w:rPr>
                <w:sz w:val="20"/>
                <w:szCs w:val="20"/>
                <w:color w:val="auto"/>
              </w:rPr>
            </w:pPr>
            <w:r>
              <w:rPr>
                <w:rFonts w:ascii="Courier New" w:cs="Courier New" w:eastAsia="Courier New" w:hAnsi="Courier New"/>
                <w:sz w:val="16"/>
                <w:szCs w:val="16"/>
                <w:color w:val="auto"/>
              </w:rPr>
              <w:t>Weighted average number of shares</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4100" w:type="dxa"/>
            <w:vAlign w:val="bottom"/>
          </w:tcPr>
          <w:p>
            <w:pPr>
              <w:spacing w:after="0"/>
              <w:rPr>
                <w:sz w:val="20"/>
                <w:szCs w:val="20"/>
                <w:color w:val="auto"/>
              </w:rPr>
            </w:pPr>
            <w:r>
              <w:rPr>
                <w:rFonts w:ascii="Courier New" w:cs="Courier New" w:eastAsia="Courier New" w:hAnsi="Courier New"/>
                <w:sz w:val="16"/>
                <w:szCs w:val="16"/>
                <w:color w:val="auto"/>
              </w:rPr>
              <w:t>outstanding (Note 3)</w:t>
            </w:r>
          </w:p>
        </w:tc>
        <w:tc>
          <w:tcPr>
            <w:tcW w:w="12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14,827,626</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14,712,626</w:t>
            </w:r>
          </w:p>
        </w:tc>
        <w:tc>
          <w:tcPr>
            <w:tcW w:w="12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14,810,770</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14,713,463</w:t>
            </w:r>
          </w:p>
        </w:tc>
      </w:tr>
      <w:tr>
        <w:trPr>
          <w:trHeight w:val="190"/>
        </w:trPr>
        <w:tc>
          <w:tcPr>
            <w:tcW w:w="4100" w:type="dxa"/>
            <w:vAlign w:val="bottom"/>
          </w:tcPr>
          <w:p>
            <w:pPr>
              <w:spacing w:after="0"/>
              <w:rPr>
                <w:sz w:val="16"/>
                <w:szCs w:val="16"/>
                <w:color w:val="auto"/>
              </w:rPr>
            </w:pPr>
          </w:p>
        </w:tc>
        <w:tc>
          <w:tcPr>
            <w:tcW w:w="12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4100" w:type="dxa"/>
            <w:vAlign w:val="bottom"/>
          </w:tcPr>
          <w:p>
            <w:pPr>
              <w:spacing w:after="0"/>
              <w:rPr>
                <w:sz w:val="16"/>
                <w:szCs w:val="16"/>
                <w:color w:val="auto"/>
              </w:rPr>
            </w:pPr>
          </w:p>
        </w:tc>
        <w:tc>
          <w:tcPr>
            <w:tcW w:w="12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See accompanying notes.</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5" w:right="1440" w:bottom="1440" w:gutter="0" w:footer="0" w:header="0"/>
        </w:sectPr>
      </w:pPr>
    </w:p>
    <w:bookmarkStart w:id="3" w:name="page4"/>
    <w:bookmarkEnd w:id="3"/>
    <w:p>
      <w:pPr>
        <w:ind w:left="3060" w:right="4799" w:firstLine="96"/>
        <w:spacing w:after="0" w:line="255" w:lineRule="auto"/>
        <w:tabs>
          <w:tab w:leader="none" w:pos="345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Condensed Balance Sheets</w:t>
      </w:r>
    </w:p>
    <w:p>
      <w:pPr>
        <w:sectPr>
          <w:pgSz w:w="11900" w:h="16838" w:orient="portrait"/>
          <w:cols w:equalWidth="0" w:num="1">
            <w:col w:w="10219"/>
          </w:cols>
          <w:pgMar w:left="240" w:top="8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June 30,</w:t>
      </w:r>
    </w:p>
    <w:p>
      <w:pPr>
        <w:spacing w:after="0" w:line="8" w:lineRule="exact"/>
        <w:rPr>
          <w:sz w:val="20"/>
          <w:szCs w:val="20"/>
          <w:color w:val="auto"/>
        </w:rPr>
      </w:pPr>
    </w:p>
    <w:p>
      <w:pPr>
        <w:ind w:left="5220"/>
        <w:spacing w:after="0"/>
        <w:rPr>
          <w:sz w:val="20"/>
          <w:szCs w:val="20"/>
          <w:color w:val="auto"/>
        </w:rPr>
      </w:pPr>
      <w:r>
        <w:rPr>
          <w:rFonts w:ascii="Courier New" w:cs="Courier New" w:eastAsia="Courier New" w:hAnsi="Courier New"/>
          <w:sz w:val="16"/>
          <w:szCs w:val="16"/>
          <w:color w:val="auto"/>
        </w:rPr>
        <w:t>1998</w:t>
      </w:r>
    </w:p>
    <w:p>
      <w:pPr>
        <w:spacing w:after="0" w:line="8" w:lineRule="exact"/>
        <w:rPr>
          <w:sz w:val="20"/>
          <w:szCs w:val="20"/>
          <w:color w:val="auto"/>
        </w:rPr>
      </w:pPr>
    </w:p>
    <w:p>
      <w:pPr>
        <w:spacing w:after="0"/>
        <w:tabs>
          <w:tab w:leader="none" w:pos="4920" w:val="left"/>
        </w:tabs>
        <w:rPr>
          <w:sz w:val="20"/>
          <w:szCs w:val="20"/>
          <w:color w:val="auto"/>
        </w:rPr>
      </w:pPr>
      <w:r>
        <w:rPr>
          <w:rFonts w:ascii="Courier New" w:cs="Courier New" w:eastAsia="Courier New" w:hAnsi="Courier New"/>
          <w:sz w:val="16"/>
          <w:szCs w:val="16"/>
          <w:color w:val="auto"/>
        </w:rPr>
        <w:t>Thousands of Dollars</w:t>
      </w:r>
      <w:r>
        <w:rPr>
          <w:sz w:val="20"/>
          <w:szCs w:val="20"/>
          <w:color w:val="auto"/>
        </w:rPr>
        <w:tab/>
      </w:r>
      <w:r>
        <w:rPr>
          <w:rFonts w:ascii="Courier New" w:cs="Courier New" w:eastAsia="Courier New" w:hAnsi="Courier New"/>
          <w:sz w:val="16"/>
          <w:szCs w:val="16"/>
          <w:color w:val="auto"/>
        </w:rPr>
        <w:t>(Unaudited)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1997</w:t>
      </w:r>
    </w:p>
    <w:p>
      <w:pPr>
        <w:spacing w:after="0" w:line="197" w:lineRule="exact"/>
        <w:rPr>
          <w:sz w:val="20"/>
          <w:szCs w:val="20"/>
          <w:color w:val="auto"/>
        </w:rPr>
      </w:pPr>
    </w:p>
    <w:p>
      <w:pPr>
        <w:sectPr>
          <w:pgSz w:w="11900" w:h="16838" w:orient="portrait"/>
          <w:cols w:equalWidth="0" w:num="2">
            <w:col w:w="6020" w:space="480"/>
            <w:col w:w="3719"/>
          </w:cols>
          <w:pgMar w:left="240" w:top="87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46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4680" w:type="dxa"/>
            <w:vAlign w:val="bottom"/>
          </w:tcPr>
          <w:p>
            <w:pPr>
              <w:ind w:left="100"/>
              <w:spacing w:after="0"/>
              <w:rPr>
                <w:sz w:val="20"/>
                <w:szCs w:val="20"/>
                <w:color w:val="auto"/>
              </w:rPr>
            </w:pPr>
            <w:r>
              <w:rPr>
                <w:rFonts w:ascii="Courier New" w:cs="Courier New" w:eastAsia="Courier New" w:hAnsi="Courier New"/>
                <w:sz w:val="16"/>
                <w:szCs w:val="16"/>
                <w:color w:val="auto"/>
              </w:rPr>
              <w:t>Cash and cash equivalents</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1,216</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366</w:t>
            </w:r>
          </w:p>
        </w:tc>
      </w:tr>
      <w:tr>
        <w:trPr>
          <w:trHeight w:val="190"/>
        </w:trPr>
        <w:tc>
          <w:tcPr>
            <w:tcW w:w="4680" w:type="dxa"/>
            <w:vAlign w:val="bottom"/>
          </w:tcPr>
          <w:p>
            <w:pPr>
              <w:ind w:left="100"/>
              <w:spacing w:after="0"/>
              <w:rPr>
                <w:sz w:val="20"/>
                <w:szCs w:val="20"/>
                <w:color w:val="auto"/>
              </w:rPr>
            </w:pPr>
            <w:r>
              <w:rPr>
                <w:rFonts w:ascii="Courier New" w:cs="Courier New" w:eastAsia="Courier New" w:hAnsi="Courier New"/>
                <w:sz w:val="16"/>
                <w:szCs w:val="16"/>
                <w:color w:val="auto"/>
              </w:rPr>
              <w:t>Accounts receivable, net</w:t>
            </w:r>
          </w:p>
        </w:tc>
        <w:tc>
          <w:tcPr>
            <w:tcW w:w="540" w:type="dxa"/>
            <w:vAlign w:val="bottom"/>
          </w:tcPr>
          <w:p>
            <w:pPr>
              <w:spacing w:after="0"/>
              <w:rPr>
                <w:sz w:val="16"/>
                <w:szCs w:val="16"/>
                <w:color w:val="auto"/>
              </w:rPr>
            </w:pP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16,822</w:t>
            </w:r>
          </w:p>
        </w:tc>
        <w:tc>
          <w:tcPr>
            <w:tcW w:w="5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12,449</w:t>
            </w:r>
          </w:p>
        </w:tc>
      </w:tr>
      <w:tr>
        <w:trPr>
          <w:trHeight w:val="190"/>
        </w:trPr>
        <w:tc>
          <w:tcPr>
            <w:tcW w:w="4680" w:type="dxa"/>
            <w:vAlign w:val="bottom"/>
          </w:tcPr>
          <w:p>
            <w:pPr>
              <w:ind w:left="100"/>
              <w:spacing w:after="0"/>
              <w:rPr>
                <w:sz w:val="20"/>
                <w:szCs w:val="20"/>
                <w:color w:val="auto"/>
              </w:rPr>
            </w:pPr>
            <w:r>
              <w:rPr>
                <w:rFonts w:ascii="Courier New" w:cs="Courier New" w:eastAsia="Courier New" w:hAnsi="Courier New"/>
                <w:sz w:val="16"/>
                <w:szCs w:val="16"/>
                <w:color w:val="auto"/>
              </w:rPr>
              <w:t>Inventories, net  (Note 2)</w:t>
            </w:r>
          </w:p>
        </w:tc>
        <w:tc>
          <w:tcPr>
            <w:tcW w:w="540" w:type="dxa"/>
            <w:vAlign w:val="bottom"/>
          </w:tcPr>
          <w:p>
            <w:pPr>
              <w:spacing w:after="0"/>
              <w:rPr>
                <w:sz w:val="16"/>
                <w:szCs w:val="16"/>
                <w:color w:val="auto"/>
              </w:rPr>
            </w:pP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12,245</w:t>
            </w:r>
          </w:p>
        </w:tc>
        <w:tc>
          <w:tcPr>
            <w:tcW w:w="5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11,865</w:t>
            </w:r>
          </w:p>
        </w:tc>
      </w:tr>
      <w:tr>
        <w:trPr>
          <w:trHeight w:val="190"/>
        </w:trPr>
        <w:tc>
          <w:tcPr>
            <w:tcW w:w="4680" w:type="dxa"/>
            <w:vAlign w:val="bottom"/>
          </w:tcPr>
          <w:p>
            <w:pPr>
              <w:ind w:left="100"/>
              <w:spacing w:after="0"/>
              <w:rPr>
                <w:sz w:val="20"/>
                <w:szCs w:val="20"/>
                <w:color w:val="auto"/>
              </w:rPr>
            </w:pPr>
            <w:r>
              <w:rPr>
                <w:rFonts w:ascii="Courier New" w:cs="Courier New" w:eastAsia="Courier New" w:hAnsi="Courier New"/>
                <w:sz w:val="16"/>
                <w:szCs w:val="16"/>
                <w:color w:val="auto"/>
              </w:rPr>
              <w:t>Other current assets</w:t>
            </w:r>
          </w:p>
        </w:tc>
        <w:tc>
          <w:tcPr>
            <w:tcW w:w="540" w:type="dxa"/>
            <w:vAlign w:val="bottom"/>
          </w:tcPr>
          <w:p>
            <w:pPr>
              <w:spacing w:after="0"/>
              <w:rPr>
                <w:sz w:val="16"/>
                <w:szCs w:val="16"/>
                <w:color w:val="auto"/>
              </w:rPr>
            </w:pP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1,332</w:t>
            </w:r>
          </w:p>
        </w:tc>
        <w:tc>
          <w:tcPr>
            <w:tcW w:w="5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1,505</w:t>
            </w:r>
          </w:p>
        </w:tc>
      </w:tr>
      <w:tr>
        <w:trPr>
          <w:trHeight w:val="190"/>
        </w:trPr>
        <w:tc>
          <w:tcPr>
            <w:tcW w:w="4680" w:type="dxa"/>
            <w:vAlign w:val="bottom"/>
          </w:tcPr>
          <w:p>
            <w:pPr>
              <w:spacing w:after="0"/>
              <w:rPr>
                <w:sz w:val="16"/>
                <w:szCs w:val="16"/>
                <w:color w:val="auto"/>
              </w:rPr>
            </w:pPr>
          </w:p>
        </w:tc>
        <w:tc>
          <w:tcPr>
            <w:tcW w:w="14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680" w:type="dxa"/>
            <w:vAlign w:val="bottom"/>
          </w:tcPr>
          <w:p>
            <w:pPr>
              <w:ind w:left="200"/>
              <w:spacing w:after="0"/>
              <w:rPr>
                <w:sz w:val="20"/>
                <w:szCs w:val="20"/>
                <w:color w:val="auto"/>
              </w:rPr>
            </w:pPr>
            <w:r>
              <w:rPr>
                <w:rFonts w:ascii="Courier New" w:cs="Courier New" w:eastAsia="Courier New" w:hAnsi="Courier New"/>
                <w:sz w:val="16"/>
                <w:szCs w:val="16"/>
                <w:color w:val="auto"/>
              </w:rPr>
              <w:t>Total current assets</w:t>
            </w:r>
          </w:p>
        </w:tc>
        <w:tc>
          <w:tcPr>
            <w:tcW w:w="540" w:type="dxa"/>
            <w:vAlign w:val="bottom"/>
          </w:tcPr>
          <w:p>
            <w:pPr>
              <w:spacing w:after="0"/>
              <w:rPr>
                <w:sz w:val="16"/>
                <w:szCs w:val="16"/>
                <w:color w:val="auto"/>
              </w:rPr>
            </w:pP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31,615</w:t>
            </w:r>
          </w:p>
        </w:tc>
        <w:tc>
          <w:tcPr>
            <w:tcW w:w="5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26,185</w:t>
            </w:r>
          </w:p>
        </w:tc>
      </w:tr>
      <w:tr>
        <w:trPr>
          <w:trHeight w:val="379"/>
        </w:trPr>
        <w:tc>
          <w:tcPr>
            <w:tcW w:w="468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540" w:type="dxa"/>
            <w:vAlign w:val="bottom"/>
          </w:tcPr>
          <w:p>
            <w:pPr>
              <w:spacing w:after="0"/>
              <w:rPr>
                <w:sz w:val="24"/>
                <w:szCs w:val="24"/>
                <w:color w:val="auto"/>
              </w:rPr>
            </w:pP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37,376</w:t>
            </w:r>
          </w:p>
        </w:tc>
        <w:tc>
          <w:tcPr>
            <w:tcW w:w="5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37,088</w:t>
            </w:r>
          </w:p>
        </w:tc>
      </w:tr>
      <w:tr>
        <w:trPr>
          <w:trHeight w:val="190"/>
        </w:trPr>
        <w:tc>
          <w:tcPr>
            <w:tcW w:w="4680" w:type="dxa"/>
            <w:vAlign w:val="bottom"/>
          </w:tcPr>
          <w:p>
            <w:pPr>
              <w:spacing w:after="0"/>
              <w:rPr>
                <w:sz w:val="16"/>
                <w:szCs w:val="16"/>
                <w:color w:val="auto"/>
              </w:rPr>
            </w:pPr>
          </w:p>
        </w:tc>
        <w:tc>
          <w:tcPr>
            <w:tcW w:w="14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680" w:type="dxa"/>
            <w:vAlign w:val="bottom"/>
          </w:tcPr>
          <w:p>
            <w:pPr>
              <w:ind w:left="100"/>
              <w:spacing w:after="0"/>
              <w:rPr>
                <w:sz w:val="20"/>
                <w:szCs w:val="20"/>
                <w:color w:val="auto"/>
              </w:rPr>
            </w:pPr>
            <w:r>
              <w:rPr>
                <w:rFonts w:ascii="Courier New" w:cs="Courier New" w:eastAsia="Courier New" w:hAnsi="Courier New"/>
                <w:sz w:val="16"/>
                <w:szCs w:val="16"/>
                <w:color w:val="auto"/>
              </w:rPr>
              <w:t>Total assets</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68,991</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63,273</w:t>
            </w:r>
          </w:p>
        </w:tc>
      </w:tr>
      <w:tr>
        <w:trPr>
          <w:trHeight w:val="190"/>
        </w:trPr>
        <w:tc>
          <w:tcPr>
            <w:tcW w:w="4680" w:type="dxa"/>
            <w:vAlign w:val="bottom"/>
          </w:tcPr>
          <w:p>
            <w:pPr>
              <w:spacing w:after="0"/>
              <w:rPr>
                <w:sz w:val="16"/>
                <w:szCs w:val="16"/>
                <w:color w:val="auto"/>
              </w:rPr>
            </w:pPr>
          </w:p>
        </w:tc>
        <w:tc>
          <w:tcPr>
            <w:tcW w:w="14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680" w:type="dxa"/>
            <w:vAlign w:val="bottom"/>
          </w:tcPr>
          <w:p>
            <w:pPr>
              <w:spacing w:after="0"/>
              <w:rPr>
                <w:sz w:val="16"/>
                <w:szCs w:val="16"/>
                <w:color w:val="auto"/>
              </w:rPr>
            </w:pPr>
          </w:p>
        </w:tc>
        <w:tc>
          <w:tcPr>
            <w:tcW w:w="14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6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46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4680" w:type="dxa"/>
            <w:vAlign w:val="bottom"/>
          </w:tcPr>
          <w:p>
            <w:pPr>
              <w:ind w:left="100"/>
              <w:spacing w:after="0"/>
              <w:rPr>
                <w:sz w:val="20"/>
                <w:szCs w:val="20"/>
                <w:color w:val="auto"/>
              </w:rPr>
            </w:pPr>
            <w:r>
              <w:rPr>
                <w:rFonts w:ascii="Courier New" w:cs="Courier New" w:eastAsia="Courier New" w:hAnsi="Courier New"/>
                <w:sz w:val="16"/>
                <w:szCs w:val="16"/>
                <w:color w:val="auto"/>
              </w:rPr>
              <w:t>Accounts payable</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5,213</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3,662</w:t>
            </w:r>
          </w:p>
        </w:tc>
      </w:tr>
      <w:tr>
        <w:trPr>
          <w:trHeight w:val="190"/>
        </w:trPr>
        <w:tc>
          <w:tcPr>
            <w:tcW w:w="4680" w:type="dxa"/>
            <w:vAlign w:val="bottom"/>
          </w:tcPr>
          <w:p>
            <w:pPr>
              <w:ind w:left="100"/>
              <w:spacing w:after="0"/>
              <w:rPr>
                <w:sz w:val="20"/>
                <w:szCs w:val="20"/>
                <w:color w:val="auto"/>
              </w:rPr>
            </w:pPr>
            <w:r>
              <w:rPr>
                <w:rFonts w:ascii="Courier New" w:cs="Courier New" w:eastAsia="Courier New" w:hAnsi="Courier New"/>
                <w:sz w:val="16"/>
                <w:szCs w:val="16"/>
                <w:color w:val="auto"/>
              </w:rPr>
              <w:t>Revolving credit facility</w:t>
            </w:r>
          </w:p>
        </w:tc>
        <w:tc>
          <w:tcPr>
            <w:tcW w:w="540" w:type="dxa"/>
            <w:vAlign w:val="bottom"/>
          </w:tcPr>
          <w:p>
            <w:pPr>
              <w:spacing w:after="0"/>
              <w:rPr>
                <w:sz w:val="16"/>
                <w:szCs w:val="16"/>
                <w:color w:val="auto"/>
              </w:rPr>
            </w:pP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2,650</w:t>
            </w:r>
          </w:p>
        </w:tc>
        <w:tc>
          <w:tcPr>
            <w:tcW w:w="5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1,480</w:t>
            </w:r>
          </w:p>
        </w:tc>
      </w:tr>
      <w:tr>
        <w:trPr>
          <w:trHeight w:val="190"/>
        </w:trPr>
        <w:tc>
          <w:tcPr>
            <w:tcW w:w="4680" w:type="dxa"/>
            <w:vAlign w:val="bottom"/>
          </w:tcPr>
          <w:p>
            <w:pPr>
              <w:ind w:left="200"/>
              <w:spacing w:after="0"/>
              <w:rPr>
                <w:sz w:val="20"/>
                <w:szCs w:val="20"/>
                <w:color w:val="auto"/>
              </w:rPr>
            </w:pPr>
            <w:r>
              <w:rPr>
                <w:rFonts w:ascii="Courier New" w:cs="Courier New" w:eastAsia="Courier New" w:hAnsi="Courier New"/>
                <w:sz w:val="16"/>
                <w:szCs w:val="16"/>
                <w:color w:val="auto"/>
              </w:rPr>
              <w:t>Accrued vacation expense</w:t>
            </w:r>
          </w:p>
        </w:tc>
        <w:tc>
          <w:tcPr>
            <w:tcW w:w="540" w:type="dxa"/>
            <w:vAlign w:val="bottom"/>
          </w:tcPr>
          <w:p>
            <w:pPr>
              <w:spacing w:after="0"/>
              <w:rPr>
                <w:sz w:val="16"/>
                <w:szCs w:val="16"/>
                <w:color w:val="auto"/>
              </w:rPr>
            </w:pP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643</w:t>
            </w:r>
          </w:p>
        </w:tc>
        <w:tc>
          <w:tcPr>
            <w:tcW w:w="5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519</w:t>
            </w:r>
          </w:p>
        </w:tc>
      </w:tr>
      <w:tr>
        <w:trPr>
          <w:trHeight w:val="190"/>
        </w:trPr>
        <w:tc>
          <w:tcPr>
            <w:tcW w:w="4680" w:type="dxa"/>
            <w:vAlign w:val="bottom"/>
          </w:tcPr>
          <w:p>
            <w:pPr>
              <w:ind w:left="200"/>
              <w:spacing w:after="0"/>
              <w:rPr>
                <w:sz w:val="20"/>
                <w:szCs w:val="20"/>
                <w:color w:val="auto"/>
              </w:rPr>
            </w:pPr>
            <w:r>
              <w:rPr>
                <w:rFonts w:ascii="Courier New" w:cs="Courier New" w:eastAsia="Courier New" w:hAnsi="Courier New"/>
                <w:sz w:val="16"/>
                <w:szCs w:val="16"/>
                <w:color w:val="auto"/>
              </w:rPr>
              <w:t>Deferred Income</w:t>
            </w:r>
          </w:p>
        </w:tc>
        <w:tc>
          <w:tcPr>
            <w:tcW w:w="540" w:type="dxa"/>
            <w:vAlign w:val="bottom"/>
          </w:tcPr>
          <w:p>
            <w:pPr>
              <w:spacing w:after="0"/>
              <w:rPr>
                <w:sz w:val="16"/>
                <w:szCs w:val="16"/>
                <w:color w:val="auto"/>
              </w:rPr>
            </w:pP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818</w:t>
            </w:r>
          </w:p>
        </w:tc>
        <w:tc>
          <w:tcPr>
            <w:tcW w:w="5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458</w:t>
            </w:r>
          </w:p>
        </w:tc>
      </w:tr>
      <w:tr>
        <w:trPr>
          <w:trHeight w:val="190"/>
        </w:trPr>
        <w:tc>
          <w:tcPr>
            <w:tcW w:w="4680" w:type="dxa"/>
            <w:vAlign w:val="bottom"/>
          </w:tcPr>
          <w:p>
            <w:pPr>
              <w:ind w:left="200"/>
              <w:spacing w:after="0"/>
              <w:rPr>
                <w:sz w:val="20"/>
                <w:szCs w:val="20"/>
                <w:color w:val="auto"/>
              </w:rPr>
            </w:pPr>
            <w:r>
              <w:rPr>
                <w:rFonts w:ascii="Courier New" w:cs="Courier New" w:eastAsia="Courier New" w:hAnsi="Courier New"/>
                <w:sz w:val="16"/>
                <w:szCs w:val="16"/>
                <w:color w:val="auto"/>
              </w:rPr>
              <w:t>Other current liabilities</w:t>
            </w:r>
          </w:p>
        </w:tc>
        <w:tc>
          <w:tcPr>
            <w:tcW w:w="540" w:type="dxa"/>
            <w:vAlign w:val="bottom"/>
          </w:tcPr>
          <w:p>
            <w:pPr>
              <w:spacing w:after="0"/>
              <w:rPr>
                <w:sz w:val="16"/>
                <w:szCs w:val="16"/>
                <w:color w:val="auto"/>
              </w:rPr>
            </w:pP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1,432</w:t>
            </w:r>
          </w:p>
        </w:tc>
        <w:tc>
          <w:tcPr>
            <w:tcW w:w="5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1,352</w:t>
            </w:r>
          </w:p>
        </w:tc>
      </w:tr>
      <w:tr>
        <w:trPr>
          <w:trHeight w:val="190"/>
        </w:trPr>
        <w:tc>
          <w:tcPr>
            <w:tcW w:w="4680" w:type="dxa"/>
            <w:vAlign w:val="bottom"/>
          </w:tcPr>
          <w:p>
            <w:pPr>
              <w:spacing w:after="0"/>
              <w:rPr>
                <w:sz w:val="16"/>
                <w:szCs w:val="16"/>
                <w:color w:val="auto"/>
              </w:rPr>
            </w:pPr>
          </w:p>
        </w:tc>
        <w:tc>
          <w:tcPr>
            <w:tcW w:w="14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680" w:type="dxa"/>
            <w:vAlign w:val="bottom"/>
          </w:tcPr>
          <w:p>
            <w:pPr>
              <w:ind w:left="300"/>
              <w:spacing w:after="0"/>
              <w:rPr>
                <w:sz w:val="20"/>
                <w:szCs w:val="20"/>
                <w:color w:val="auto"/>
              </w:rPr>
            </w:pPr>
            <w:r>
              <w:rPr>
                <w:rFonts w:ascii="Courier New" w:cs="Courier New" w:eastAsia="Courier New" w:hAnsi="Courier New"/>
                <w:sz w:val="16"/>
                <w:szCs w:val="16"/>
                <w:color w:val="auto"/>
              </w:rPr>
              <w:t>Total current liabilities</w:t>
            </w:r>
          </w:p>
        </w:tc>
        <w:tc>
          <w:tcPr>
            <w:tcW w:w="540" w:type="dxa"/>
            <w:vAlign w:val="bottom"/>
          </w:tcPr>
          <w:p>
            <w:pPr>
              <w:spacing w:after="0"/>
              <w:rPr>
                <w:sz w:val="16"/>
                <w:szCs w:val="16"/>
                <w:color w:val="auto"/>
              </w:rPr>
            </w:pP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10,756</w:t>
            </w:r>
          </w:p>
        </w:tc>
        <w:tc>
          <w:tcPr>
            <w:tcW w:w="5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7,471</w:t>
            </w:r>
          </w:p>
        </w:tc>
      </w:tr>
      <w:tr>
        <w:trPr>
          <w:trHeight w:val="379"/>
        </w:trPr>
        <w:tc>
          <w:tcPr>
            <w:tcW w:w="468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540" w:type="dxa"/>
            <w:vAlign w:val="bottom"/>
          </w:tcPr>
          <w:p>
            <w:pPr>
              <w:spacing w:after="0"/>
              <w:rPr>
                <w:sz w:val="24"/>
                <w:szCs w:val="24"/>
                <w:color w:val="auto"/>
              </w:rPr>
            </w:pP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2,831</w:t>
            </w:r>
          </w:p>
        </w:tc>
        <w:tc>
          <w:tcPr>
            <w:tcW w:w="5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2,831</w:t>
            </w:r>
          </w:p>
        </w:tc>
      </w:tr>
      <w:tr>
        <w:trPr>
          <w:trHeight w:val="190"/>
        </w:trPr>
        <w:tc>
          <w:tcPr>
            <w:tcW w:w="4680" w:type="dxa"/>
            <w:vAlign w:val="bottom"/>
          </w:tcPr>
          <w:p>
            <w:pPr>
              <w:spacing w:after="0"/>
              <w:rPr>
                <w:sz w:val="16"/>
                <w:szCs w:val="16"/>
                <w:color w:val="auto"/>
              </w:rPr>
            </w:pPr>
          </w:p>
        </w:tc>
        <w:tc>
          <w:tcPr>
            <w:tcW w:w="14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680" w:type="dxa"/>
            <w:vAlign w:val="bottom"/>
          </w:tcPr>
          <w:p>
            <w:pPr>
              <w:ind w:left="300"/>
              <w:spacing w:after="0"/>
              <w:rPr>
                <w:sz w:val="20"/>
                <w:szCs w:val="20"/>
                <w:color w:val="auto"/>
              </w:rPr>
            </w:pPr>
            <w:r>
              <w:rPr>
                <w:rFonts w:ascii="Courier New" w:cs="Courier New" w:eastAsia="Courier New" w:hAnsi="Courier New"/>
                <w:sz w:val="16"/>
                <w:szCs w:val="16"/>
                <w:color w:val="auto"/>
              </w:rPr>
              <w:t>Total liabilities</w:t>
            </w:r>
          </w:p>
        </w:tc>
        <w:tc>
          <w:tcPr>
            <w:tcW w:w="540" w:type="dxa"/>
            <w:vAlign w:val="bottom"/>
          </w:tcPr>
          <w:p>
            <w:pPr>
              <w:spacing w:after="0"/>
              <w:rPr>
                <w:sz w:val="16"/>
                <w:szCs w:val="16"/>
                <w:color w:val="auto"/>
              </w:rPr>
            </w:pP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13,587</w:t>
            </w:r>
          </w:p>
        </w:tc>
        <w:tc>
          <w:tcPr>
            <w:tcW w:w="5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10,302</w:t>
            </w:r>
          </w:p>
        </w:tc>
      </w:tr>
      <w:tr>
        <w:trPr>
          <w:trHeight w:val="379"/>
        </w:trPr>
        <w:tc>
          <w:tcPr>
            <w:tcW w:w="4680" w:type="dxa"/>
            <w:vAlign w:val="bottom"/>
          </w:tcPr>
          <w:p>
            <w:pPr>
              <w:ind w:left="300"/>
              <w:spacing w:after="0"/>
              <w:rPr>
                <w:sz w:val="20"/>
                <w:szCs w:val="20"/>
                <w:color w:val="auto"/>
              </w:rPr>
            </w:pPr>
            <w:r>
              <w:rPr>
                <w:rFonts w:ascii="Courier New" w:cs="Courier New" w:eastAsia="Courier New" w:hAnsi="Courier New"/>
                <w:sz w:val="16"/>
                <w:szCs w:val="16"/>
                <w:color w:val="auto"/>
              </w:rPr>
              <w:t>Total stockholders' equity</w:t>
            </w:r>
          </w:p>
        </w:tc>
        <w:tc>
          <w:tcPr>
            <w:tcW w:w="540" w:type="dxa"/>
            <w:vAlign w:val="bottom"/>
          </w:tcPr>
          <w:p>
            <w:pPr>
              <w:spacing w:after="0"/>
              <w:rPr>
                <w:sz w:val="24"/>
                <w:szCs w:val="24"/>
                <w:color w:val="auto"/>
              </w:rPr>
            </w:pP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55,404</w:t>
            </w:r>
          </w:p>
        </w:tc>
        <w:tc>
          <w:tcPr>
            <w:tcW w:w="5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52,971</w:t>
            </w:r>
          </w:p>
        </w:tc>
      </w:tr>
      <w:tr>
        <w:trPr>
          <w:trHeight w:val="190"/>
        </w:trPr>
        <w:tc>
          <w:tcPr>
            <w:tcW w:w="4680" w:type="dxa"/>
            <w:vAlign w:val="bottom"/>
          </w:tcPr>
          <w:p>
            <w:pPr>
              <w:spacing w:after="0"/>
              <w:rPr>
                <w:sz w:val="16"/>
                <w:szCs w:val="16"/>
                <w:color w:val="auto"/>
              </w:rPr>
            </w:pPr>
          </w:p>
        </w:tc>
        <w:tc>
          <w:tcPr>
            <w:tcW w:w="14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680" w:type="dxa"/>
            <w:vAlign w:val="bottom"/>
          </w:tcPr>
          <w:p>
            <w:pPr>
              <w:ind w:left="30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68,991</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63,273</w:t>
            </w:r>
          </w:p>
        </w:tc>
      </w:tr>
      <w:tr>
        <w:trPr>
          <w:trHeight w:val="190"/>
        </w:trPr>
        <w:tc>
          <w:tcPr>
            <w:tcW w:w="4680" w:type="dxa"/>
            <w:vAlign w:val="bottom"/>
          </w:tcPr>
          <w:p>
            <w:pPr>
              <w:spacing w:after="0"/>
              <w:rPr>
                <w:sz w:val="16"/>
                <w:szCs w:val="16"/>
                <w:color w:val="auto"/>
              </w:rPr>
            </w:pPr>
          </w:p>
        </w:tc>
        <w:tc>
          <w:tcPr>
            <w:tcW w:w="14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680" w:type="dxa"/>
            <w:vAlign w:val="bottom"/>
          </w:tcPr>
          <w:p>
            <w:pPr>
              <w:spacing w:after="0"/>
              <w:rPr>
                <w:sz w:val="16"/>
                <w:szCs w:val="16"/>
                <w:color w:val="auto"/>
              </w:rPr>
            </w:pPr>
          </w:p>
        </w:tc>
        <w:tc>
          <w:tcPr>
            <w:tcW w:w="14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See accompanying notes.</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75" w:right="1440" w:bottom="1440" w:gutter="0" w:footer="0" w:header="0"/>
          <w:type w:val="continuous"/>
        </w:sectPr>
      </w:pPr>
    </w:p>
    <w:bookmarkStart w:id="4" w:name="page5"/>
    <w:bookmarkEnd w:id="4"/>
    <w:p>
      <w:pPr>
        <w:jc w:val="center"/>
        <w:ind w:right="1739"/>
        <w:spacing w:after="0"/>
        <w:rPr>
          <w:sz w:val="20"/>
          <w:szCs w:val="20"/>
          <w:color w:val="auto"/>
        </w:rPr>
      </w:pPr>
      <w:r>
        <w:rPr>
          <w:rFonts w:ascii="Courier New" w:cs="Courier New" w:eastAsia="Courier New" w:hAnsi="Courier New"/>
          <w:sz w:val="16"/>
          <w:szCs w:val="16"/>
          <w:color w:val="auto"/>
        </w:rPr>
        <w:t>NN Ball &amp; Roller, Inc.</w:t>
      </w:r>
    </w:p>
    <w:p>
      <w:pPr>
        <w:spacing w:after="0" w:line="8"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6"/>
          <w:szCs w:val="16"/>
          <w:color w:val="auto"/>
        </w:rPr>
        <w:t>Condensed Statements of Changes in Stockholders' Equity</w:t>
      </w:r>
    </w:p>
    <w:p>
      <w:pPr>
        <w:spacing w:after="0" w:line="8"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20" w:type="dxa"/>
            <w:vAlign w:val="bottom"/>
          </w:tcPr>
          <w:p>
            <w:pPr>
              <w:jc w:val="center"/>
              <w:ind w:right="158"/>
              <w:spacing w:after="0"/>
              <w:rPr>
                <w:sz w:val="20"/>
                <w:szCs w:val="20"/>
                <w:color w:val="auto"/>
              </w:rPr>
            </w:pPr>
            <w:r>
              <w:rPr>
                <w:rFonts w:ascii="Courier New" w:cs="Courier New" w:eastAsia="Courier New" w:hAnsi="Courier New"/>
                <w:sz w:val="16"/>
                <w:szCs w:val="16"/>
                <w:color w:val="auto"/>
              </w:rPr>
              <w:t>Accumulated</w:t>
            </w:r>
          </w:p>
        </w:tc>
        <w:tc>
          <w:tcPr>
            <w:tcW w:w="840" w:type="dxa"/>
            <w:vAlign w:val="bottom"/>
          </w:tcPr>
          <w:p>
            <w:pPr>
              <w:spacing w:after="0"/>
              <w:rPr>
                <w:sz w:val="16"/>
                <w:szCs w:val="16"/>
                <w:color w:val="auto"/>
              </w:rPr>
            </w:pPr>
          </w:p>
        </w:tc>
      </w:tr>
      <w:tr>
        <w:trPr>
          <w:trHeight w:val="190"/>
        </w:trPr>
        <w:tc>
          <w:tcPr>
            <w:tcW w:w="2520" w:type="dxa"/>
            <w:vAlign w:val="bottom"/>
          </w:tcPr>
          <w:p>
            <w:pPr>
              <w:spacing w:after="0"/>
              <w:rPr>
                <w:sz w:val="16"/>
                <w:szCs w:val="16"/>
                <w:color w:val="auto"/>
              </w:rPr>
            </w:pPr>
          </w:p>
        </w:tc>
        <w:tc>
          <w:tcPr>
            <w:tcW w:w="232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Common stock</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Additional</w:t>
            </w:r>
          </w:p>
        </w:tc>
        <w:tc>
          <w:tcPr>
            <w:tcW w:w="1140" w:type="dxa"/>
            <w:vAlign w:val="bottom"/>
          </w:tcPr>
          <w:p>
            <w:pPr>
              <w:ind w:left="160"/>
              <w:spacing w:after="0"/>
              <w:rPr>
                <w:sz w:val="20"/>
                <w:szCs w:val="20"/>
                <w:color w:val="auto"/>
              </w:rPr>
            </w:pPr>
            <w:r>
              <w:rPr>
                <w:rFonts w:ascii="Courier New" w:cs="Courier New" w:eastAsia="Courier New" w:hAnsi="Courier New"/>
                <w:sz w:val="16"/>
                <w:szCs w:val="16"/>
                <w:color w:val="auto"/>
              </w:rPr>
              <w:t>Retained</w:t>
            </w:r>
          </w:p>
        </w:tc>
        <w:tc>
          <w:tcPr>
            <w:tcW w:w="1720" w:type="dxa"/>
            <w:vAlign w:val="bottom"/>
          </w:tcPr>
          <w:p>
            <w:pPr>
              <w:ind w:left="400"/>
              <w:spacing w:after="0"/>
              <w:rPr>
                <w:sz w:val="20"/>
                <w:szCs w:val="20"/>
                <w:color w:val="auto"/>
              </w:rPr>
            </w:pPr>
            <w:r>
              <w:rPr>
                <w:rFonts w:ascii="Courier New" w:cs="Courier New" w:eastAsia="Courier New" w:hAnsi="Courier New"/>
                <w:sz w:val="16"/>
                <w:szCs w:val="16"/>
                <w:color w:val="auto"/>
              </w:rPr>
              <w:t>other</w:t>
            </w:r>
          </w:p>
        </w:tc>
        <w:tc>
          <w:tcPr>
            <w:tcW w:w="840" w:type="dxa"/>
            <w:vAlign w:val="bottom"/>
          </w:tcPr>
          <w:p>
            <w:pPr>
              <w:spacing w:after="0"/>
              <w:rPr>
                <w:sz w:val="16"/>
                <w:szCs w:val="16"/>
                <w:color w:val="auto"/>
              </w:rPr>
            </w:pPr>
          </w:p>
        </w:tc>
      </w:tr>
      <w:tr>
        <w:trPr>
          <w:trHeight w:val="190"/>
        </w:trPr>
        <w:tc>
          <w:tcPr>
            <w:tcW w:w="2520" w:type="dxa"/>
            <w:vAlign w:val="bottom"/>
          </w:tcPr>
          <w:p>
            <w:pPr>
              <w:spacing w:after="0"/>
              <w:rPr>
                <w:sz w:val="16"/>
                <w:szCs w:val="16"/>
                <w:color w:val="auto"/>
              </w:rPr>
            </w:pPr>
          </w:p>
        </w:tc>
        <w:tc>
          <w:tcPr>
            <w:tcW w:w="1580" w:type="dxa"/>
            <w:vAlign w:val="bottom"/>
          </w:tcPr>
          <w:p>
            <w:pPr>
              <w:ind w:left="640"/>
              <w:spacing w:after="0"/>
              <w:rPr>
                <w:sz w:val="20"/>
                <w:szCs w:val="20"/>
                <w:color w:val="auto"/>
              </w:rPr>
            </w:pPr>
            <w:r>
              <w:rPr>
                <w:rFonts w:ascii="Courier New" w:cs="Courier New" w:eastAsia="Courier New" w:hAnsi="Courier New"/>
                <w:sz w:val="16"/>
                <w:szCs w:val="16"/>
                <w:color w:val="auto"/>
              </w:rPr>
              <w:t>Number</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rPr>
              <w:t>Par</w:t>
            </w:r>
          </w:p>
        </w:tc>
        <w:tc>
          <w:tcPr>
            <w:tcW w:w="1220" w:type="dxa"/>
            <w:vAlign w:val="bottom"/>
          </w:tcPr>
          <w:p>
            <w:pPr>
              <w:ind w:left="180"/>
              <w:spacing w:after="0"/>
              <w:rPr>
                <w:sz w:val="20"/>
                <w:szCs w:val="20"/>
                <w:color w:val="auto"/>
              </w:rPr>
            </w:pPr>
            <w:r>
              <w:rPr>
                <w:rFonts w:ascii="Courier New" w:cs="Courier New" w:eastAsia="Courier New" w:hAnsi="Courier New"/>
                <w:sz w:val="16"/>
                <w:szCs w:val="16"/>
                <w:color w:val="auto"/>
              </w:rPr>
              <w:t>paid in</w:t>
            </w:r>
          </w:p>
        </w:tc>
        <w:tc>
          <w:tcPr>
            <w:tcW w:w="1140" w:type="dxa"/>
            <w:vAlign w:val="bottom"/>
          </w:tcPr>
          <w:p>
            <w:pPr>
              <w:ind w:left="160"/>
              <w:spacing w:after="0"/>
              <w:rPr>
                <w:sz w:val="20"/>
                <w:szCs w:val="20"/>
                <w:color w:val="auto"/>
              </w:rPr>
            </w:pPr>
            <w:r>
              <w:rPr>
                <w:rFonts w:ascii="Courier New" w:cs="Courier New" w:eastAsia="Courier New" w:hAnsi="Courier New"/>
                <w:sz w:val="16"/>
                <w:szCs w:val="16"/>
                <w:color w:val="auto"/>
              </w:rPr>
              <w:t>earnings</w:t>
            </w:r>
          </w:p>
        </w:tc>
        <w:tc>
          <w:tcPr>
            <w:tcW w:w="1720" w:type="dxa"/>
            <w:vAlign w:val="bottom"/>
          </w:tcPr>
          <w:p>
            <w:pPr>
              <w:jc w:val="center"/>
              <w:ind w:right="158"/>
              <w:spacing w:after="0"/>
              <w:rPr>
                <w:sz w:val="20"/>
                <w:szCs w:val="20"/>
                <w:color w:val="auto"/>
              </w:rPr>
            </w:pPr>
            <w:r>
              <w:rPr>
                <w:rFonts w:ascii="Courier New" w:cs="Courier New" w:eastAsia="Courier New" w:hAnsi="Courier New"/>
                <w:sz w:val="16"/>
                <w:szCs w:val="16"/>
                <w:color w:val="auto"/>
              </w:rPr>
              <w:t>comprehensive</w:t>
            </w:r>
          </w:p>
        </w:tc>
        <w:tc>
          <w:tcPr>
            <w:tcW w:w="840" w:type="dxa"/>
            <w:vAlign w:val="bottom"/>
          </w:tcPr>
          <w:p>
            <w:pPr>
              <w:spacing w:after="0"/>
              <w:rPr>
                <w:sz w:val="16"/>
                <w:szCs w:val="16"/>
                <w:color w:val="auto"/>
              </w:rPr>
            </w:pPr>
          </w:p>
        </w:tc>
      </w:tr>
      <w:tr>
        <w:trPr>
          <w:trHeight w:val="190"/>
        </w:trPr>
        <w:tc>
          <w:tcPr>
            <w:tcW w:w="2520" w:type="dxa"/>
            <w:vAlign w:val="bottom"/>
          </w:tcPr>
          <w:p>
            <w:pPr>
              <w:spacing w:after="0"/>
              <w:rPr>
                <w:sz w:val="20"/>
                <w:szCs w:val="20"/>
                <w:color w:val="auto"/>
              </w:rPr>
            </w:pPr>
            <w:r>
              <w:rPr>
                <w:rFonts w:ascii="Courier New" w:cs="Courier New" w:eastAsia="Courier New" w:hAnsi="Courier New"/>
                <w:sz w:val="16"/>
                <w:szCs w:val="16"/>
                <w:color w:val="auto"/>
              </w:rPr>
              <w:t>Thousands of Dollars</w:t>
            </w:r>
          </w:p>
        </w:tc>
        <w:tc>
          <w:tcPr>
            <w:tcW w:w="1580" w:type="dxa"/>
            <w:vAlign w:val="bottom"/>
          </w:tcPr>
          <w:p>
            <w:pPr>
              <w:ind w:left="540"/>
              <w:spacing w:after="0"/>
              <w:rPr>
                <w:sz w:val="20"/>
                <w:szCs w:val="20"/>
                <w:color w:val="auto"/>
              </w:rPr>
            </w:pPr>
            <w:r>
              <w:rPr>
                <w:rFonts w:ascii="Courier New" w:cs="Courier New" w:eastAsia="Courier New" w:hAnsi="Courier New"/>
                <w:sz w:val="16"/>
                <w:szCs w:val="16"/>
                <w:color w:val="auto"/>
              </w:rPr>
              <w:t>of shares</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rPr>
              <w:t>Value</w:t>
            </w:r>
          </w:p>
        </w:tc>
        <w:tc>
          <w:tcPr>
            <w:tcW w:w="1220" w:type="dxa"/>
            <w:vAlign w:val="bottom"/>
          </w:tcPr>
          <w:p>
            <w:pPr>
              <w:ind w:left="180"/>
              <w:spacing w:after="0"/>
              <w:rPr>
                <w:sz w:val="20"/>
                <w:szCs w:val="20"/>
                <w:color w:val="auto"/>
              </w:rPr>
            </w:pPr>
            <w:r>
              <w:rPr>
                <w:rFonts w:ascii="Courier New" w:cs="Courier New" w:eastAsia="Courier New" w:hAnsi="Courier New"/>
                <w:sz w:val="16"/>
                <w:szCs w:val="16"/>
                <w:color w:val="auto"/>
              </w:rPr>
              <w:t>capital</w:t>
            </w:r>
          </w:p>
        </w:tc>
        <w:tc>
          <w:tcPr>
            <w:tcW w:w="1140" w:type="dxa"/>
            <w:vAlign w:val="bottom"/>
          </w:tcPr>
          <w:p>
            <w:pPr>
              <w:ind w:left="160"/>
              <w:spacing w:after="0"/>
              <w:rPr>
                <w:sz w:val="20"/>
                <w:szCs w:val="20"/>
                <w:color w:val="auto"/>
              </w:rPr>
            </w:pPr>
            <w:r>
              <w:rPr>
                <w:rFonts w:ascii="Courier New" w:cs="Courier New" w:eastAsia="Courier New" w:hAnsi="Courier New"/>
                <w:sz w:val="16"/>
                <w:szCs w:val="16"/>
                <w:color w:val="auto"/>
              </w:rPr>
              <w:t>(deficit)</w:t>
            </w:r>
          </w:p>
        </w:tc>
        <w:tc>
          <w:tcPr>
            <w:tcW w:w="1720" w:type="dxa"/>
            <w:vAlign w:val="bottom"/>
          </w:tcPr>
          <w:p>
            <w:pPr>
              <w:ind w:left="400"/>
              <w:spacing w:after="0"/>
              <w:rPr>
                <w:sz w:val="20"/>
                <w:szCs w:val="20"/>
                <w:color w:val="auto"/>
              </w:rPr>
            </w:pPr>
            <w:r>
              <w:rPr>
                <w:rFonts w:ascii="Courier New" w:cs="Courier New" w:eastAsia="Courier New" w:hAnsi="Courier New"/>
                <w:sz w:val="16"/>
                <w:szCs w:val="16"/>
                <w:color w:val="auto"/>
              </w:rPr>
              <w:t>income</w:t>
            </w:r>
          </w:p>
        </w:tc>
        <w:tc>
          <w:tcPr>
            <w:tcW w:w="840" w:type="dxa"/>
            <w:vAlign w:val="bottom"/>
          </w:tcPr>
          <w:p>
            <w:pPr>
              <w:ind w:left="340"/>
              <w:spacing w:after="0"/>
              <w:rPr>
                <w:sz w:val="20"/>
                <w:szCs w:val="20"/>
                <w:color w:val="auto"/>
              </w:rPr>
            </w:pPr>
            <w:r>
              <w:rPr>
                <w:rFonts w:ascii="Courier New" w:cs="Courier New" w:eastAsia="Courier New" w:hAnsi="Courier New"/>
                <w:sz w:val="16"/>
                <w:szCs w:val="16"/>
                <w:color w:val="auto"/>
                <w:w w:val="99"/>
              </w:rPr>
              <w:t>Total</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Pr>
          <w:p>
            <w:pPr>
              <w:spacing w:after="0"/>
              <w:rPr>
                <w:sz w:val="20"/>
                <w:szCs w:val="20"/>
                <w:color w:val="auto"/>
              </w:rPr>
            </w:pPr>
            <w:r>
              <w:rPr>
                <w:rFonts w:ascii="Courier New" w:cs="Courier New" w:eastAsia="Courier New" w:hAnsi="Courier New"/>
                <w:sz w:val="16"/>
                <w:szCs w:val="16"/>
                <w:color w:val="auto"/>
              </w:rPr>
              <w:t>Balance, January 1, 1997</w:t>
            </w:r>
          </w:p>
        </w:tc>
        <w:tc>
          <w:tcPr>
            <w:tcW w:w="10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14,629</w:t>
            </w:r>
          </w:p>
        </w:tc>
        <w:tc>
          <w:tcPr>
            <w:tcW w:w="3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146</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$26,983</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$21,581</w:t>
            </w:r>
          </w:p>
        </w:tc>
        <w:tc>
          <w:tcPr>
            <w:tcW w:w="5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$48,710</w:t>
            </w:r>
          </w:p>
        </w:tc>
      </w:tr>
      <w:tr>
        <w:trPr>
          <w:trHeight w:val="190"/>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Net income</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5,371</w:t>
            </w: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5,371</w:t>
            </w:r>
          </w:p>
        </w:tc>
      </w:tr>
      <w:tr>
        <w:trPr>
          <w:trHeight w:val="190"/>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Dividends</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(2,329)</w:t>
            </w: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(2,329)</w:t>
            </w:r>
          </w:p>
        </w:tc>
      </w:tr>
      <w:tr>
        <w:trPr>
          <w:trHeight w:val="190"/>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Stock repurchased</w:t>
            </w: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(86)</w:t>
            </w:r>
          </w:p>
        </w:tc>
        <w:tc>
          <w:tcPr>
            <w:tcW w:w="380" w:type="dxa"/>
            <w:vAlign w:val="bottom"/>
          </w:tcPr>
          <w:p>
            <w:pPr>
              <w:spacing w:after="0"/>
              <w:rPr>
                <w:sz w:val="16"/>
                <w:szCs w:val="16"/>
                <w:color w:val="auto"/>
              </w:rPr>
            </w:pPr>
          </w:p>
        </w:tc>
        <w:tc>
          <w:tcPr>
            <w:tcW w:w="60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(999)</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(999)</w:t>
            </w:r>
          </w:p>
        </w:tc>
      </w:tr>
      <w:tr>
        <w:trPr>
          <w:trHeight w:val="190"/>
        </w:trPr>
        <w:tc>
          <w:tcPr>
            <w:tcW w:w="2860" w:type="dxa"/>
            <w:vAlign w:val="bottom"/>
          </w:tcPr>
          <w:p>
            <w:pPr>
              <w:spacing w:after="0"/>
              <w:rPr>
                <w:sz w:val="16"/>
                <w:szCs w:val="16"/>
                <w:color w:val="auto"/>
              </w:rPr>
            </w:pPr>
          </w:p>
        </w:tc>
        <w:tc>
          <w:tcPr>
            <w:tcW w:w="10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2860" w:type="dxa"/>
            <w:vAlign w:val="bottom"/>
          </w:tcPr>
          <w:p>
            <w:pPr>
              <w:spacing w:after="0"/>
              <w:rPr>
                <w:sz w:val="20"/>
                <w:szCs w:val="20"/>
                <w:color w:val="auto"/>
              </w:rPr>
            </w:pPr>
            <w:r>
              <w:rPr>
                <w:rFonts w:ascii="Courier New" w:cs="Courier New" w:eastAsia="Courier New" w:hAnsi="Courier New"/>
                <w:sz w:val="16"/>
                <w:szCs w:val="16"/>
                <w:color w:val="auto"/>
              </w:rPr>
              <w:t>Balance, June 30, 1997</w:t>
            </w:r>
          </w:p>
        </w:tc>
        <w:tc>
          <w:tcPr>
            <w:tcW w:w="10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14,543</w:t>
            </w:r>
          </w:p>
        </w:tc>
        <w:tc>
          <w:tcPr>
            <w:tcW w:w="3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146</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$25,984</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$24,623</w:t>
            </w:r>
          </w:p>
        </w:tc>
        <w:tc>
          <w:tcPr>
            <w:tcW w:w="5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$50,753</w:t>
            </w:r>
          </w:p>
        </w:tc>
      </w:tr>
      <w:tr>
        <w:trPr>
          <w:trHeight w:val="190"/>
        </w:trPr>
        <w:tc>
          <w:tcPr>
            <w:tcW w:w="2860" w:type="dxa"/>
            <w:vAlign w:val="bottom"/>
          </w:tcPr>
          <w:p>
            <w:pPr>
              <w:spacing w:after="0"/>
              <w:rPr>
                <w:sz w:val="16"/>
                <w:szCs w:val="16"/>
                <w:color w:val="auto"/>
              </w:rPr>
            </w:pPr>
          </w:p>
        </w:tc>
        <w:tc>
          <w:tcPr>
            <w:tcW w:w="10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2860" w:type="dxa"/>
            <w:vAlign w:val="bottom"/>
          </w:tcPr>
          <w:p>
            <w:pPr>
              <w:spacing w:after="0"/>
              <w:rPr>
                <w:sz w:val="16"/>
                <w:szCs w:val="16"/>
                <w:color w:val="auto"/>
              </w:rPr>
            </w:pPr>
          </w:p>
        </w:tc>
        <w:tc>
          <w:tcPr>
            <w:tcW w:w="10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2860" w:type="dxa"/>
            <w:vAlign w:val="bottom"/>
          </w:tcPr>
          <w:p>
            <w:pPr>
              <w:spacing w:after="0"/>
              <w:rPr>
                <w:sz w:val="20"/>
                <w:szCs w:val="20"/>
                <w:color w:val="auto"/>
              </w:rPr>
            </w:pPr>
            <w:r>
              <w:rPr>
                <w:rFonts w:ascii="Courier New" w:cs="Courier New" w:eastAsia="Courier New" w:hAnsi="Courier New"/>
                <w:sz w:val="16"/>
                <w:szCs w:val="16"/>
                <w:color w:val="auto"/>
              </w:rPr>
              <w:t>Balance, January 1, 1998</w:t>
            </w:r>
          </w:p>
        </w:tc>
        <w:tc>
          <w:tcPr>
            <w:tcW w:w="10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14,804</w:t>
            </w:r>
          </w:p>
        </w:tc>
        <w:tc>
          <w:tcPr>
            <w:tcW w:w="3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149</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$27,902</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$25,387</w:t>
            </w:r>
          </w:p>
        </w:tc>
        <w:tc>
          <w:tcPr>
            <w:tcW w:w="5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(467)</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$52,971</w:t>
            </w:r>
          </w:p>
        </w:tc>
      </w:tr>
      <w:tr>
        <w:trPr>
          <w:trHeight w:val="190"/>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Net income</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4,991</w:t>
            </w: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4,991</w:t>
            </w:r>
          </w:p>
        </w:tc>
      </w:tr>
      <w:tr>
        <w:trPr>
          <w:trHeight w:val="190"/>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Dividends</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(2,369)</w:t>
            </w: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(2,369)</w:t>
            </w:r>
          </w:p>
        </w:tc>
      </w:tr>
      <w:tr>
        <w:trPr>
          <w:trHeight w:val="190"/>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Other comprehensive income</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(189)</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r>
      <w:tr>
        <w:trPr>
          <w:trHeight w:val="190"/>
        </w:trPr>
        <w:tc>
          <w:tcPr>
            <w:tcW w:w="2860" w:type="dxa"/>
            <w:vAlign w:val="bottom"/>
          </w:tcPr>
          <w:p>
            <w:pPr>
              <w:spacing w:after="0"/>
              <w:rPr>
                <w:sz w:val="16"/>
                <w:szCs w:val="16"/>
                <w:color w:val="auto"/>
              </w:rPr>
            </w:pPr>
          </w:p>
        </w:tc>
        <w:tc>
          <w:tcPr>
            <w:tcW w:w="10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2860" w:type="dxa"/>
            <w:vAlign w:val="bottom"/>
          </w:tcPr>
          <w:p>
            <w:pPr>
              <w:spacing w:after="0"/>
              <w:rPr>
                <w:sz w:val="20"/>
                <w:szCs w:val="20"/>
                <w:color w:val="auto"/>
              </w:rPr>
            </w:pPr>
            <w:r>
              <w:rPr>
                <w:rFonts w:ascii="Courier New" w:cs="Courier New" w:eastAsia="Courier New" w:hAnsi="Courier New"/>
                <w:sz w:val="16"/>
                <w:szCs w:val="16"/>
                <w:color w:val="auto"/>
              </w:rPr>
              <w:t>Balance, June 30, 1998</w:t>
            </w:r>
          </w:p>
        </w:tc>
        <w:tc>
          <w:tcPr>
            <w:tcW w:w="10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14,804</w:t>
            </w:r>
          </w:p>
        </w:tc>
        <w:tc>
          <w:tcPr>
            <w:tcW w:w="3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149</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$27,902</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$28,009</w:t>
            </w: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(656)</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$55,404</w:t>
            </w:r>
          </w:p>
        </w:tc>
      </w:tr>
      <w:tr>
        <w:trPr>
          <w:trHeight w:val="190"/>
        </w:trPr>
        <w:tc>
          <w:tcPr>
            <w:tcW w:w="2860" w:type="dxa"/>
            <w:vAlign w:val="bottom"/>
          </w:tcPr>
          <w:p>
            <w:pPr>
              <w:spacing w:after="0"/>
              <w:rPr>
                <w:sz w:val="16"/>
                <w:szCs w:val="16"/>
                <w:color w:val="auto"/>
              </w:rPr>
            </w:pPr>
          </w:p>
        </w:tc>
        <w:tc>
          <w:tcPr>
            <w:tcW w:w="10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2860" w:type="dxa"/>
            <w:vAlign w:val="bottom"/>
          </w:tcPr>
          <w:p>
            <w:pPr>
              <w:spacing w:after="0"/>
              <w:rPr>
                <w:sz w:val="16"/>
                <w:szCs w:val="16"/>
                <w:color w:val="auto"/>
              </w:rPr>
            </w:pPr>
          </w:p>
        </w:tc>
        <w:tc>
          <w:tcPr>
            <w:tcW w:w="10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See accompanying notes.</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5" w:right="1440" w:bottom="1440" w:gutter="0" w:footer="0" w:header="0"/>
        </w:sectPr>
      </w:pPr>
    </w:p>
    <w:bookmarkStart w:id="5" w:name="page6"/>
    <w:bookmarkEnd w:id="5"/>
    <w:p>
      <w:pPr>
        <w:ind w:left="2560" w:right="4299" w:firstLine="596"/>
        <w:spacing w:after="0" w:line="251" w:lineRule="auto"/>
        <w:tabs>
          <w:tab w:leader="none" w:pos="344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Condensed Statements of Cash Flows</w:t>
      </w:r>
    </w:p>
    <w:p>
      <w:pPr>
        <w:ind w:left="36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1200"/>
        <w:spacing w:after="0"/>
        <w:rPr>
          <w:sz w:val="20"/>
          <w:szCs w:val="20"/>
          <w:color w:val="auto"/>
        </w:rPr>
      </w:pPr>
      <w:r>
        <w:rPr>
          <w:rFonts w:ascii="Courier New" w:cs="Courier New" w:eastAsia="Courier New" w:hAnsi="Courier New"/>
          <w:sz w:val="16"/>
          <w:szCs w:val="16"/>
          <w:color w:val="auto"/>
        </w:rPr>
        <w:t>Six Months Ended</w:t>
      </w:r>
    </w:p>
    <w:p>
      <w:pPr>
        <w:spacing w:after="0" w:line="8" w:lineRule="exact"/>
        <w:rPr>
          <w:sz w:val="20"/>
          <w:szCs w:val="20"/>
          <w:color w:val="auto"/>
        </w:rPr>
      </w:pPr>
    </w:p>
    <w:p>
      <w:pPr>
        <w:jc w:val="center"/>
        <w:ind w:left="1200"/>
        <w:spacing w:after="0"/>
        <w:rPr>
          <w:sz w:val="20"/>
          <w:szCs w:val="20"/>
          <w:color w:val="auto"/>
        </w:rPr>
      </w:pPr>
      <w:r>
        <w:rPr>
          <w:rFonts w:ascii="Courier New" w:cs="Courier New" w:eastAsia="Courier New" w:hAnsi="Courier New"/>
          <w:sz w:val="16"/>
          <w:szCs w:val="16"/>
          <w:color w:val="auto"/>
        </w:rPr>
        <w:t>June 30,</w:t>
      </w:r>
    </w:p>
    <w:p>
      <w:pPr>
        <w:spacing w:after="0" w:line="8" w:lineRule="exact"/>
        <w:rPr>
          <w:sz w:val="20"/>
          <w:szCs w:val="20"/>
          <w:color w:val="auto"/>
        </w:rPr>
      </w:pPr>
    </w:p>
    <w:p>
      <w:pPr>
        <w:spacing w:after="0"/>
        <w:tabs>
          <w:tab w:leader="none" w:pos="1360" w:val="left"/>
          <w:tab w:leader="none" w:pos="5500" w:val="left"/>
          <w:tab w:leader="none" w:pos="6680" w:val="left"/>
        </w:tabs>
        <w:rPr>
          <w:sz w:val="20"/>
          <w:szCs w:val="20"/>
          <w:color w:val="auto"/>
        </w:rPr>
      </w:pPr>
      <w:r>
        <w:rPr>
          <w:rFonts w:ascii="Courier New" w:cs="Courier New" w:eastAsia="Courier New" w:hAnsi="Courier New"/>
          <w:sz w:val="16"/>
          <w:szCs w:val="16"/>
          <w:color w:val="auto"/>
        </w:rPr>
        <w:t>Thousands of</w:t>
        <w:tab/>
        <w:t>Dollars</w:t>
      </w:r>
      <w:r>
        <w:rPr>
          <w:sz w:val="20"/>
          <w:szCs w:val="20"/>
          <w:color w:val="auto"/>
        </w:rPr>
        <w:tab/>
      </w:r>
      <w:r>
        <w:rPr>
          <w:rFonts w:ascii="Courier New" w:cs="Courier New" w:eastAsia="Courier New" w:hAnsi="Courier New"/>
          <w:sz w:val="16"/>
          <w:szCs w:val="16"/>
          <w:color w:val="auto"/>
        </w:rPr>
        <w:t>1998</w:t>
      </w:r>
      <w:r>
        <w:rPr>
          <w:sz w:val="20"/>
          <w:szCs w:val="20"/>
          <w:color w:val="auto"/>
        </w:rPr>
        <w:tab/>
      </w:r>
      <w:r>
        <w:rPr>
          <w:rFonts w:ascii="Courier New" w:cs="Courier New" w:eastAsia="Courier New" w:hAnsi="Courier New"/>
          <w:sz w:val="16"/>
          <w:szCs w:val="16"/>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5180" w:type="dxa"/>
            <w:vAlign w:val="bottom"/>
          </w:tcPr>
          <w:p>
            <w:pPr>
              <w:ind w:left="100"/>
              <w:spacing w:after="0"/>
              <w:rPr>
                <w:sz w:val="20"/>
                <w:szCs w:val="20"/>
                <w:color w:val="auto"/>
              </w:rPr>
            </w:pPr>
            <w:r>
              <w:rPr>
                <w:rFonts w:ascii="Courier New" w:cs="Courier New" w:eastAsia="Courier New" w:hAnsi="Courier New"/>
                <w:sz w:val="16"/>
                <w:szCs w:val="16"/>
                <w:color w:val="auto"/>
              </w:rPr>
              <w:t>Net income</w:t>
            </w:r>
          </w:p>
        </w:tc>
        <w:tc>
          <w:tcPr>
            <w:tcW w:w="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4,991</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5,371</w:t>
            </w:r>
          </w:p>
        </w:tc>
      </w:tr>
      <w:tr>
        <w:trPr>
          <w:trHeight w:val="190"/>
        </w:trPr>
        <w:tc>
          <w:tcPr>
            <w:tcW w:w="5180" w:type="dxa"/>
            <w:vAlign w:val="bottom"/>
          </w:tcPr>
          <w:p>
            <w:pPr>
              <w:ind w:left="100"/>
              <w:spacing w:after="0"/>
              <w:rPr>
                <w:sz w:val="20"/>
                <w:szCs w:val="20"/>
                <w:color w:val="auto"/>
              </w:rPr>
            </w:pPr>
            <w:r>
              <w:rPr>
                <w:rFonts w:ascii="Courier New" w:cs="Courier New" w:eastAsia="Courier New" w:hAnsi="Courier New"/>
                <w:sz w:val="16"/>
                <w:szCs w:val="16"/>
                <w:color w:val="auto"/>
              </w:rPr>
              <w:t>Adjustments to reconcile net income:</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Depreciation</w:t>
            </w:r>
          </w:p>
        </w:tc>
        <w:tc>
          <w:tcPr>
            <w:tcW w:w="340" w:type="dxa"/>
            <w:vAlign w:val="bottom"/>
          </w:tcPr>
          <w:p>
            <w:pPr>
              <w:spacing w:after="0"/>
              <w:rPr>
                <w:sz w:val="16"/>
                <w:szCs w:val="16"/>
                <w:color w:val="auto"/>
              </w:rPr>
            </w:pPr>
          </w:p>
        </w:tc>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2,338</w:t>
            </w:r>
          </w:p>
        </w:tc>
        <w:tc>
          <w:tcPr>
            <w:tcW w:w="30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2,104</w:t>
            </w:r>
          </w:p>
        </w:tc>
      </w:tr>
      <w:tr>
        <w:trPr>
          <w:trHeight w:val="190"/>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5180" w:type="dxa"/>
            <w:vAlign w:val="bottom"/>
          </w:tcPr>
          <w:p>
            <w:pPr>
              <w:ind w:left="300"/>
              <w:spacing w:after="0"/>
              <w:rPr>
                <w:sz w:val="20"/>
                <w:szCs w:val="20"/>
                <w:color w:val="auto"/>
              </w:rPr>
            </w:pPr>
            <w:r>
              <w:rPr>
                <w:rFonts w:ascii="Courier New" w:cs="Courier New" w:eastAsia="Courier New" w:hAnsi="Courier New"/>
                <w:sz w:val="16"/>
                <w:szCs w:val="16"/>
                <w:color w:val="auto"/>
              </w:rPr>
              <w:t>Accounts receivable</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(4,373)</w:t>
            </w:r>
          </w:p>
        </w:tc>
        <w:tc>
          <w:tcPr>
            <w:tcW w:w="30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1,750</w:t>
            </w:r>
          </w:p>
        </w:tc>
      </w:tr>
      <w:tr>
        <w:trPr>
          <w:trHeight w:val="190"/>
        </w:trPr>
        <w:tc>
          <w:tcPr>
            <w:tcW w:w="5180" w:type="dxa"/>
            <w:vAlign w:val="bottom"/>
          </w:tcPr>
          <w:p>
            <w:pPr>
              <w:ind w:left="300"/>
              <w:spacing w:after="0"/>
              <w:rPr>
                <w:sz w:val="20"/>
                <w:szCs w:val="20"/>
                <w:color w:val="auto"/>
              </w:rPr>
            </w:pPr>
            <w:r>
              <w:rPr>
                <w:rFonts w:ascii="Courier New" w:cs="Courier New" w:eastAsia="Courier New" w:hAnsi="Courier New"/>
                <w:sz w:val="16"/>
                <w:szCs w:val="16"/>
                <w:color w:val="auto"/>
              </w:rPr>
              <w:t>Inventories</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(380)</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(145)</w:t>
            </w:r>
          </w:p>
        </w:tc>
      </w:tr>
      <w:tr>
        <w:trPr>
          <w:trHeight w:val="190"/>
        </w:trPr>
        <w:tc>
          <w:tcPr>
            <w:tcW w:w="5180" w:type="dxa"/>
            <w:vAlign w:val="bottom"/>
          </w:tcPr>
          <w:p>
            <w:pPr>
              <w:ind w:left="300"/>
              <w:spacing w:after="0"/>
              <w:rPr>
                <w:sz w:val="20"/>
                <w:szCs w:val="20"/>
                <w:color w:val="auto"/>
              </w:rPr>
            </w:pPr>
            <w:r>
              <w:rPr>
                <w:rFonts w:ascii="Courier New" w:cs="Courier New" w:eastAsia="Courier New" w:hAnsi="Courier New"/>
                <w:sz w:val="16"/>
                <w:szCs w:val="16"/>
                <w:color w:val="auto"/>
              </w:rPr>
              <w:t>Taxes Refundable/Payable</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(221)</w:t>
            </w:r>
          </w:p>
        </w:tc>
        <w:tc>
          <w:tcPr>
            <w:tcW w:w="30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620</w:t>
            </w:r>
          </w:p>
        </w:tc>
      </w:tr>
      <w:tr>
        <w:trPr>
          <w:trHeight w:val="190"/>
        </w:trPr>
        <w:tc>
          <w:tcPr>
            <w:tcW w:w="5180" w:type="dxa"/>
            <w:vAlign w:val="bottom"/>
          </w:tcPr>
          <w:p>
            <w:pPr>
              <w:ind w:left="300"/>
              <w:spacing w:after="0"/>
              <w:rPr>
                <w:sz w:val="20"/>
                <w:szCs w:val="20"/>
                <w:color w:val="auto"/>
              </w:rPr>
            </w:pPr>
            <w:r>
              <w:rPr>
                <w:rFonts w:ascii="Courier New" w:cs="Courier New" w:eastAsia="Courier New" w:hAnsi="Courier New"/>
                <w:sz w:val="16"/>
                <w:szCs w:val="16"/>
                <w:color w:val="auto"/>
              </w:rPr>
              <w:t>Other current assets</w:t>
            </w:r>
          </w:p>
        </w:tc>
        <w:tc>
          <w:tcPr>
            <w:tcW w:w="340" w:type="dxa"/>
            <w:vAlign w:val="bottom"/>
          </w:tcPr>
          <w:p>
            <w:pPr>
              <w:spacing w:after="0"/>
              <w:rPr>
                <w:sz w:val="16"/>
                <w:szCs w:val="16"/>
                <w:color w:val="auto"/>
              </w:rPr>
            </w:pPr>
          </w:p>
        </w:tc>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394</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r>
      <w:tr>
        <w:trPr>
          <w:trHeight w:val="190"/>
        </w:trPr>
        <w:tc>
          <w:tcPr>
            <w:tcW w:w="5180" w:type="dxa"/>
            <w:vAlign w:val="bottom"/>
          </w:tcPr>
          <w:p>
            <w:pPr>
              <w:ind w:left="300"/>
              <w:spacing w:after="0"/>
              <w:rPr>
                <w:sz w:val="20"/>
                <w:szCs w:val="20"/>
                <w:color w:val="auto"/>
              </w:rPr>
            </w:pPr>
            <w:r>
              <w:rPr>
                <w:rFonts w:ascii="Courier New" w:cs="Courier New" w:eastAsia="Courier New" w:hAnsi="Courier New"/>
                <w:sz w:val="16"/>
                <w:szCs w:val="16"/>
                <w:color w:val="auto"/>
              </w:rPr>
              <w:t>Accounts payable</w:t>
            </w:r>
          </w:p>
        </w:tc>
        <w:tc>
          <w:tcPr>
            <w:tcW w:w="340" w:type="dxa"/>
            <w:vAlign w:val="bottom"/>
          </w:tcPr>
          <w:p>
            <w:pPr>
              <w:spacing w:after="0"/>
              <w:rPr>
                <w:sz w:val="16"/>
                <w:szCs w:val="16"/>
                <w:color w:val="auto"/>
              </w:rPr>
            </w:pPr>
          </w:p>
        </w:tc>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1,551</w:t>
            </w:r>
          </w:p>
        </w:tc>
        <w:tc>
          <w:tcPr>
            <w:tcW w:w="30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1,094</w:t>
            </w:r>
          </w:p>
        </w:tc>
      </w:tr>
      <w:tr>
        <w:trPr>
          <w:trHeight w:val="190"/>
        </w:trPr>
        <w:tc>
          <w:tcPr>
            <w:tcW w:w="5180" w:type="dxa"/>
            <w:vAlign w:val="bottom"/>
          </w:tcPr>
          <w:p>
            <w:pPr>
              <w:ind w:left="300"/>
              <w:spacing w:after="0"/>
              <w:rPr>
                <w:sz w:val="20"/>
                <w:szCs w:val="20"/>
                <w:color w:val="auto"/>
              </w:rPr>
            </w:pPr>
            <w:r>
              <w:rPr>
                <w:rFonts w:ascii="Courier New" w:cs="Courier New" w:eastAsia="Courier New" w:hAnsi="Courier New"/>
                <w:sz w:val="16"/>
                <w:szCs w:val="16"/>
                <w:color w:val="auto"/>
              </w:rPr>
              <w:t>Other liabilities</w:t>
            </w:r>
          </w:p>
        </w:tc>
        <w:tc>
          <w:tcPr>
            <w:tcW w:w="340" w:type="dxa"/>
            <w:vAlign w:val="bottom"/>
          </w:tcPr>
          <w:p>
            <w:pPr>
              <w:spacing w:after="0"/>
              <w:rPr>
                <w:sz w:val="16"/>
                <w:szCs w:val="16"/>
                <w:color w:val="auto"/>
              </w:rPr>
            </w:pPr>
          </w:p>
        </w:tc>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564</w:t>
            </w:r>
          </w:p>
        </w:tc>
        <w:tc>
          <w:tcPr>
            <w:tcW w:w="30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156</w:t>
            </w:r>
          </w:p>
        </w:tc>
      </w:tr>
      <w:tr>
        <w:trPr>
          <w:trHeight w:val="190"/>
        </w:trPr>
        <w:tc>
          <w:tcPr>
            <w:tcW w:w="5180" w:type="dxa"/>
            <w:vAlign w:val="bottom"/>
          </w:tcPr>
          <w:p>
            <w:pPr>
              <w:spacing w:after="0"/>
              <w:rPr>
                <w:sz w:val="16"/>
                <w:szCs w:val="16"/>
                <w:color w:val="auto"/>
              </w:rPr>
            </w:pP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180" w:type="dxa"/>
            <w:vAlign w:val="bottom"/>
          </w:tcPr>
          <w:p>
            <w:pPr>
              <w:ind w:left="40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340" w:type="dxa"/>
            <w:vAlign w:val="bottom"/>
          </w:tcPr>
          <w:p>
            <w:pPr>
              <w:spacing w:after="0"/>
              <w:rPr>
                <w:sz w:val="16"/>
                <w:szCs w:val="16"/>
                <w:color w:val="auto"/>
              </w:rPr>
            </w:pPr>
          </w:p>
        </w:tc>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4,864</w:t>
            </w:r>
          </w:p>
        </w:tc>
        <w:tc>
          <w:tcPr>
            <w:tcW w:w="30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10,761</w:t>
            </w:r>
          </w:p>
        </w:tc>
      </w:tr>
      <w:tr>
        <w:trPr>
          <w:trHeight w:val="190"/>
        </w:trPr>
        <w:tc>
          <w:tcPr>
            <w:tcW w:w="5180" w:type="dxa"/>
            <w:vAlign w:val="bottom"/>
          </w:tcPr>
          <w:p>
            <w:pPr>
              <w:spacing w:after="0"/>
              <w:rPr>
                <w:sz w:val="16"/>
                <w:szCs w:val="16"/>
                <w:color w:val="auto"/>
              </w:rPr>
            </w:pP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18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5180" w:type="dxa"/>
            <w:vAlign w:val="bottom"/>
          </w:tcPr>
          <w:p>
            <w:pPr>
              <w:ind w:left="100"/>
              <w:spacing w:after="0"/>
              <w:rPr>
                <w:sz w:val="20"/>
                <w:szCs w:val="20"/>
                <w:color w:val="auto"/>
              </w:rPr>
            </w:pPr>
            <w:r>
              <w:rPr>
                <w:rFonts w:ascii="Courier New" w:cs="Courier New" w:eastAsia="Courier New" w:hAnsi="Courier New"/>
                <w:sz w:val="16"/>
                <w:szCs w:val="16"/>
                <w:color w:val="auto"/>
              </w:rPr>
              <w:t>Acquisition of plant, property, and equipment</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(2,626)</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(2,407)</w:t>
            </w:r>
          </w:p>
        </w:tc>
      </w:tr>
      <w:tr>
        <w:trPr>
          <w:trHeight w:val="190"/>
        </w:trPr>
        <w:tc>
          <w:tcPr>
            <w:tcW w:w="5180" w:type="dxa"/>
            <w:vAlign w:val="bottom"/>
          </w:tcPr>
          <w:p>
            <w:pPr>
              <w:ind w:left="100"/>
              <w:spacing w:after="0"/>
              <w:rPr>
                <w:sz w:val="20"/>
                <w:szCs w:val="20"/>
                <w:color w:val="auto"/>
              </w:rPr>
            </w:pPr>
            <w:r>
              <w:rPr>
                <w:rFonts w:ascii="Courier New" w:cs="Courier New" w:eastAsia="Courier New" w:hAnsi="Courier New"/>
                <w:sz w:val="16"/>
                <w:szCs w:val="16"/>
                <w:color w:val="auto"/>
              </w:rPr>
              <w:t>Other assets</w:t>
            </w:r>
          </w:p>
        </w:tc>
        <w:tc>
          <w:tcPr>
            <w:tcW w:w="340" w:type="dxa"/>
            <w:vAlign w:val="bottom"/>
          </w:tcPr>
          <w:p>
            <w:pPr>
              <w:spacing w:after="0"/>
              <w:rPr>
                <w:sz w:val="16"/>
                <w:szCs w:val="16"/>
                <w:color w:val="auto"/>
              </w:rPr>
            </w:pPr>
          </w:p>
        </w:tc>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44</w:t>
            </w:r>
          </w:p>
        </w:tc>
      </w:tr>
      <w:tr>
        <w:trPr>
          <w:trHeight w:val="190"/>
        </w:trPr>
        <w:tc>
          <w:tcPr>
            <w:tcW w:w="5180" w:type="dxa"/>
            <w:vAlign w:val="bottom"/>
          </w:tcPr>
          <w:p>
            <w:pPr>
              <w:spacing w:after="0"/>
              <w:rPr>
                <w:sz w:val="16"/>
                <w:szCs w:val="16"/>
                <w:color w:val="auto"/>
              </w:rPr>
            </w:pP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Net cash used by investing activities</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(2,626)</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(2,363)</w:t>
            </w:r>
          </w:p>
        </w:tc>
      </w:tr>
      <w:tr>
        <w:trPr>
          <w:trHeight w:val="190"/>
        </w:trPr>
        <w:tc>
          <w:tcPr>
            <w:tcW w:w="5180" w:type="dxa"/>
            <w:vAlign w:val="bottom"/>
          </w:tcPr>
          <w:p>
            <w:pPr>
              <w:spacing w:after="0"/>
              <w:rPr>
                <w:sz w:val="16"/>
                <w:szCs w:val="16"/>
                <w:color w:val="auto"/>
              </w:rPr>
            </w:pP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18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5180" w:type="dxa"/>
            <w:vAlign w:val="bottom"/>
          </w:tcPr>
          <w:p>
            <w:pPr>
              <w:ind w:left="100"/>
              <w:spacing w:after="0"/>
              <w:rPr>
                <w:sz w:val="20"/>
                <w:szCs w:val="20"/>
                <w:color w:val="auto"/>
              </w:rPr>
            </w:pPr>
            <w:r>
              <w:rPr>
                <w:rFonts w:ascii="Courier New" w:cs="Courier New" w:eastAsia="Courier New" w:hAnsi="Courier New"/>
                <w:sz w:val="16"/>
                <w:szCs w:val="16"/>
                <w:color w:val="auto"/>
              </w:rPr>
              <w:t>Proceeds (Payments) under revolving credit facility</w:t>
            </w:r>
          </w:p>
        </w:tc>
        <w:tc>
          <w:tcPr>
            <w:tcW w:w="340" w:type="dxa"/>
            <w:vAlign w:val="bottom"/>
          </w:tcPr>
          <w:p>
            <w:pPr>
              <w:spacing w:after="0"/>
              <w:rPr>
                <w:sz w:val="16"/>
                <w:szCs w:val="16"/>
                <w:color w:val="auto"/>
              </w:rPr>
            </w:pPr>
          </w:p>
        </w:tc>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1,170</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(2,308)</w:t>
            </w:r>
          </w:p>
        </w:tc>
      </w:tr>
      <w:tr>
        <w:trPr>
          <w:trHeight w:val="190"/>
        </w:trPr>
        <w:tc>
          <w:tcPr>
            <w:tcW w:w="5180" w:type="dxa"/>
            <w:vAlign w:val="bottom"/>
          </w:tcPr>
          <w:p>
            <w:pPr>
              <w:ind w:left="100"/>
              <w:spacing w:after="0"/>
              <w:rPr>
                <w:sz w:val="20"/>
                <w:szCs w:val="20"/>
                <w:color w:val="auto"/>
              </w:rPr>
            </w:pPr>
            <w:r>
              <w:rPr>
                <w:rFonts w:ascii="Courier New" w:cs="Courier New" w:eastAsia="Courier New" w:hAnsi="Courier New"/>
                <w:sz w:val="16"/>
                <w:szCs w:val="16"/>
                <w:color w:val="auto"/>
              </w:rPr>
              <w:t>Dividends</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(2,369)</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(2,329)</w:t>
            </w:r>
          </w:p>
        </w:tc>
      </w:tr>
      <w:tr>
        <w:trPr>
          <w:trHeight w:val="190"/>
        </w:trPr>
        <w:tc>
          <w:tcPr>
            <w:tcW w:w="5180" w:type="dxa"/>
            <w:vAlign w:val="bottom"/>
          </w:tcPr>
          <w:p>
            <w:pPr>
              <w:ind w:left="100"/>
              <w:spacing w:after="0"/>
              <w:rPr>
                <w:sz w:val="20"/>
                <w:szCs w:val="20"/>
                <w:color w:val="auto"/>
              </w:rPr>
            </w:pPr>
            <w:r>
              <w:rPr>
                <w:rFonts w:ascii="Courier New" w:cs="Courier New" w:eastAsia="Courier New" w:hAnsi="Courier New"/>
                <w:sz w:val="16"/>
                <w:szCs w:val="16"/>
                <w:color w:val="auto"/>
              </w:rPr>
              <w:t>Stock options exercised</w:t>
            </w:r>
          </w:p>
        </w:tc>
        <w:tc>
          <w:tcPr>
            <w:tcW w:w="340" w:type="dxa"/>
            <w:vAlign w:val="bottom"/>
          </w:tcPr>
          <w:p>
            <w:pPr>
              <w:spacing w:after="0"/>
              <w:rPr>
                <w:sz w:val="16"/>
                <w:szCs w:val="16"/>
                <w:color w:val="auto"/>
              </w:rPr>
            </w:pPr>
          </w:p>
        </w:tc>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180" w:type="dxa"/>
            <w:vAlign w:val="bottom"/>
          </w:tcPr>
          <w:p>
            <w:pPr>
              <w:ind w:left="100"/>
              <w:spacing w:after="0"/>
              <w:rPr>
                <w:sz w:val="20"/>
                <w:szCs w:val="20"/>
                <w:color w:val="auto"/>
              </w:rPr>
            </w:pPr>
            <w:r>
              <w:rPr>
                <w:rFonts w:ascii="Courier New" w:cs="Courier New" w:eastAsia="Courier New" w:hAnsi="Courier New"/>
                <w:sz w:val="16"/>
                <w:szCs w:val="16"/>
                <w:color w:val="auto"/>
              </w:rPr>
              <w:t>Stock repurchased</w:t>
            </w:r>
          </w:p>
        </w:tc>
        <w:tc>
          <w:tcPr>
            <w:tcW w:w="340" w:type="dxa"/>
            <w:vAlign w:val="bottom"/>
          </w:tcPr>
          <w:p>
            <w:pPr>
              <w:spacing w:after="0"/>
              <w:rPr>
                <w:sz w:val="16"/>
                <w:szCs w:val="16"/>
                <w:color w:val="auto"/>
              </w:rPr>
            </w:pPr>
          </w:p>
        </w:tc>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(999)</w:t>
            </w:r>
          </w:p>
        </w:tc>
      </w:tr>
      <w:tr>
        <w:trPr>
          <w:trHeight w:val="190"/>
        </w:trPr>
        <w:tc>
          <w:tcPr>
            <w:tcW w:w="5180" w:type="dxa"/>
            <w:vAlign w:val="bottom"/>
          </w:tcPr>
          <w:p>
            <w:pPr>
              <w:ind w:left="100"/>
              <w:spacing w:after="0"/>
              <w:rPr>
                <w:sz w:val="20"/>
                <w:szCs w:val="20"/>
                <w:color w:val="auto"/>
              </w:rPr>
            </w:pPr>
            <w:r>
              <w:rPr>
                <w:rFonts w:ascii="Courier New" w:cs="Courier New" w:eastAsia="Courier New" w:hAnsi="Courier New"/>
                <w:sz w:val="16"/>
                <w:szCs w:val="16"/>
                <w:color w:val="auto"/>
              </w:rPr>
              <w:t>Cumulative effect of currency translation</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c>
          <w:tcPr>
            <w:tcW w:w="30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180" w:type="dxa"/>
            <w:vAlign w:val="bottom"/>
          </w:tcPr>
          <w:p>
            <w:pPr>
              <w:spacing w:after="0"/>
              <w:rPr>
                <w:sz w:val="16"/>
                <w:szCs w:val="16"/>
                <w:color w:val="auto"/>
              </w:rPr>
            </w:pP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Net cash (used) by financing activities</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(1,388)</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(5,636)</w:t>
            </w:r>
          </w:p>
        </w:tc>
      </w:tr>
      <w:tr>
        <w:trPr>
          <w:trHeight w:val="190"/>
        </w:trPr>
        <w:tc>
          <w:tcPr>
            <w:tcW w:w="5180" w:type="dxa"/>
            <w:vAlign w:val="bottom"/>
          </w:tcPr>
          <w:p>
            <w:pPr>
              <w:spacing w:after="0"/>
              <w:rPr>
                <w:sz w:val="16"/>
                <w:szCs w:val="16"/>
                <w:color w:val="auto"/>
              </w:rPr>
            </w:pP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180" w:type="dxa"/>
            <w:vAlign w:val="bottom"/>
          </w:tcPr>
          <w:p>
            <w:pPr>
              <w:spacing w:after="0"/>
              <w:rPr>
                <w:sz w:val="20"/>
                <w:szCs w:val="20"/>
                <w:color w:val="auto"/>
              </w:rPr>
            </w:pPr>
            <w:r>
              <w:rPr>
                <w:rFonts w:ascii="Courier New" w:cs="Courier New" w:eastAsia="Courier New" w:hAnsi="Courier New"/>
                <w:sz w:val="16"/>
                <w:szCs w:val="16"/>
                <w:color w:val="auto"/>
              </w:rPr>
              <w:t>Net Change in Cash and Cash Equivalents</w:t>
            </w:r>
          </w:p>
        </w:tc>
        <w:tc>
          <w:tcPr>
            <w:tcW w:w="340" w:type="dxa"/>
            <w:vAlign w:val="bottom"/>
          </w:tcPr>
          <w:p>
            <w:pPr>
              <w:spacing w:after="0"/>
              <w:rPr>
                <w:sz w:val="24"/>
                <w:szCs w:val="24"/>
                <w:color w:val="auto"/>
              </w:rPr>
            </w:pPr>
          </w:p>
        </w:tc>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850</w:t>
            </w:r>
          </w:p>
        </w:tc>
        <w:tc>
          <w:tcPr>
            <w:tcW w:w="300" w:type="dxa"/>
            <w:vAlign w:val="bottom"/>
          </w:tcPr>
          <w:p>
            <w:pPr>
              <w:spacing w:after="0"/>
              <w:rPr>
                <w:sz w:val="24"/>
                <w:szCs w:val="24"/>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2,762</w:t>
            </w:r>
          </w:p>
        </w:tc>
      </w:tr>
      <w:tr>
        <w:trPr>
          <w:trHeight w:val="190"/>
        </w:trPr>
        <w:tc>
          <w:tcPr>
            <w:tcW w:w="518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340" w:type="dxa"/>
            <w:vAlign w:val="bottom"/>
          </w:tcPr>
          <w:p>
            <w:pPr>
              <w:spacing w:after="0"/>
              <w:rPr>
                <w:sz w:val="16"/>
                <w:szCs w:val="16"/>
                <w:color w:val="auto"/>
              </w:rPr>
            </w:pPr>
          </w:p>
        </w:tc>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366</w:t>
            </w:r>
          </w:p>
        </w:tc>
        <w:tc>
          <w:tcPr>
            <w:tcW w:w="30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180" w:type="dxa"/>
            <w:vAlign w:val="bottom"/>
          </w:tcPr>
          <w:p>
            <w:pPr>
              <w:spacing w:after="0"/>
              <w:rPr>
                <w:sz w:val="16"/>
                <w:szCs w:val="16"/>
                <w:color w:val="auto"/>
              </w:rPr>
            </w:pP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18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1,216</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2,762</w:t>
            </w:r>
          </w:p>
        </w:tc>
      </w:tr>
      <w:tr>
        <w:trPr>
          <w:trHeight w:val="190"/>
        </w:trPr>
        <w:tc>
          <w:tcPr>
            <w:tcW w:w="5180" w:type="dxa"/>
            <w:vAlign w:val="bottom"/>
          </w:tcPr>
          <w:p>
            <w:pPr>
              <w:spacing w:after="0"/>
              <w:rPr>
                <w:sz w:val="16"/>
                <w:szCs w:val="16"/>
                <w:color w:val="auto"/>
              </w:rPr>
            </w:pP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180" w:type="dxa"/>
            <w:vAlign w:val="bottom"/>
          </w:tcPr>
          <w:p>
            <w:pPr>
              <w:spacing w:after="0"/>
              <w:rPr>
                <w:sz w:val="16"/>
                <w:szCs w:val="16"/>
                <w:color w:val="auto"/>
              </w:rPr>
            </w:pP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See accompanying notes.</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1064" w:right="1440" w:bottom="1440" w:gutter="0" w:footer="0" w:header="0"/>
        </w:sectPr>
      </w:pPr>
    </w:p>
    <w:bookmarkStart w:id="6" w:name="page7"/>
    <w:bookmarkEnd w:id="6"/>
    <w:p>
      <w:pPr>
        <w:ind w:left="3160"/>
        <w:spacing w:after="0"/>
        <w:rPr>
          <w:sz w:val="20"/>
          <w:szCs w:val="20"/>
          <w:color w:val="auto"/>
        </w:rPr>
      </w:pPr>
      <w:r>
        <w:rPr>
          <w:rFonts w:ascii="Courier New" w:cs="Courier New" w:eastAsia="Courier New" w:hAnsi="Courier New"/>
          <w:sz w:val="16"/>
          <w:szCs w:val="16"/>
          <w:color w:val="auto"/>
        </w:rPr>
        <w:t>NN Ball &amp; Roller, Inc.</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Notes To Condensed Financial Statements</w:t>
      </w:r>
    </w:p>
    <w:p>
      <w:pPr>
        <w:spacing w:after="0" w:line="200" w:lineRule="exact"/>
        <w:rPr>
          <w:sz w:val="20"/>
          <w:szCs w:val="20"/>
          <w:color w:val="auto"/>
        </w:rPr>
      </w:pPr>
    </w:p>
    <w:p>
      <w:pPr>
        <w:spacing w:after="0" w:line="37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1.</w:t>
        <w:tab/>
        <w:t>Interim Financial Statements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accompanying condensed financial statements of NN Ball &amp; Roller, Inc. have not been audited by independent accountants, except for the balance sheet at December 31, 1997. In the opinion of the Company's management, the financial statements reflect all adjustments necessary to present fairly the results of operations for the three and six month periods ended June 30, 1998 and 1997, the Company's financial position at June 30, 1998 and December 31, 1997, and the cash flows for the six month periods ended June 30, 1998 and 1997. These adjustments are of a normal recurring nature and are, in the opinion of management, necessary for fair presentation of the financial position and operating results for the interim periods.</w:t>
      </w:r>
    </w:p>
    <w:p>
      <w:pPr>
        <w:spacing w:after="0" w:line="190"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In June 1997, the FASB issued Statement No. 130 "Reporting Comprehensive Income" (FAS 130), which established standards for reporting and displaying comprehensive income and its components within an entity's financial statements. FAS 130, which is effective for the Company's 1998 first quarter financial reporting, defines the components of other comprehensive income to include foreign currency translation adjustments, unrealized gains and losses on marketable securities and minimum pension adjustments. Currently the Company's only component of comprehensive income is foreign currency translation which is presented before tax due to the Company's intention to indefinitely reinvest earnings of its subsidiary outside the United States.</w:t>
      </w:r>
    </w:p>
    <w:p>
      <w:pPr>
        <w:spacing w:after="0" w:line="190" w:lineRule="exact"/>
        <w:rPr>
          <w:sz w:val="20"/>
          <w:szCs w:val="20"/>
          <w:color w:val="auto"/>
        </w:rPr>
      </w:pPr>
    </w:p>
    <w:p>
      <w:pPr>
        <w:ind w:right="2819"/>
        <w:spacing w:after="0" w:line="252" w:lineRule="auto"/>
        <w:rPr>
          <w:sz w:val="20"/>
          <w:szCs w:val="20"/>
          <w:color w:val="auto"/>
        </w:rPr>
      </w:pPr>
      <w:r>
        <w:rPr>
          <w:rFonts w:ascii="Courier New" w:cs="Courier New" w:eastAsia="Courier New" w:hAnsi="Courier New"/>
          <w:sz w:val="16"/>
          <w:szCs w:val="16"/>
          <w:color w:val="auto"/>
        </w:rPr>
        <w:t>Certain information and footnote disclosures normally included in financial statements prepared in accordance with generally accepted accounting principles have been condensed or omitted from the interim financial statements presented in this Quarterly Report on Form 10-Q.</w:t>
      </w:r>
    </w:p>
    <w:p>
      <w:pPr>
        <w:spacing w:after="0" w:line="187" w:lineRule="exact"/>
        <w:rPr>
          <w:sz w:val="20"/>
          <w:szCs w:val="20"/>
          <w:color w:val="auto"/>
        </w:rPr>
      </w:pPr>
    </w:p>
    <w:p>
      <w:pPr>
        <w:ind w:right="3019"/>
        <w:spacing w:after="0" w:line="255" w:lineRule="auto"/>
        <w:rPr>
          <w:sz w:val="20"/>
          <w:szCs w:val="20"/>
          <w:color w:val="auto"/>
        </w:rPr>
      </w:pPr>
      <w:r>
        <w:rPr>
          <w:rFonts w:ascii="Courier New" w:cs="Courier New" w:eastAsia="Courier New" w:hAnsi="Courier New"/>
          <w:sz w:val="16"/>
          <w:szCs w:val="16"/>
          <w:color w:val="auto"/>
        </w:rPr>
        <w:t>The results for the first and second quarters of 1998 are not necessarily indicative of future results.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Inventories</w:t>
      </w:r>
    </w:p>
    <w:p>
      <w:pPr>
        <w:spacing w:after="0" w:line="198"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6"/>
          <w:szCs w:val="16"/>
          <w:color w:val="auto"/>
        </w:rPr>
        <w:t>Inventories are stated at the lower of cost or market, with cost being determined by the first-in, first-out method.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 are comprised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152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June 30,</w:t>
            </w:r>
          </w:p>
        </w:tc>
        <w:tc>
          <w:tcPr>
            <w:tcW w:w="1480" w:type="dxa"/>
            <w:vAlign w:val="bottom"/>
          </w:tcPr>
          <w:p>
            <w:pPr>
              <w:jc w:val="center"/>
              <w:ind w:left="218"/>
              <w:spacing w:after="0"/>
              <w:rPr>
                <w:sz w:val="20"/>
                <w:szCs w:val="20"/>
                <w:color w:val="auto"/>
              </w:rPr>
            </w:pPr>
            <w:r>
              <w:rPr>
                <w:rFonts w:ascii="Courier New" w:cs="Courier New" w:eastAsia="Courier New" w:hAnsi="Courier New"/>
                <w:sz w:val="16"/>
                <w:szCs w:val="16"/>
                <w:color w:val="auto"/>
              </w:rPr>
              <w:t>December 31,</w:t>
            </w:r>
          </w:p>
        </w:tc>
      </w:tr>
      <w:tr>
        <w:trPr>
          <w:trHeight w:val="190"/>
        </w:trPr>
        <w:tc>
          <w:tcPr>
            <w:tcW w:w="4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ind w:right="598"/>
              <w:spacing w:after="0"/>
              <w:rPr>
                <w:sz w:val="20"/>
                <w:szCs w:val="20"/>
                <w:color w:val="auto"/>
              </w:rPr>
            </w:pPr>
            <w:r>
              <w:rPr>
                <w:rFonts w:ascii="Courier New" w:cs="Courier New" w:eastAsia="Courier New" w:hAnsi="Courier New"/>
                <w:sz w:val="16"/>
                <w:szCs w:val="16"/>
                <w:color w:val="auto"/>
                <w:w w:val="98"/>
              </w:rPr>
              <w:t>1998</w:t>
            </w:r>
          </w:p>
        </w:tc>
        <w:tc>
          <w:tcPr>
            <w:tcW w:w="1480" w:type="dxa"/>
            <w:vAlign w:val="bottom"/>
          </w:tcPr>
          <w:p>
            <w:pPr>
              <w:jc w:val="center"/>
              <w:ind w:left="238"/>
              <w:spacing w:after="0"/>
              <w:rPr>
                <w:sz w:val="20"/>
                <w:szCs w:val="20"/>
                <w:color w:val="auto"/>
              </w:rPr>
            </w:pPr>
            <w:r>
              <w:rPr>
                <w:rFonts w:ascii="Courier New" w:cs="Courier New" w:eastAsia="Courier New" w:hAnsi="Courier New"/>
                <w:sz w:val="16"/>
                <w:szCs w:val="16"/>
                <w:color w:val="auto"/>
              </w:rPr>
              <w:t>1997</w:t>
            </w:r>
          </w:p>
        </w:tc>
      </w:tr>
      <w:tr>
        <w:trPr>
          <w:trHeight w:val="190"/>
        </w:trPr>
        <w:tc>
          <w:tcPr>
            <w:tcW w:w="4880" w:type="dxa"/>
            <w:vAlign w:val="bottom"/>
          </w:tcPr>
          <w:p>
            <w:pPr>
              <w:spacing w:after="0"/>
              <w:rPr>
                <w:sz w:val="16"/>
                <w:szCs w:val="16"/>
                <w:color w:val="auto"/>
              </w:rPr>
            </w:pPr>
          </w:p>
        </w:tc>
        <w:tc>
          <w:tcPr>
            <w:tcW w:w="15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(Unaudited)</w:t>
            </w:r>
          </w:p>
        </w:tc>
        <w:tc>
          <w:tcPr>
            <w:tcW w:w="1480" w:type="dxa"/>
            <w:vAlign w:val="bottom"/>
          </w:tcPr>
          <w:p>
            <w:pPr>
              <w:spacing w:after="0"/>
              <w:rPr>
                <w:sz w:val="16"/>
                <w:szCs w:val="16"/>
                <w:color w:val="auto"/>
              </w:rPr>
            </w:pPr>
          </w:p>
        </w:tc>
      </w:tr>
      <w:tr>
        <w:trPr>
          <w:trHeight w:val="190"/>
        </w:trPr>
        <w:tc>
          <w:tcPr>
            <w:tcW w:w="4880" w:type="dxa"/>
            <w:vAlign w:val="bottom"/>
          </w:tcPr>
          <w:p>
            <w:pPr>
              <w:spacing w:after="0"/>
              <w:rPr>
                <w:sz w:val="16"/>
                <w:szCs w:val="16"/>
                <w:color w:val="auto"/>
              </w:rPr>
            </w:pPr>
          </w:p>
        </w:tc>
        <w:tc>
          <w:tcPr>
            <w:tcW w:w="1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center"/>
              <w:ind w:lef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488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2,401</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  2,911</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Work in process</w:t>
            </w:r>
          </w:p>
        </w:tc>
        <w:tc>
          <w:tcPr>
            <w:tcW w:w="440" w:type="dxa"/>
            <w:vAlign w:val="bottom"/>
          </w:tcPr>
          <w:p>
            <w:pPr>
              <w:spacing w:after="0"/>
              <w:rPr>
                <w:sz w:val="16"/>
                <w:szCs w:val="16"/>
                <w:color w:val="auto"/>
              </w:rPr>
            </w:pPr>
          </w:p>
        </w:tc>
        <w:tc>
          <w:tcPr>
            <w:tcW w:w="10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3,058</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2,793</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440" w:type="dxa"/>
            <w:vAlign w:val="bottom"/>
          </w:tcPr>
          <w:p>
            <w:pPr>
              <w:spacing w:after="0"/>
              <w:rPr>
                <w:sz w:val="16"/>
                <w:szCs w:val="16"/>
                <w:color w:val="auto"/>
              </w:rPr>
            </w:pPr>
          </w:p>
        </w:tc>
        <w:tc>
          <w:tcPr>
            <w:tcW w:w="10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6,846</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6,221</w:t>
            </w:r>
          </w:p>
        </w:tc>
      </w:tr>
      <w:tr>
        <w:trPr>
          <w:trHeight w:val="190"/>
        </w:trPr>
        <w:tc>
          <w:tcPr>
            <w:tcW w:w="4880" w:type="dxa"/>
            <w:vAlign w:val="bottom"/>
          </w:tcPr>
          <w:p>
            <w:pPr>
              <w:spacing w:after="0"/>
              <w:rPr>
                <w:sz w:val="16"/>
                <w:szCs w:val="16"/>
                <w:color w:val="auto"/>
              </w:rPr>
            </w:pPr>
          </w:p>
        </w:tc>
        <w:tc>
          <w:tcPr>
            <w:tcW w:w="152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12,305</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11,925</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Less - Reserve for excess and obsolete inventory</w:t>
            </w:r>
          </w:p>
        </w:tc>
        <w:tc>
          <w:tcPr>
            <w:tcW w:w="440" w:type="dxa"/>
            <w:vAlign w:val="bottom"/>
          </w:tcPr>
          <w:p>
            <w:pPr>
              <w:spacing w:after="0"/>
              <w:rPr>
                <w:sz w:val="16"/>
                <w:szCs w:val="16"/>
                <w:color w:val="auto"/>
              </w:rPr>
            </w:pPr>
          </w:p>
        </w:tc>
        <w:tc>
          <w:tcPr>
            <w:tcW w:w="10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60</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60</w:t>
            </w:r>
          </w:p>
        </w:tc>
      </w:tr>
      <w:tr>
        <w:trPr>
          <w:trHeight w:val="190"/>
        </w:trPr>
        <w:tc>
          <w:tcPr>
            <w:tcW w:w="4880" w:type="dxa"/>
            <w:vAlign w:val="bottom"/>
          </w:tcPr>
          <w:p>
            <w:pPr>
              <w:spacing w:after="0"/>
              <w:rPr>
                <w:sz w:val="16"/>
                <w:szCs w:val="16"/>
                <w:color w:val="auto"/>
              </w:rPr>
            </w:pPr>
          </w:p>
        </w:tc>
        <w:tc>
          <w:tcPr>
            <w:tcW w:w="152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880" w:type="dxa"/>
            <w:vAlign w:val="bottom"/>
          </w:tcPr>
          <w:p>
            <w:pPr>
              <w:spacing w:after="0"/>
              <w:rPr>
                <w:sz w:val="16"/>
                <w:szCs w:val="16"/>
                <w:color w:val="auto"/>
              </w:rPr>
            </w:pP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12,245</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$11,865</w:t>
            </w:r>
          </w:p>
        </w:tc>
      </w:tr>
      <w:tr>
        <w:trPr>
          <w:trHeight w:val="190"/>
        </w:trPr>
        <w:tc>
          <w:tcPr>
            <w:tcW w:w="4880" w:type="dxa"/>
            <w:vAlign w:val="bottom"/>
          </w:tcPr>
          <w:p>
            <w:pPr>
              <w:spacing w:after="0"/>
              <w:rPr>
                <w:sz w:val="16"/>
                <w:szCs w:val="16"/>
                <w:color w:val="auto"/>
              </w:rPr>
            </w:pPr>
          </w:p>
        </w:tc>
        <w:tc>
          <w:tcPr>
            <w:tcW w:w="152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880" w:type="dxa"/>
            <w:vAlign w:val="bottom"/>
          </w:tcPr>
          <w:p>
            <w:pPr>
              <w:spacing w:after="0"/>
              <w:rPr>
                <w:sz w:val="16"/>
                <w:szCs w:val="16"/>
                <w:color w:val="auto"/>
              </w:rPr>
            </w:pPr>
          </w:p>
        </w:tc>
        <w:tc>
          <w:tcPr>
            <w:tcW w:w="152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8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Note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Net Income Per Share</w:t>
      </w:r>
    </w:p>
    <w:p>
      <w:pPr>
        <w:spacing w:after="0" w:line="200" w:lineRule="exact"/>
        <w:rPr>
          <w:sz w:val="20"/>
          <w:szCs w:val="20"/>
          <w:color w:val="auto"/>
        </w:rPr>
      </w:pPr>
    </w:p>
    <w:p>
      <w:pPr>
        <w:sectPr>
          <w:pgSz w:w="11900" w:h="16838" w:orient="portrait"/>
          <w:cols w:equalWidth="0" w:num="2">
            <w:col w:w="700" w:space="180"/>
            <w:col w:w="10640"/>
          </w:cols>
          <w:pgMar w:left="240" w:top="1064" w:right="139" w:bottom="1440" w:gutter="0" w:footer="0" w:header="0"/>
        </w:sectPr>
      </w:pPr>
    </w:p>
    <w:p>
      <w:pPr>
        <w:spacing w:after="0" w:line="377" w:lineRule="exact"/>
        <w:rPr>
          <w:sz w:val="20"/>
          <w:szCs w:val="20"/>
          <w:color w:val="auto"/>
        </w:rPr>
      </w:pPr>
    </w:p>
    <w:p>
      <w:pPr>
        <w:jc w:val="center"/>
        <w:ind w:left="5640"/>
        <w:spacing w:after="0"/>
        <w:rPr>
          <w:sz w:val="20"/>
          <w:szCs w:val="20"/>
          <w:color w:val="auto"/>
        </w:rPr>
      </w:pPr>
      <w:r>
        <w:rPr>
          <w:rFonts w:ascii="Courier New" w:cs="Courier New" w:eastAsia="Courier New" w:hAnsi="Courier New"/>
          <w:sz w:val="16"/>
          <w:szCs w:val="16"/>
          <w:color w:val="auto"/>
        </w:rPr>
        <w:t>Three Months Ended</w:t>
      </w:r>
    </w:p>
    <w:p>
      <w:pPr>
        <w:spacing w:after="0" w:line="8" w:lineRule="exact"/>
        <w:rPr>
          <w:sz w:val="20"/>
          <w:szCs w:val="20"/>
          <w:color w:val="auto"/>
        </w:rPr>
      </w:pPr>
    </w:p>
    <w:p>
      <w:pPr>
        <w:jc w:val="center"/>
        <w:ind w:left="5640"/>
        <w:spacing w:after="0"/>
        <w:rPr>
          <w:sz w:val="20"/>
          <w:szCs w:val="20"/>
          <w:color w:val="auto"/>
        </w:rPr>
      </w:pPr>
      <w:r>
        <w:rPr>
          <w:rFonts w:ascii="Courier New" w:cs="Courier New" w:eastAsia="Courier New" w:hAnsi="Courier New"/>
          <w:sz w:val="16"/>
          <w:szCs w:val="16"/>
          <w:color w:val="auto"/>
        </w:rPr>
        <w:t>June 30,</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Six Months Ended</w:t>
      </w:r>
    </w:p>
    <w:p>
      <w:pPr>
        <w:spacing w:after="0" w:line="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June 30,</w:t>
      </w:r>
    </w:p>
    <w:p>
      <w:pPr>
        <w:spacing w:after="0" w:line="8" w:lineRule="exact"/>
        <w:rPr>
          <w:sz w:val="20"/>
          <w:szCs w:val="20"/>
          <w:color w:val="auto"/>
        </w:rPr>
      </w:pPr>
    </w:p>
    <w:p>
      <w:pPr>
        <w:sectPr>
          <w:pgSz w:w="11900" w:h="16838" w:orient="portrait"/>
          <w:cols w:equalWidth="0" w:num="2">
            <w:col w:w="8360" w:space="720"/>
            <w:col w:w="2440"/>
          </w:cols>
          <w:pgMar w:left="240" w:top="1064" w:right="139" w:bottom="1440" w:gutter="0" w:footer="0" w:header="0"/>
          <w:type w:val="continuous"/>
        </w:sectPr>
      </w:pPr>
    </w:p>
    <w:p>
      <w:pPr>
        <w:ind w:left="6020"/>
        <w:spacing w:after="0"/>
        <w:rPr>
          <w:sz w:val="20"/>
          <w:szCs w:val="20"/>
          <w:color w:val="auto"/>
        </w:rPr>
      </w:pPr>
      <w:r>
        <w:rPr>
          <w:rFonts w:ascii="Courier New" w:cs="Courier New" w:eastAsia="Courier New" w:hAnsi="Courier New"/>
          <w:sz w:val="15"/>
          <w:szCs w:val="15"/>
          <w:color w:val="auto"/>
        </w:rPr>
        <w:t>1998</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Courier New" w:cs="Courier New" w:eastAsia="Courier New" w:hAnsi="Courier New"/>
          <w:sz w:val="15"/>
          <w:szCs w:val="15"/>
          <w:color w:val="auto"/>
        </w:rPr>
        <w:t>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1997</w:t>
      </w:r>
    </w:p>
    <w:p>
      <w:pPr>
        <w:spacing w:after="0" w:line="20" w:lineRule="exact"/>
        <w:rPr>
          <w:sz w:val="20"/>
          <w:szCs w:val="20"/>
          <w:color w:val="auto"/>
        </w:rPr>
      </w:pPr>
    </w:p>
    <w:p>
      <w:pPr>
        <w:sectPr>
          <w:pgSz w:w="11900" w:h="16838" w:orient="portrait"/>
          <w:cols w:equalWidth="0" w:num="4">
            <w:col w:w="6780" w:space="720"/>
            <w:col w:w="860" w:space="720"/>
            <w:col w:w="660" w:space="720"/>
            <w:col w:w="1060"/>
          </w:cols>
          <w:pgMar w:left="240" w:top="1064" w:right="13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Thousands of Dollars, Except Share and Per Share Data</w:t>
      </w:r>
    </w:p>
    <w:p>
      <w:pPr>
        <w:sectPr>
          <w:pgSz w:w="11900" w:h="16838" w:orient="portrait"/>
          <w:cols w:equalWidth="0" w:num="1">
            <w:col w:w="11520"/>
          </w:cols>
          <w:pgMar w:left="240" w:top="1064" w:right="1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2,324</w:t>
            </w:r>
          </w:p>
        </w:tc>
        <w:tc>
          <w:tcPr>
            <w:tcW w:w="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2,732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4,991</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5,371</w:t>
            </w:r>
          </w:p>
        </w:tc>
      </w:tr>
      <w:tr>
        <w:trPr>
          <w:trHeight w:val="190"/>
        </w:trPr>
        <w:tc>
          <w:tcPr>
            <w:tcW w:w="4340" w:type="dxa"/>
            <w:vAlign w:val="bottom"/>
          </w:tcPr>
          <w:p>
            <w:pPr>
              <w:spacing w:after="0"/>
              <w:rPr>
                <w:sz w:val="20"/>
                <w:szCs w:val="20"/>
                <w:color w:val="auto"/>
              </w:rPr>
            </w:pPr>
            <w:r>
              <w:rPr>
                <w:rFonts w:ascii="Courier New" w:cs="Courier New" w:eastAsia="Courier New" w:hAnsi="Courier New"/>
                <w:sz w:val="16"/>
                <w:szCs w:val="16"/>
                <w:color w:val="auto"/>
              </w:rPr>
              <w:t>Adjustments to net income</w:t>
            </w:r>
          </w:p>
        </w:tc>
        <w:tc>
          <w:tcPr>
            <w:tcW w:w="1380" w:type="dxa"/>
            <w:vAlign w:val="bottom"/>
          </w:tcPr>
          <w:p>
            <w:pPr>
              <w:spacing w:after="0"/>
              <w:rPr>
                <w:sz w:val="16"/>
                <w:szCs w:val="16"/>
                <w:color w:val="auto"/>
              </w:rPr>
            </w:pPr>
          </w:p>
        </w:tc>
        <w:tc>
          <w:tcPr>
            <w:tcW w:w="11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spacing w:after="0"/>
              <w:rPr>
                <w:sz w:val="16"/>
                <w:szCs w:val="16"/>
                <w:color w:val="auto"/>
              </w:rPr>
            </w:pPr>
          </w:p>
        </w:tc>
        <w:tc>
          <w:tcPr>
            <w:tcW w:w="25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Net income</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2,324</w:t>
            </w:r>
          </w:p>
        </w:tc>
        <w:tc>
          <w:tcPr>
            <w:tcW w:w="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2,732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4,991</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5,371</w:t>
            </w:r>
          </w:p>
        </w:tc>
      </w:tr>
      <w:tr>
        <w:trPr>
          <w:trHeight w:val="190"/>
        </w:trPr>
        <w:tc>
          <w:tcPr>
            <w:tcW w:w="4340" w:type="dxa"/>
            <w:vAlign w:val="bottom"/>
          </w:tcPr>
          <w:p>
            <w:pPr>
              <w:spacing w:after="0"/>
              <w:rPr>
                <w:sz w:val="16"/>
                <w:szCs w:val="16"/>
                <w:color w:val="auto"/>
              </w:rPr>
            </w:pPr>
          </w:p>
        </w:tc>
        <w:tc>
          <w:tcPr>
            <w:tcW w:w="25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spacing w:after="0"/>
              <w:rPr>
                <w:sz w:val="16"/>
                <w:szCs w:val="16"/>
                <w:color w:val="auto"/>
              </w:rPr>
            </w:pPr>
          </w:p>
        </w:tc>
        <w:tc>
          <w:tcPr>
            <w:tcW w:w="25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spacing w:after="0"/>
              <w:rPr>
                <w:sz w:val="20"/>
                <w:szCs w:val="20"/>
                <w:color w:val="auto"/>
              </w:rPr>
            </w:pPr>
            <w:r>
              <w:rPr>
                <w:rFonts w:ascii="Courier New" w:cs="Courier New" w:eastAsia="Courier New" w:hAnsi="Courier New"/>
                <w:sz w:val="16"/>
                <w:szCs w:val="16"/>
                <w:color w:val="auto"/>
              </w:rPr>
              <w:t>Basic shares outstanding</w:t>
            </w:r>
          </w:p>
        </w:tc>
        <w:tc>
          <w:tcPr>
            <w:tcW w:w="1380" w:type="dxa"/>
            <w:vAlign w:val="bottom"/>
          </w:tcPr>
          <w:p>
            <w:pPr>
              <w:spacing w:after="0"/>
              <w:rPr>
                <w:sz w:val="16"/>
                <w:szCs w:val="16"/>
                <w:color w:val="auto"/>
              </w:rPr>
            </w:pPr>
          </w:p>
        </w:tc>
        <w:tc>
          <w:tcPr>
            <w:tcW w:w="11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9"/>
              </w:rPr>
              <w:t>14,804,244</w:t>
            </w:r>
          </w:p>
        </w:tc>
        <w:tc>
          <w:tcPr>
            <w:tcW w:w="34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14,543,242</w:t>
            </w:r>
          </w:p>
        </w:tc>
        <w:tc>
          <w:tcPr>
            <w:tcW w:w="340" w:type="dxa"/>
            <w:vAlign w:val="bottom"/>
          </w:tcPr>
          <w:p>
            <w:pPr>
              <w:spacing w:after="0"/>
              <w:rPr>
                <w:sz w:val="16"/>
                <w:szCs w:val="16"/>
                <w:color w:val="auto"/>
              </w:rPr>
            </w:pP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14,804,244</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14,543,242</w:t>
            </w:r>
          </w:p>
        </w:tc>
      </w:tr>
      <w:tr>
        <w:trPr>
          <w:trHeight w:val="190"/>
        </w:trPr>
        <w:tc>
          <w:tcPr>
            <w:tcW w:w="4340" w:type="dxa"/>
            <w:vAlign w:val="bottom"/>
          </w:tcPr>
          <w:p>
            <w:pPr>
              <w:spacing w:after="0"/>
              <w:rPr>
                <w:sz w:val="20"/>
                <w:szCs w:val="20"/>
                <w:color w:val="auto"/>
              </w:rPr>
            </w:pPr>
            <w:r>
              <w:rPr>
                <w:rFonts w:ascii="Courier New" w:cs="Courier New" w:eastAsia="Courier New" w:hAnsi="Courier New"/>
                <w:sz w:val="16"/>
                <w:szCs w:val="16"/>
                <w:color w:val="auto"/>
              </w:rPr>
              <w:t>Effect of dilutive stock options</w:t>
            </w:r>
          </w:p>
        </w:tc>
        <w:tc>
          <w:tcPr>
            <w:tcW w:w="1380" w:type="dxa"/>
            <w:vAlign w:val="bottom"/>
          </w:tcPr>
          <w:p>
            <w:pPr>
              <w:spacing w:after="0"/>
              <w:rPr>
                <w:sz w:val="16"/>
                <w:szCs w:val="16"/>
                <w:color w:val="auto"/>
              </w:rPr>
            </w:pPr>
          </w:p>
        </w:tc>
        <w:tc>
          <w:tcPr>
            <w:tcW w:w="11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23,382</w:t>
            </w:r>
          </w:p>
        </w:tc>
        <w:tc>
          <w:tcPr>
            <w:tcW w:w="34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169,384</w:t>
            </w:r>
          </w:p>
        </w:tc>
        <w:tc>
          <w:tcPr>
            <w:tcW w:w="340" w:type="dxa"/>
            <w:vAlign w:val="bottom"/>
          </w:tcPr>
          <w:p>
            <w:pPr>
              <w:spacing w:after="0"/>
              <w:rPr>
                <w:sz w:val="16"/>
                <w:szCs w:val="16"/>
                <w:color w:val="auto"/>
              </w:rPr>
            </w:pP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6,526</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170,221</w:t>
            </w:r>
          </w:p>
        </w:tc>
      </w:tr>
      <w:tr>
        <w:trPr>
          <w:trHeight w:val="190"/>
        </w:trPr>
        <w:tc>
          <w:tcPr>
            <w:tcW w:w="4340" w:type="dxa"/>
            <w:vAlign w:val="bottom"/>
          </w:tcPr>
          <w:p>
            <w:pPr>
              <w:spacing w:after="0"/>
              <w:rPr>
                <w:sz w:val="16"/>
                <w:szCs w:val="16"/>
                <w:color w:val="auto"/>
              </w:rPr>
            </w:pPr>
          </w:p>
        </w:tc>
        <w:tc>
          <w:tcPr>
            <w:tcW w:w="25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spacing w:after="0"/>
              <w:rPr>
                <w:sz w:val="20"/>
                <w:szCs w:val="20"/>
                <w:color w:val="auto"/>
              </w:rPr>
            </w:pPr>
            <w:r>
              <w:rPr>
                <w:rFonts w:ascii="Courier New" w:cs="Courier New" w:eastAsia="Courier New" w:hAnsi="Courier New"/>
                <w:sz w:val="16"/>
                <w:szCs w:val="16"/>
                <w:color w:val="auto"/>
              </w:rPr>
              <w:t>Dilutive shares outstanding</w:t>
            </w:r>
          </w:p>
        </w:tc>
        <w:tc>
          <w:tcPr>
            <w:tcW w:w="1380" w:type="dxa"/>
            <w:vAlign w:val="bottom"/>
          </w:tcPr>
          <w:p>
            <w:pPr>
              <w:spacing w:after="0"/>
              <w:rPr>
                <w:sz w:val="16"/>
                <w:szCs w:val="16"/>
                <w:color w:val="auto"/>
              </w:rPr>
            </w:pPr>
          </w:p>
        </w:tc>
        <w:tc>
          <w:tcPr>
            <w:tcW w:w="11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9"/>
              </w:rPr>
              <w:t>14,827,626</w:t>
            </w:r>
          </w:p>
        </w:tc>
        <w:tc>
          <w:tcPr>
            <w:tcW w:w="34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14,712,626</w:t>
            </w:r>
          </w:p>
        </w:tc>
        <w:tc>
          <w:tcPr>
            <w:tcW w:w="340" w:type="dxa"/>
            <w:vAlign w:val="bottom"/>
          </w:tcPr>
          <w:p>
            <w:pPr>
              <w:spacing w:after="0"/>
              <w:rPr>
                <w:sz w:val="16"/>
                <w:szCs w:val="16"/>
                <w:color w:val="auto"/>
              </w:rPr>
            </w:pP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14,810,770</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14,712,638</w:t>
            </w:r>
          </w:p>
        </w:tc>
      </w:tr>
      <w:tr>
        <w:trPr>
          <w:trHeight w:val="190"/>
        </w:trPr>
        <w:tc>
          <w:tcPr>
            <w:tcW w:w="4340" w:type="dxa"/>
            <w:vAlign w:val="bottom"/>
          </w:tcPr>
          <w:p>
            <w:pPr>
              <w:spacing w:after="0"/>
              <w:rPr>
                <w:sz w:val="16"/>
                <w:szCs w:val="16"/>
                <w:color w:val="auto"/>
              </w:rPr>
            </w:pPr>
          </w:p>
        </w:tc>
        <w:tc>
          <w:tcPr>
            <w:tcW w:w="25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spacing w:after="0"/>
              <w:rPr>
                <w:sz w:val="16"/>
                <w:szCs w:val="16"/>
                <w:color w:val="auto"/>
              </w:rPr>
            </w:pPr>
          </w:p>
        </w:tc>
        <w:tc>
          <w:tcPr>
            <w:tcW w:w="25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spacing w:after="0"/>
              <w:rPr>
                <w:sz w:val="20"/>
                <w:szCs w:val="20"/>
                <w:color w:val="auto"/>
              </w:rPr>
            </w:pPr>
            <w:r>
              <w:rPr>
                <w:rFonts w:ascii="Courier New" w:cs="Courier New" w:eastAsia="Courier New" w:hAnsi="Courier New"/>
                <w:sz w:val="16"/>
                <w:szCs w:val="16"/>
                <w:color w:val="auto"/>
              </w:rPr>
              <w:t>Basic net income per share</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0.16</w:t>
            </w:r>
          </w:p>
        </w:tc>
        <w:tc>
          <w:tcPr>
            <w:tcW w:w="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0.19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0.34</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0.37</w:t>
            </w:r>
          </w:p>
        </w:tc>
      </w:tr>
      <w:tr>
        <w:trPr>
          <w:trHeight w:val="190"/>
        </w:trPr>
        <w:tc>
          <w:tcPr>
            <w:tcW w:w="4340" w:type="dxa"/>
            <w:vAlign w:val="bottom"/>
          </w:tcPr>
          <w:p>
            <w:pPr>
              <w:spacing w:after="0"/>
              <w:rPr>
                <w:sz w:val="16"/>
                <w:szCs w:val="16"/>
                <w:color w:val="auto"/>
              </w:rPr>
            </w:pPr>
          </w:p>
        </w:tc>
        <w:tc>
          <w:tcPr>
            <w:tcW w:w="25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spacing w:after="0"/>
              <w:rPr>
                <w:sz w:val="16"/>
                <w:szCs w:val="16"/>
                <w:color w:val="auto"/>
              </w:rPr>
            </w:pPr>
          </w:p>
        </w:tc>
        <w:tc>
          <w:tcPr>
            <w:tcW w:w="25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spacing w:after="0"/>
              <w:rPr>
                <w:sz w:val="20"/>
                <w:szCs w:val="20"/>
                <w:color w:val="auto"/>
              </w:rPr>
            </w:pPr>
            <w:r>
              <w:rPr>
                <w:rFonts w:ascii="Courier New" w:cs="Courier New" w:eastAsia="Courier New" w:hAnsi="Courier New"/>
                <w:sz w:val="16"/>
                <w:szCs w:val="16"/>
                <w:color w:val="auto"/>
              </w:rPr>
              <w:t>Diluted net income per share</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0.16</w:t>
            </w:r>
          </w:p>
        </w:tc>
        <w:tc>
          <w:tcPr>
            <w:tcW w:w="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0.19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0.34</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0.37</w:t>
            </w:r>
          </w:p>
        </w:tc>
      </w:tr>
      <w:tr>
        <w:trPr>
          <w:trHeight w:val="190"/>
        </w:trPr>
        <w:tc>
          <w:tcPr>
            <w:tcW w:w="4340" w:type="dxa"/>
            <w:vAlign w:val="bottom"/>
          </w:tcPr>
          <w:p>
            <w:pPr>
              <w:spacing w:after="0"/>
              <w:rPr>
                <w:sz w:val="16"/>
                <w:szCs w:val="16"/>
                <w:color w:val="auto"/>
              </w:rPr>
            </w:pPr>
          </w:p>
        </w:tc>
        <w:tc>
          <w:tcPr>
            <w:tcW w:w="25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spacing w:after="0"/>
              <w:rPr>
                <w:sz w:val="16"/>
                <w:szCs w:val="16"/>
                <w:color w:val="auto"/>
              </w:rPr>
            </w:pPr>
          </w:p>
        </w:tc>
        <w:tc>
          <w:tcPr>
            <w:tcW w:w="25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right="4120"/>
        <w:spacing w:after="0" w:line="251" w:lineRule="auto"/>
        <w:rPr>
          <w:sz w:val="20"/>
          <w:szCs w:val="20"/>
          <w:color w:val="auto"/>
        </w:rPr>
      </w:pPr>
      <w:r>
        <w:rPr>
          <w:rFonts w:ascii="Courier New" w:cs="Courier New" w:eastAsia="Courier New" w:hAnsi="Courier New"/>
          <w:sz w:val="16"/>
          <w:szCs w:val="16"/>
          <w:color w:val="auto"/>
        </w:rPr>
        <w:t>Excluded from the shares outstanding for the second quarter ended June 30, 1998 and 1997 were 70,750 and 452,250 antidilutive options, respectively, which had exercise prices ranging from $11.50 to $15.50. Excluded from the shares outstanding for the six months ended June 30, 1998 and 1997 were 426,500 and 452,250 antidilutive options, respectively, which had exercise prices ranging from $11.13 to $15.50.</w:t>
      </w:r>
    </w:p>
    <w:p>
      <w:pPr>
        <w:spacing w:after="0" w:line="200" w:lineRule="exact"/>
        <w:rPr>
          <w:sz w:val="20"/>
          <w:szCs w:val="20"/>
          <w:color w:val="auto"/>
        </w:rPr>
      </w:pPr>
    </w:p>
    <w:p>
      <w:pPr>
        <w:spacing w:after="0" w:line="36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520"/>
          </w:cols>
          <w:pgMar w:left="240" w:top="1064" w:right="139" w:bottom="1440" w:gutter="0" w:footer="0" w:header="0"/>
          <w:type w:val="continuous"/>
        </w:sectPr>
      </w:pPr>
    </w:p>
    <w:bookmarkStart w:id="8" w:name="page9"/>
    <w:bookmarkEnd w:id="8"/>
    <w:p>
      <w:pPr>
        <w:jc w:val="center"/>
        <w:ind w:right="2419"/>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8"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8"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6"/>
          <w:szCs w:val="16"/>
          <w:color w:val="auto"/>
        </w:rPr>
        <w:t>Three Months Ended June 30, 1998 Compared to the Three Months Ended June 30, 1997</w:t>
      </w:r>
    </w:p>
    <w:p>
      <w:pPr>
        <w:spacing w:after="0" w:line="184"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Net Sales. Net sales decreased by approximately $1.3 million, or 6.2%, from $21.0 million for the second quarter of 1997 to $19.7 million for the second quarter of 1998. Foreign sales decreased $600,000, or 6.1%, from $9.8 million in the second quarter of 1997 to $9.3 million during the second quarter of 1998. The decrease in foreign sales was due primarily to the financial crisis in Asia and the impact of the continued strengthening of the U.S. dollar against world currencies. Partially offsetting this effect was the strengthening of European economies and resulting increased sales into this region. Domestic sales decreased $700,000, or 6.3%, from $11.1 million in the second quarter of 1997 to $10.4 million in the second quarter of 1998. This decrease was due primarily to decreased sales to an existing customer.</w:t>
      </w:r>
    </w:p>
    <w:p>
      <w:pPr>
        <w:spacing w:after="0" w:line="190" w:lineRule="exact"/>
        <w:rPr>
          <w:sz w:val="20"/>
          <w:szCs w:val="20"/>
          <w:color w:val="auto"/>
        </w:rPr>
      </w:pPr>
    </w:p>
    <w:p>
      <w:pPr>
        <w:ind w:right="2819"/>
        <w:spacing w:after="0" w:line="251" w:lineRule="auto"/>
        <w:rPr>
          <w:sz w:val="20"/>
          <w:szCs w:val="20"/>
          <w:color w:val="auto"/>
        </w:rPr>
      </w:pPr>
      <w:r>
        <w:rPr>
          <w:rFonts w:ascii="Courier New" w:cs="Courier New" w:eastAsia="Courier New" w:hAnsi="Courier New"/>
          <w:sz w:val="16"/>
          <w:szCs w:val="16"/>
          <w:color w:val="auto"/>
        </w:rPr>
        <w:t>Gross Profit. Gross profit decreased $546,000, or 8.2%, from $6.6 million for the second quarter of 1997 to $6.1 million for the second quarter of 1998. As a percentage of net sales, gross profit decreased from 31.8% in the second quarter of 1997 to 31.1% for the same period in 1998. This decrease in gross profit as a percentage of net sales was due primarily to decreased levels of volume during the second quarter of 1998 as compared to the second quarter of 1997 and related capacity under-utilization.</w:t>
      </w:r>
    </w:p>
    <w:p>
      <w:pPr>
        <w:spacing w:after="0" w:line="190"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expenses increased by $303,000 or 24.7%, from $1.2 million in the second quarter of 1997 to $1.5 million in the second quarter of 1998. This increase was due primarily to increased expenses related to the Ireland facility, which began production in the fourth quarter of 1997, as well as planned increases to implement the Company's strategic plan. As a percentage of net sales, selling, general and administrative expenses increased from 5.8% for the second quarter of 1997 to 7.8% for the same period in 1998.</w:t>
      </w:r>
    </w:p>
    <w:p>
      <w:pPr>
        <w:spacing w:after="0" w:line="190"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Depreciation. Depreciation expense increased from $1.1 million for the second quarter of 1997 to $1.2 million for the same period in 1998. This increase was due primarily to purchases of capital equipment related to the new Ireland facility start-up in the fourth quarter of 1997. As a percentage of net sales, depreciation expense increased from 5.0% in the second quarter of 1997 to 6.0% in the second quarter of 1998.</w:t>
      </w:r>
    </w:p>
    <w:p>
      <w:pPr>
        <w:spacing w:after="0" w:line="190"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Net Income. Net income decreased by $408,000 or 14.9%, from $2.7 million for the second quarter of 1997 to $2.3 million for the same period in 1998. As a percentage of net sales, net income decreased from 13.0% in the second quarter of 1997 to 11.8% for the second quarter of 1998.</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Six Months Ended June 30, 1998 Compared to the Six Months Ended June 30, 1997</w:t>
      </w:r>
    </w:p>
    <w:p>
      <w:pPr>
        <w:spacing w:after="0" w:line="198"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Net Sales.</w:t>
        <w:tab/>
        <w:t>Net sales decreased by approximately $723,000, or 1.8%, from</w:t>
      </w:r>
    </w:p>
    <w:p>
      <w:pPr>
        <w:spacing w:after="0" w:line="8"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$41.3 million for the first six months of 1997 to $40.6 million for the same period in 1998. Foreign sales decreased $200,000, or 1.0%, from $19.6 million in the first six months of 1997 to $19.4 million during the same period of 1998. The decrease in foreign sales was due primarily to the financial crisis in Asia and the impact of the continued strengthening of the U.S. dollar against world currencies. Partially offsetting this effect was the strengthening of European economies and resulting increased sales into this region. Domestic sales decreased $500,000, or 2.3%, from $21.7 million in the first six months of 1997 to $21.2 million in the same period of 1998. This decrease was due primarily to decreased sales to an existing customer.</w:t>
      </w:r>
    </w:p>
    <w:p>
      <w:pPr>
        <w:spacing w:after="0" w:line="3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96" w:right="1440" w:bottom="1440" w:gutter="0" w:footer="0" w:header="0"/>
        </w:sectPr>
      </w:pPr>
    </w:p>
    <w:bookmarkStart w:id="9" w:name="page10"/>
    <w:bookmarkEnd w:id="9"/>
    <w:p>
      <w:pPr>
        <w:ind w:right="2719"/>
        <w:spacing w:after="0" w:line="251" w:lineRule="auto"/>
        <w:rPr>
          <w:sz w:val="20"/>
          <w:szCs w:val="20"/>
          <w:color w:val="auto"/>
        </w:rPr>
      </w:pPr>
      <w:r>
        <w:rPr>
          <w:rFonts w:ascii="Courier New" w:cs="Courier New" w:eastAsia="Courier New" w:hAnsi="Courier New"/>
          <w:sz w:val="16"/>
          <w:szCs w:val="16"/>
          <w:color w:val="auto"/>
        </w:rPr>
        <w:t>Gross Profit. Gross profit decreased $318,000, or 2.4%, from $13.1 million for the first six months of 1997 to $12.8 million for the same period of 1998. As a percentage of net sales, gross profit decreased slightly from</w:t>
      </w:r>
    </w:p>
    <w:p>
      <w:pPr>
        <w:ind w:right="2719"/>
        <w:spacing w:after="0" w:line="252" w:lineRule="auto"/>
        <w:rPr>
          <w:sz w:val="20"/>
          <w:szCs w:val="20"/>
          <w:color w:val="auto"/>
        </w:rPr>
      </w:pPr>
      <w:r>
        <w:rPr>
          <w:rFonts w:ascii="Courier New" w:cs="Courier New" w:eastAsia="Courier New" w:hAnsi="Courier New"/>
          <w:sz w:val="16"/>
          <w:szCs w:val="16"/>
          <w:color w:val="auto"/>
        </w:rPr>
        <w:t>31.8% in the first six months of 1997 to 31.7% in the same period of 1998. This decrease in gross profit as a percentage of net sales was due primarily to decreased levels of volume during the first half of 1998 as compared to the first half of 1997 and related capacity under-utilization.</w:t>
      </w:r>
    </w:p>
    <w:p>
      <w:pPr>
        <w:spacing w:after="0" w:line="187"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expenses increased by $302,000, or 11.9%, from $2.5 million in the first six months of 1997 to $2.8 million in the same period of 1998. This increase was due primarily to increased expenses related to the Ireland facility, which began production in the fourth quarter of 1997, as well as planned increases to implement the Company's strategic plan. As a percentage of net sales, selling, general and administrative expenses increased from 6.1% in the first six months of 1997 to 7.1% for the same period in 1998.</w:t>
      </w:r>
    </w:p>
    <w:p>
      <w:pPr>
        <w:spacing w:after="0" w:line="190"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Depreciation. Depreciation expense increased from $2.1 million for the first six months of 1997 to $2.3 million for the same period in 1998. This increase was due primarily to purchases of capital equipment related to the new Ireland facility start-up in the fourth quarter of 1997. As a percentage of net sales, depreciation expense increased from 5.1% for the first six months of 1997 to 5.8% for the same period in 1998.</w:t>
      </w:r>
    </w:p>
    <w:p>
      <w:pPr>
        <w:spacing w:after="0" w:line="190"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Net Income. Net income decreased by $380,000, or 7.1%, from $5.4 million for the first six months of 1997 to $5.0 million for the same period for 1998.</w:t>
      </w:r>
    </w:p>
    <w:p>
      <w:pPr>
        <w:ind w:right="2819"/>
        <w:spacing w:after="0" w:line="255" w:lineRule="auto"/>
        <w:rPr>
          <w:sz w:val="20"/>
          <w:szCs w:val="20"/>
          <w:color w:val="auto"/>
        </w:rPr>
      </w:pPr>
      <w:r>
        <w:rPr>
          <w:rFonts w:ascii="Courier New" w:cs="Courier New" w:eastAsia="Courier New" w:hAnsi="Courier New"/>
          <w:sz w:val="16"/>
          <w:szCs w:val="16"/>
          <w:color w:val="auto"/>
        </w:rPr>
        <w:t>As a percentage of net sales, net income decreased from 13.0% for the first six months of 1997 to 12.3% for the same period for 1998.</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8" w:lineRule="exact"/>
        <w:rPr>
          <w:sz w:val="20"/>
          <w:szCs w:val="20"/>
          <w:color w:val="auto"/>
        </w:rPr>
      </w:pPr>
    </w:p>
    <w:p>
      <w:pPr>
        <w:ind w:right="2719"/>
        <w:spacing w:after="0" w:line="252" w:lineRule="auto"/>
        <w:rPr>
          <w:sz w:val="20"/>
          <w:szCs w:val="20"/>
          <w:color w:val="auto"/>
        </w:rPr>
      </w:pPr>
      <w:r>
        <w:rPr>
          <w:rFonts w:ascii="Courier New" w:cs="Courier New" w:eastAsia="Courier New" w:hAnsi="Courier New"/>
          <w:sz w:val="16"/>
          <w:szCs w:val="16"/>
          <w:color w:val="auto"/>
        </w:rPr>
        <w:t>In July 1997, the Company terminated its $10.0 million revolving credit facility and entered into a loan agreement with First American National Bank ("First American"). This loan agreement provides for a revolving credit facility of up to $25 million, which will expire on June 30, 2000.</w:t>
      </w:r>
    </w:p>
    <w:p>
      <w:pPr>
        <w:spacing w:after="0" w:line="187"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Amounts outstanding under the revolving facility are unsecured and bear interest at a floating rate equal to, at the Company's option, either LIBOR plus 0.65% or the Fed Funds effective rate plus 1.5%. The loan agreement contains customary financial and operating restrictions on the Company, including covenants restricting the Company, without First American's consent, from incurring additional indebtedness from, or pledging any of its assets to, other lenders and from disposing of a substantial portion of its assets. In addition, the Company is prohibited from declaring any dividend if a default exists under the revolving credit facility at the time of, or would occur as a result of, such declaration. The loan agreement also contains customary financial covenants with respect to the Company, including a covenant that the Company's earnings will not decrease in any year by more than fifty percent of earnings in the Company's immediately preceding fiscal year. The Company is in compliance with all such covenants.</w:t>
      </w:r>
    </w:p>
    <w:p>
      <w:pPr>
        <w:spacing w:after="0" w:line="190"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product is used by the customer. Due to the continuing expansion of the Company's foreign sales, management believes that the Company's working capital requirements will increase as a result of longer payment terms provided to foreign customers. The Company's net sales historically have not been of a seasonal nature. However, as foreign sales have increased as a percentage of total sales, seasonality has become a factor for the Company in that many foreign customers cease production during the month of August.</w:t>
      </w:r>
    </w:p>
    <w:p>
      <w:pPr>
        <w:spacing w:after="0" w:line="190"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6"/>
          <w:szCs w:val="16"/>
          <w:color w:val="auto"/>
        </w:rPr>
        <w:t>In the fourth quarter of 1997, upon commencement of production in its Kilkenny, Ireland facility, the Company began to bill and receive payment from some of its foreign customers in their own currency. To</w:t>
      </w: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75" w:right="1440" w:bottom="1440" w:gutter="0" w:footer="0" w:header="0"/>
        </w:sectPr>
      </w:pPr>
    </w:p>
    <w:bookmarkStart w:id="10" w:name="page11"/>
    <w:bookmarkEnd w:id="10"/>
    <w:p>
      <w:pPr>
        <w:ind w:right="2619"/>
        <w:spacing w:after="0" w:line="251" w:lineRule="auto"/>
        <w:rPr>
          <w:sz w:val="20"/>
          <w:szCs w:val="20"/>
          <w:color w:val="auto"/>
        </w:rPr>
      </w:pPr>
      <w:r>
        <w:rPr>
          <w:rFonts w:ascii="Courier New" w:cs="Courier New" w:eastAsia="Courier New" w:hAnsi="Courier New"/>
          <w:sz w:val="16"/>
          <w:szCs w:val="16"/>
          <w:color w:val="auto"/>
        </w:rPr>
        <w:t>date, the Company has not been materially adversely affected by currency fluctuations or foreign exchange restrictions. Nonetheless, as a result of these sales, the Company's foreign exchange risk has increased. Various strategies to manage this risk are under development and implementation, including a hedging program. In addition, a strengthening of the U.S. dollar against foreign currencies could impair the ability of the Company to compete with international competitors for foreign as well as domestic sales.</w:t>
      </w:r>
    </w:p>
    <w:p>
      <w:pPr>
        <w:spacing w:after="0" w:line="190"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Working capital, which consists principally of cash and cash equivalents, accounts receivable and inventories was $20.9 million at June 30, 1998 as compared to $18.7 million at December 31, 1997. The ratio of current assets to current liabilities decreased from 3.5:1 at December 31, 1997 to 2.9:1 at June 30, 1998. Cash flow from operations decreased from $10.8 million during the first half 1997 to $4.9 million during the first half of 1998. This decrease was primarily attributed to the increase in accounts receivable of $4.4 million, the decrease in net income of $380,000, the increase in inventories of $380,000 and the increase in taxes refundable of $221,000.</w:t>
      </w:r>
    </w:p>
    <w:p>
      <w:pPr>
        <w:spacing w:after="0" w:line="190"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During 1998, the Company plans to spend approximately $6.0 million on capital expenditures (of which $2.6 million has been spent through June 30, 1998) including the purchase of machinery and equipment for all four of the Company's facilities. The Company intends to finance these activities with cash generated from operations and funds available under the credit facility described above. The Company believes that funds generated from operations and borrowings from the credit facility will be sufficient to finance the Company's working capital needs and projected capital expenditure requirements through December 1998.</w:t>
      </w:r>
    </w:p>
    <w:p>
      <w:pPr>
        <w:spacing w:after="0" w:line="379" w:lineRule="exact"/>
        <w:rPr>
          <w:sz w:val="20"/>
          <w:szCs w:val="20"/>
          <w:color w:val="auto"/>
        </w:rPr>
      </w:pPr>
    </w:p>
    <w:p>
      <w:pPr>
        <w:ind w:right="2719"/>
        <w:spacing w:after="0" w:line="252" w:lineRule="auto"/>
        <w:rPr>
          <w:sz w:val="20"/>
          <w:szCs w:val="20"/>
          <w:color w:val="auto"/>
        </w:rPr>
      </w:pPr>
      <w:r>
        <w:rPr>
          <w:rFonts w:ascii="Courier New" w:cs="Courier New" w:eastAsia="Courier New" w:hAnsi="Courier New"/>
          <w:sz w:val="16"/>
          <w:szCs w:val="16"/>
          <w:color w:val="auto"/>
        </w:rPr>
        <w:t>On August 4, 1998 the Company's Board of Directors authorized the repurchase of up to 740,213 shares of its Common Stock, equaling 5% of the Company's issued and outstanding shares as of August 4, 1998. The program may be extended or discontinued at any time, and there is no assurance that the Company will purchase the full amount authorized.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w:t>
      </w:r>
    </w:p>
    <w:p>
      <w:pPr>
        <w:spacing w:after="0" w:line="198"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The Year 2000 issue is the result of computer programs written using two digits rather than four to define the applicable year. Without corrective action, programs with time-sensitive software could potentially recognize a date ending in "00" as the year 1900 rather than the year 2000, causing many computer applications to fail or create erroneous results. The Company has evaluated its current computer systems in light of the Year 2000 issue and has chosen to implement a new company-wide system rather than modify and upgrade existing systems. This implementation process, which is expected to cause the Company to incur costs of approximately $1 million, is expected to be completed by mid- 1999. The Company has also identified and is in the process of contacting key customers and suppliers to determine if these entities have an effective plan in place to address the Year 2000 issue.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Recently issued accounting standards</w:t>
      </w:r>
    </w:p>
    <w:p>
      <w:pPr>
        <w:spacing w:after="0" w:line="198"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In June 1997, the FASB issued SFAS No. 131 "Disclosures about Segments of an Enterprise and Related Information" which requires companies to report selected information about operating segments and related disclosures about products and services, geographic areas and major customers. The Company will provide disclosures in accordance with this statement effective with its December 31, 1998 financial reporting.</w:t>
      </w:r>
    </w:p>
    <w:p>
      <w:pPr>
        <w:spacing w:after="0" w:line="190"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In February 1998, the FASB issued SFAS No. 132 "Employers' Disclosures about Pensions and Other Postretirement Benefits" which revises the disclosure requirements for pensions and other Postretirement benefits and is effective for the Company's December 31, 1998 financial reporting. The adoption of this standard by the Company is not expected to result in significant adjustments to existing financial reporting practices as the Company does not currently provide pension or postretirement benefits which are subject to the disclosure provisions of FAS 132.</w:t>
      </w:r>
    </w:p>
    <w:p>
      <w:pPr>
        <w:spacing w:after="0" w:line="3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1064" w:right="1440" w:bottom="1440" w:gutter="0" w:footer="0" w:header="0"/>
        </w:sectPr>
      </w:pPr>
    </w:p>
    <w:bookmarkStart w:id="11" w:name="page12"/>
    <w:bookmarkEnd w:id="11"/>
    <w:p>
      <w:pPr>
        <w:ind w:right="2719"/>
        <w:spacing w:after="0" w:line="251" w:lineRule="auto"/>
        <w:rPr>
          <w:sz w:val="20"/>
          <w:szCs w:val="20"/>
          <w:color w:val="auto"/>
        </w:rPr>
      </w:pPr>
      <w:r>
        <w:rPr>
          <w:rFonts w:ascii="Courier New" w:cs="Courier New" w:eastAsia="Courier New" w:hAnsi="Courier New"/>
          <w:sz w:val="16"/>
          <w:szCs w:val="16"/>
          <w:color w:val="auto"/>
        </w:rPr>
        <w:t>In June 1998, the FASB issued SFAS No. 133 "Accounting for Derivative Instruments and Hedging Activities" which establishes accounting and reporting standards for derivative instruments and hedging activities and is effective for the Company's 2000 reporting cycle. The adoption of this standard by the Company is not expected to result in significant adjustments to existing accounting practices as the Company does not currently hold any derivative financial instruments or participate in hedging activities.</w:t>
      </w:r>
    </w:p>
    <w:p>
      <w:pPr>
        <w:spacing w:after="0" w:line="190" w:lineRule="exact"/>
        <w:rPr>
          <w:sz w:val="20"/>
          <w:szCs w:val="20"/>
          <w:color w:val="auto"/>
        </w:rPr>
      </w:pPr>
    </w:p>
    <w:p>
      <w:pPr>
        <w:ind w:right="3019"/>
        <w:spacing w:after="0" w:line="255" w:lineRule="auto"/>
        <w:rPr>
          <w:sz w:val="20"/>
          <w:szCs w:val="20"/>
          <w:color w:val="auto"/>
        </w:rPr>
      </w:pPr>
      <w:r>
        <w:rPr>
          <w:rFonts w:ascii="Courier New" w:cs="Courier New" w:eastAsia="Courier New" w:hAnsi="Courier New"/>
          <w:sz w:val="16"/>
          <w:szCs w:val="16"/>
          <w:color w:val="auto"/>
        </w:rPr>
        <w:t>Cautionary Statements for Purposes of the "Safe Harbor" Provisions of the Private Securities Litigation Reform Act of 1995</w:t>
      </w:r>
    </w:p>
    <w:p>
      <w:pPr>
        <w:spacing w:after="0" w:line="184"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The Company wishes to caution readers that this report contains, and future filings by the Company, press releases and oral statements made by the Company's authorized representatives may contain, forward looking statements that involve certain risks and uncertainties. The Company's actual results could differ materially from those expressed in such forward looking statements due to important factors bearing on the Company's business, many of which already have been discussed in this filling and in the Company's prior filings.</w:t>
      </w:r>
    </w:p>
    <w:p>
      <w:pPr>
        <w:spacing w:after="0" w:line="190"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The following paragraphs discuss the risk factors the Company regards as the most significant, although the Company wishes to caution that other factors that are currently not considered significant or that currently cannot be foreseen may in the future prove to be important in affecting the Company's results of operations. The Company undertakes no obligation to publicly update or revise any forward looking statements, whether as a result of new information, future events or otherwise.</w:t>
      </w:r>
    </w:p>
    <w:p>
      <w:pPr>
        <w:spacing w:after="0" w:line="190"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Industry Risks. The precision ball and roller industry is cyclical and tends to decline in response to overall declines in industrial production. The Company's sales in the past have been negatively affected, and in the future very likely would be negatively affected, by adverse conditions in the industrial production sector of the economy or by adverse global or national economic conditions generally.</w:t>
      </w:r>
    </w:p>
    <w:p>
      <w:pPr>
        <w:spacing w:after="0" w:line="190"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Competition. The precision ball and roller market is highly competitive, and many of the ball and roller manufacturers in the market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 apace with such quality improvements. In addition, the Company competes with many of its customers that, in addition to producing bearings, also internally produce balls and rollers for sale to third parties. The Company also faces a risk that its customers will decide to produce balls and rollers internally rather than outsourcing their needs to the Company.</w:t>
      </w:r>
    </w:p>
    <w:p>
      <w:pPr>
        <w:spacing w:after="0" w:line="190"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Rapid Growth. The Company has significantly expanded its production facilities and capacity over the last several years, and is currently in the process of purchasing and renovating an additional manufacturing plant in Kilkenny, Ireland. The Company currently is not operating at full capacity and faces risks of further under-utilization or inefficient utilization of its production facilities in future years. The Company also faces risks associated with inefficiencies, delays and increased depreciation costs associated with its plant expansions.</w:t>
      </w:r>
    </w:p>
    <w:p>
      <w:pPr>
        <w:spacing w:after="0" w:line="190" w:lineRule="exact"/>
        <w:rPr>
          <w:sz w:val="20"/>
          <w:szCs w:val="20"/>
          <w:color w:val="auto"/>
        </w:rPr>
      </w:pPr>
    </w:p>
    <w:p>
      <w:pPr>
        <w:ind w:right="2819"/>
        <w:spacing w:after="0" w:line="251" w:lineRule="auto"/>
        <w:rPr>
          <w:sz w:val="20"/>
          <w:szCs w:val="20"/>
          <w:color w:val="auto"/>
        </w:rPr>
      </w:pPr>
      <w:r>
        <w:rPr>
          <w:rFonts w:ascii="Courier New" w:cs="Courier New" w:eastAsia="Courier New" w:hAnsi="Courier New"/>
          <w:sz w:val="16"/>
          <w:szCs w:val="16"/>
          <w:color w:val="auto"/>
        </w:rPr>
        <w:t>Raw Material Shortages. Because the balls and rollers manufactured by the Company have highly-specialized applications, their production requires the use of very particular types of steel. Due to quality constraints, the Company obtains the majority of its steel from overseas suppliers. Steel shortages or transportation problems, particularly with respect to 52100 Steel, could have a detrimental effect on the Company's business.</w:t>
      </w:r>
    </w:p>
    <w:p>
      <w:pPr>
        <w:spacing w:after="0" w:line="190" w:lineRule="exact"/>
        <w:rPr>
          <w:sz w:val="20"/>
          <w:szCs w:val="20"/>
          <w:color w:val="auto"/>
        </w:rPr>
      </w:pPr>
    </w:p>
    <w:p>
      <w:pPr>
        <w:ind w:right="2919"/>
        <w:spacing w:after="0" w:line="251" w:lineRule="auto"/>
        <w:rPr>
          <w:sz w:val="20"/>
          <w:szCs w:val="20"/>
          <w:color w:val="auto"/>
        </w:rPr>
      </w:pPr>
      <w:r>
        <w:rPr>
          <w:rFonts w:ascii="Courier New" w:cs="Courier New" w:eastAsia="Courier New" w:hAnsi="Courier New"/>
          <w:sz w:val="16"/>
          <w:szCs w:val="16"/>
          <w:color w:val="auto"/>
        </w:rPr>
        <w:t>Risks Associated with International Trade. Because the Company obtains a majority of its raw materials from overseas suppliers and sells to a large number of international customers, the Company faces risks associated with</w:t>
      </w:r>
    </w:p>
    <w:p>
      <w:pPr>
        <w:ind w:right="2719" w:firstLine="1"/>
        <w:spacing w:after="0" w:line="253" w:lineRule="auto"/>
        <w:tabs>
          <w:tab w:leader="none" w:pos="49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adverse foreign currency fluctuations, (ii) changes in trade, monetary and fiscal policies, laws and regulations, and other activities of governments, agencies and similar organizations, (iii)</w:t>
      </w: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75" w:right="1440" w:bottom="1440" w:gutter="0" w:footer="0" w:header="0"/>
        </w:sectPr>
      </w:pPr>
    </w:p>
    <w:bookmarkStart w:id="12" w:name="page13"/>
    <w:bookmarkEnd w:id="12"/>
    <w:p>
      <w:pPr>
        <w:ind w:right="2619"/>
        <w:spacing w:after="0" w:line="252" w:lineRule="auto"/>
        <w:rPr>
          <w:sz w:val="20"/>
          <w:szCs w:val="20"/>
          <w:color w:val="auto"/>
        </w:rPr>
      </w:pPr>
      <w:r>
        <w:rPr>
          <w:rFonts w:ascii="Courier New" w:cs="Courier New" w:eastAsia="Courier New" w:hAnsi="Courier New"/>
          <w:sz w:val="16"/>
          <w:szCs w:val="16"/>
          <w:color w:val="auto"/>
        </w:rPr>
        <w:t>the imposition of trade restrictions or prohibitions, (iv) the imposition of import or other changes or taxes, and (v) unstable governments or legal systems in countries in which the Company's suppliers and customers are located. An increase in the value of the United States dollar relative to foreign currencies may adversely affect the ability of the Company to compete with its foreign-based competitors for international as well as domestic sales.</w:t>
      </w:r>
    </w:p>
    <w:p>
      <w:pPr>
        <w:spacing w:after="0" w:line="375"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Dependence on Major Customers. During 1997, the Company's ten largest customers accounted for approximately 77% of its net sales. Sales to various US and foreign divisions of SKF, which is one of the largest bearing manufacturers in the world, accounted for approximately 37% of net sales in 1997, and sales to FAG accounted for approximately 10% of net sales. None of the Company's other customers accounted for more than 10% of its net sales in 1997, but sales to three of its customers each represented more than 5% of the Company's 1997 net sales. The loss of all or a substantial portion of sales to these customers would have a material adverse effect on the Company's business.</w:t>
      </w:r>
    </w:p>
    <w:p>
      <w:pPr>
        <w:spacing w:after="0" w:line="3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1064" w:right="1440" w:bottom="1440" w:gutter="0" w:footer="0" w:header="0"/>
        </w:sectPr>
      </w:pPr>
    </w:p>
    <w:bookmarkStart w:id="13" w:name="page14"/>
    <w:bookmarkEnd w:id="13"/>
    <w:p>
      <w:pPr>
        <w:ind w:left="2560"/>
        <w:spacing w:after="0"/>
        <w:rPr>
          <w:sz w:val="20"/>
          <w:szCs w:val="20"/>
          <w:color w:val="auto"/>
        </w:rPr>
      </w:pPr>
      <w:r>
        <w:rPr>
          <w:rFonts w:ascii="Courier New" w:cs="Courier New" w:eastAsia="Courier New" w:hAnsi="Courier New"/>
          <w:sz w:val="16"/>
          <w:szCs w:val="16"/>
          <w:color w:val="auto"/>
        </w:rPr>
        <w:t>PART II. OTHER INFORMATION</w:t>
      </w:r>
    </w:p>
    <w:p>
      <w:pPr>
        <w:spacing w:after="0" w:line="3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4.</w:t>
        <w:tab/>
        <w:t>Submission of Matters to a Vote of Security Holders.</w:t>
      </w:r>
    </w:p>
    <w:p>
      <w:pPr>
        <w:spacing w:after="0" w:line="198"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The Company's Annual Meeting of Stockholders was held on May 7, 1998. As of March 25, 1998, the record date for the meeting, there were 14,804,271 shares of common stock outstanding and entitled to vote at the meeting. There were present at said meeting, in person or by proxy, stockholders holding 9,930,845 shares of common stock, constituting approximately 67% of the shares of common stock outstanding and entitled to vote, which constituted a quorum.</w:t>
      </w:r>
    </w:p>
    <w:p>
      <w:pPr>
        <w:spacing w:after="0" w:line="375" w:lineRule="exact"/>
        <w:rPr>
          <w:sz w:val="20"/>
          <w:szCs w:val="20"/>
          <w:color w:val="auto"/>
        </w:rPr>
      </w:pPr>
    </w:p>
    <w:p>
      <w:pPr>
        <w:ind w:right="2819"/>
        <w:spacing w:after="0" w:line="252" w:lineRule="auto"/>
        <w:rPr>
          <w:sz w:val="20"/>
          <w:szCs w:val="20"/>
          <w:color w:val="auto"/>
        </w:rPr>
      </w:pPr>
      <w:r>
        <w:rPr>
          <w:rFonts w:ascii="Courier New" w:cs="Courier New" w:eastAsia="Courier New" w:hAnsi="Courier New"/>
          <w:sz w:val="16"/>
          <w:szCs w:val="16"/>
          <w:color w:val="auto"/>
        </w:rPr>
        <w:t>The first matter voted upon at the meeting was the election of Michael D. Huff and Michael E. Werner as Class I Directors to serve for three-year terms. The results of the voting in connection with such elections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80" w:type="dxa"/>
            <w:vAlign w:val="bottom"/>
          </w:tcPr>
          <w:p>
            <w:pPr>
              <w:jc w:val="center"/>
              <w:ind w:right="38"/>
              <w:spacing w:after="0"/>
              <w:rPr>
                <w:sz w:val="20"/>
                <w:szCs w:val="20"/>
                <w:color w:val="auto"/>
              </w:rPr>
            </w:pPr>
            <w:r>
              <w:rPr>
                <w:rFonts w:ascii="Courier New" w:cs="Courier New" w:eastAsia="Courier New" w:hAnsi="Courier New"/>
                <w:sz w:val="16"/>
                <w:szCs w:val="16"/>
                <w:color w:val="auto"/>
              </w:rPr>
              <w:t>FOR</w:t>
            </w:r>
          </w:p>
        </w:tc>
        <w:tc>
          <w:tcPr>
            <w:tcW w:w="1180" w:type="dxa"/>
            <w:vAlign w:val="bottom"/>
          </w:tcPr>
          <w:p>
            <w:pPr>
              <w:ind w:left="380"/>
              <w:spacing w:after="0"/>
              <w:rPr>
                <w:sz w:val="20"/>
                <w:szCs w:val="20"/>
                <w:color w:val="auto"/>
              </w:rPr>
            </w:pPr>
            <w:r>
              <w:rPr>
                <w:rFonts w:ascii="Courier New" w:cs="Courier New" w:eastAsia="Courier New" w:hAnsi="Courier New"/>
                <w:sz w:val="16"/>
                <w:szCs w:val="16"/>
                <w:color w:val="auto"/>
              </w:rPr>
              <w:t>WITHHELD</w:t>
            </w:r>
          </w:p>
        </w:tc>
      </w:tr>
      <w:tr>
        <w:trPr>
          <w:trHeight w:val="379"/>
        </w:trPr>
        <w:tc>
          <w:tcPr>
            <w:tcW w:w="740" w:type="dxa"/>
            <w:vAlign w:val="bottom"/>
          </w:tcPr>
          <w:p>
            <w:pPr>
              <w:spacing w:after="0"/>
              <w:rPr>
                <w:sz w:val="20"/>
                <w:szCs w:val="20"/>
                <w:color w:val="auto"/>
              </w:rPr>
            </w:pPr>
            <w:r>
              <w:rPr>
                <w:rFonts w:ascii="Courier New" w:cs="Courier New" w:eastAsia="Courier New" w:hAnsi="Courier New"/>
                <w:sz w:val="16"/>
                <w:szCs w:val="16"/>
                <w:color w:val="auto"/>
              </w:rPr>
              <w:t>Michael</w:t>
            </w: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D. Huff</w:t>
            </w:r>
          </w:p>
        </w:tc>
        <w:tc>
          <w:tcPr>
            <w:tcW w:w="1580" w:type="dxa"/>
            <w:vAlign w:val="bottom"/>
          </w:tcPr>
          <w:p>
            <w:pPr>
              <w:jc w:val="center"/>
              <w:ind w:right="38"/>
              <w:spacing w:after="0"/>
              <w:rPr>
                <w:sz w:val="20"/>
                <w:szCs w:val="20"/>
                <w:color w:val="auto"/>
              </w:rPr>
            </w:pPr>
            <w:r>
              <w:rPr>
                <w:rFonts w:ascii="Courier New" w:cs="Courier New" w:eastAsia="Courier New" w:hAnsi="Courier New"/>
                <w:sz w:val="16"/>
                <w:szCs w:val="16"/>
                <w:color w:val="auto"/>
              </w:rPr>
              <w:t>9,655,126</w:t>
            </w:r>
          </w:p>
        </w:tc>
        <w:tc>
          <w:tcPr>
            <w:tcW w:w="1180" w:type="dxa"/>
            <w:vAlign w:val="bottom"/>
          </w:tcPr>
          <w:p>
            <w:pPr>
              <w:ind w:left="380"/>
              <w:spacing w:after="0"/>
              <w:rPr>
                <w:sz w:val="20"/>
                <w:szCs w:val="20"/>
                <w:color w:val="auto"/>
              </w:rPr>
            </w:pPr>
            <w:r>
              <w:rPr>
                <w:rFonts w:ascii="Courier New" w:cs="Courier New" w:eastAsia="Courier New" w:hAnsi="Courier New"/>
                <w:sz w:val="16"/>
                <w:szCs w:val="16"/>
                <w:color w:val="auto"/>
              </w:rPr>
              <w:t>275,719</w:t>
            </w:r>
          </w:p>
        </w:tc>
      </w:tr>
      <w:tr>
        <w:trPr>
          <w:trHeight w:val="190"/>
        </w:trPr>
        <w:tc>
          <w:tcPr>
            <w:tcW w:w="740" w:type="dxa"/>
            <w:vAlign w:val="bottom"/>
          </w:tcPr>
          <w:p>
            <w:pPr>
              <w:spacing w:after="0"/>
              <w:rPr>
                <w:sz w:val="20"/>
                <w:szCs w:val="20"/>
                <w:color w:val="auto"/>
              </w:rPr>
            </w:pPr>
            <w:r>
              <w:rPr>
                <w:rFonts w:ascii="Courier New" w:cs="Courier New" w:eastAsia="Courier New" w:hAnsi="Courier New"/>
                <w:sz w:val="16"/>
                <w:szCs w:val="16"/>
                <w:color w:val="auto"/>
              </w:rPr>
              <w:t>Michael</w:t>
            </w: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E. Werner</w:t>
            </w:r>
          </w:p>
        </w:tc>
        <w:tc>
          <w:tcPr>
            <w:tcW w:w="1580" w:type="dxa"/>
            <w:vAlign w:val="bottom"/>
          </w:tcPr>
          <w:p>
            <w:pPr>
              <w:jc w:val="center"/>
              <w:ind w:right="38"/>
              <w:spacing w:after="0"/>
              <w:rPr>
                <w:sz w:val="20"/>
                <w:szCs w:val="20"/>
                <w:color w:val="auto"/>
              </w:rPr>
            </w:pPr>
            <w:r>
              <w:rPr>
                <w:rFonts w:ascii="Courier New" w:cs="Courier New" w:eastAsia="Courier New" w:hAnsi="Courier New"/>
                <w:sz w:val="16"/>
                <w:szCs w:val="16"/>
                <w:color w:val="auto"/>
              </w:rPr>
              <w:t>9,465,635</w:t>
            </w:r>
          </w:p>
        </w:tc>
        <w:tc>
          <w:tcPr>
            <w:tcW w:w="1180" w:type="dxa"/>
            <w:vAlign w:val="bottom"/>
          </w:tcPr>
          <w:p>
            <w:pPr>
              <w:ind w:left="380"/>
              <w:spacing w:after="0"/>
              <w:rPr>
                <w:sz w:val="20"/>
                <w:szCs w:val="20"/>
                <w:color w:val="auto"/>
              </w:rPr>
            </w:pPr>
            <w:r>
              <w:rPr>
                <w:rFonts w:ascii="Courier New" w:cs="Courier New" w:eastAsia="Courier New" w:hAnsi="Courier New"/>
                <w:sz w:val="16"/>
                <w:szCs w:val="16"/>
                <w:color w:val="auto"/>
              </w:rPr>
              <w:t>465,210</w:t>
            </w:r>
          </w:p>
        </w:tc>
      </w:tr>
    </w:tbl>
    <w:p>
      <w:pPr>
        <w:spacing w:after="0" w:line="200" w:lineRule="exact"/>
        <w:rPr>
          <w:sz w:val="20"/>
          <w:szCs w:val="20"/>
          <w:color w:val="auto"/>
        </w:rPr>
      </w:pPr>
    </w:p>
    <w:p>
      <w:pPr>
        <w:spacing w:after="0" w:line="373"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Accordingly, all nominees were elected to serve until the 2001 Annual Meeting of Stockholders and until their successors are duly elected and qualified.</w:t>
      </w:r>
    </w:p>
    <w:p>
      <w:pPr>
        <w:ind w:right="2919"/>
        <w:spacing w:after="0" w:line="251" w:lineRule="auto"/>
        <w:rPr>
          <w:sz w:val="20"/>
          <w:szCs w:val="20"/>
          <w:color w:val="auto"/>
        </w:rPr>
      </w:pPr>
      <w:r>
        <w:rPr>
          <w:rFonts w:ascii="Courier New" w:cs="Courier New" w:eastAsia="Courier New" w:hAnsi="Courier New"/>
          <w:sz w:val="16"/>
          <w:szCs w:val="16"/>
          <w:color w:val="auto"/>
        </w:rPr>
        <w:t>In addition to the foregoing directors, G. Ronald Morris and Steven T. Warshaw aew serving terms to expire at the 1999 Annual Meeting of Stockholders, and Richard D. Ennen and Roderick R. Baty are serving terms which are to expire at the 2000 Annual Meeting of Stockholders. Deborah Ennen Bagierek resigned from her position as a director of the Company effective May 7, 1998. Mr. Ennen, the Company's founder, continues in his position as Chairman of the Company's Board of Directors.</w:t>
      </w:r>
    </w:p>
    <w:p>
      <w:pPr>
        <w:spacing w:after="0" w:line="190" w:lineRule="exact"/>
        <w:rPr>
          <w:sz w:val="20"/>
          <w:szCs w:val="20"/>
          <w:color w:val="auto"/>
        </w:rPr>
      </w:pPr>
    </w:p>
    <w:p>
      <w:pPr>
        <w:ind w:right="2619"/>
        <w:spacing w:after="0" w:line="253" w:lineRule="auto"/>
        <w:rPr>
          <w:sz w:val="20"/>
          <w:szCs w:val="20"/>
          <w:color w:val="auto"/>
        </w:rPr>
      </w:pPr>
      <w:r>
        <w:rPr>
          <w:rFonts w:ascii="Courier New" w:cs="Courier New" w:eastAsia="Courier New" w:hAnsi="Courier New"/>
          <w:sz w:val="16"/>
          <w:szCs w:val="16"/>
          <w:color w:val="auto"/>
        </w:rPr>
        <w:t>The second matter voted upon at the 1998 Annual Meeting of Stockholders was the ratification of Price Waterhouse, LLP as independent public accountants to audit the Company's accounts for the fiscal year ending December 31, 1998. The vote was 9,921,343 For and 4,052 Against, and there were 5,450 Abstentions.</w:t>
      </w:r>
    </w:p>
    <w:p>
      <w:pPr>
        <w:spacing w:after="0" w:line="37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5.</w:t>
        <w:tab/>
        <w:t>Other Information</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98" w:lineRule="exact"/>
        <w:rPr>
          <w:sz w:val="20"/>
          <w:szCs w:val="20"/>
          <w:color w:val="auto"/>
        </w:rPr>
      </w:pPr>
    </w:p>
    <w:p>
      <w:pPr>
        <w:ind w:left="500" w:hanging="499"/>
        <w:spacing w:after="0"/>
        <w:tabs>
          <w:tab w:leader="none" w:pos="5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by Item 601 of Regulation S-K</w:t>
      </w:r>
    </w:p>
    <w:p>
      <w:pPr>
        <w:spacing w:after="0" w:line="198" w:lineRule="exact"/>
        <w:rPr>
          <w:sz w:val="20"/>
          <w:szCs w:val="20"/>
          <w:color w:val="auto"/>
        </w:rPr>
      </w:pPr>
    </w:p>
    <w:p>
      <w:pPr>
        <w:ind w:left="1480" w:hanging="493"/>
        <w:spacing w:after="0"/>
        <w:tabs>
          <w:tab w:leader="none" w:pos="148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Schedules (for information of SEC only)</w:t>
      </w:r>
    </w:p>
    <w:p>
      <w:pPr>
        <w:spacing w:after="0" w:line="197" w:lineRule="exact"/>
        <w:rPr>
          <w:rFonts w:ascii="Courier New" w:cs="Courier New" w:eastAsia="Courier New" w:hAnsi="Courier New"/>
          <w:sz w:val="16"/>
          <w:szCs w:val="16"/>
          <w:color w:val="auto"/>
        </w:rPr>
      </w:pPr>
    </w:p>
    <w:p>
      <w:pPr>
        <w:ind w:left="500" w:hanging="499"/>
        <w:spacing w:after="0"/>
        <w:tabs>
          <w:tab w:leader="none" w:pos="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during the quarter ending June 30,</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1997.</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85" w:right="1440" w:bottom="1440" w:gutter="0" w:footer="0" w:header="0"/>
        </w:sectPr>
      </w:pPr>
    </w:p>
    <w:bookmarkStart w:id="14" w:name="page15"/>
    <w:bookmarkEnd w:id="14"/>
    <w:p>
      <w:pPr>
        <w:ind w:left="306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6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Exhibit</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Number</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Description</w:t>
      </w:r>
    </w:p>
    <w:p>
      <w:pPr>
        <w:spacing w:after="0" w:line="8"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2">
            <w:col w:w="2340" w:space="720"/>
            <w:col w:w="7159"/>
          </w:cols>
          <w:pgMar w:left="240" w:top="685" w:right="1440" w:bottom="1440" w:gutter="0" w:footer="0" w:header="0"/>
          <w:type w:val="continuous"/>
        </w:sectPr>
      </w:pPr>
    </w:p>
    <w:p>
      <w:pPr>
        <w:ind w:left="1780" w:right="1939" w:hanging="1773"/>
        <w:spacing w:after="0" w:line="255" w:lineRule="auto"/>
        <w:tabs>
          <w:tab w:leader="none" w:pos="1760" w:val="left"/>
        </w:tabs>
        <w:rPr>
          <w:sz w:val="20"/>
          <w:szCs w:val="20"/>
          <w:color w:val="auto"/>
        </w:rPr>
      </w:pPr>
      <w:r>
        <w:rPr>
          <w:rFonts w:ascii="Courier New" w:cs="Courier New" w:eastAsia="Courier New" w:hAnsi="Courier New"/>
          <w:sz w:val="16"/>
          <w:szCs w:val="16"/>
          <w:color w:val="auto"/>
        </w:rPr>
        <w:t>10.13</w:t>
      </w:r>
      <w:r>
        <w:rPr>
          <w:sz w:val="20"/>
          <w:szCs w:val="20"/>
          <w:color w:val="auto"/>
        </w:rPr>
        <w:tab/>
      </w:r>
      <w:r>
        <w:rPr>
          <w:rFonts w:ascii="Courier New" w:cs="Courier New" w:eastAsia="Courier New" w:hAnsi="Courier New"/>
          <w:sz w:val="16"/>
          <w:szCs w:val="16"/>
          <w:color w:val="auto"/>
        </w:rPr>
        <w:t>Loan Agreement, dated as of July 25, 1997, between the Company and First American National Bank (filed herewith)</w:t>
      </w:r>
    </w:p>
    <w:p>
      <w:pPr>
        <w:sectPr>
          <w:pgSz w:w="11900" w:h="16838" w:orient="portrait"/>
          <w:cols w:equalWidth="0" w:num="1">
            <w:col w:w="10219"/>
          </w:cols>
          <w:pgMar w:left="240" w:top="685" w:right="1440"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Data Schedules (for information of SEC only)</w:t>
      </w:r>
    </w:p>
    <w:p>
      <w:pPr>
        <w:spacing w:after="0" w:line="200" w:lineRule="exact"/>
        <w:rPr>
          <w:sz w:val="20"/>
          <w:szCs w:val="20"/>
          <w:color w:val="auto"/>
        </w:rPr>
      </w:pPr>
    </w:p>
    <w:p>
      <w:pPr>
        <w:sectPr>
          <w:pgSz w:w="11900" w:h="16838" w:orient="portrait"/>
          <w:cols w:equalWidth="0" w:num="2">
            <w:col w:w="1060" w:space="720"/>
            <w:col w:w="8439"/>
          </w:cols>
          <w:pgMar w:left="240" w:top="6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85" w:right="1440" w:bottom="1440" w:gutter="0" w:footer="0" w:header="0"/>
          <w:type w:val="continuous"/>
        </w:sectPr>
      </w:pPr>
    </w:p>
    <w:bookmarkStart w:id="15" w:name="page16"/>
    <w:bookmarkEnd w:id="15"/>
    <w:p>
      <w:pPr>
        <w:ind w:left="3360"/>
        <w:spacing w:after="0"/>
        <w:rPr>
          <w:sz w:val="20"/>
          <w:szCs w:val="20"/>
          <w:color w:val="auto"/>
        </w:rPr>
      </w:pPr>
      <w:r>
        <w:rPr>
          <w:rFonts w:ascii="Courier New" w:cs="Courier New" w:eastAsia="Courier New" w:hAnsi="Courier New"/>
          <w:sz w:val="16"/>
          <w:szCs w:val="16"/>
          <w:color w:val="auto"/>
        </w:rPr>
        <w:t>SIGNATURES</w:t>
      </w:r>
    </w:p>
    <w:p>
      <w:pPr>
        <w:spacing w:after="0" w:line="388" w:lineRule="exact"/>
        <w:rPr>
          <w:sz w:val="20"/>
          <w:szCs w:val="20"/>
          <w:color w:val="auto"/>
        </w:rPr>
      </w:pPr>
    </w:p>
    <w:p>
      <w:pPr>
        <w:jc w:val="both"/>
        <w:ind w:right="3119"/>
        <w:spacing w:after="0" w:line="25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NN Ball &amp; Roller, Inc.</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875" w:right="1440" w:bottom="1440" w:gutter="0" w:footer="0" w:header="0"/>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13, 1998</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/s/ Roderick R. Baty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Roderick R. Baty,</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President and Chief Executive</w:t>
      </w:r>
    </w:p>
    <w:p>
      <w:pPr>
        <w:spacing w:after="0" w:line="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Officer</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(Duly Authorized Officer)</w:t>
      </w:r>
    </w:p>
    <w:p>
      <w:pPr>
        <w:spacing w:after="0" w:line="200" w:lineRule="exact"/>
        <w:rPr>
          <w:sz w:val="20"/>
          <w:szCs w:val="20"/>
          <w:color w:val="auto"/>
        </w:rPr>
      </w:pPr>
    </w:p>
    <w:p>
      <w:pPr>
        <w:sectPr>
          <w:pgSz w:w="11900" w:h="16838" w:orient="portrait"/>
          <w:cols w:equalWidth="0" w:num="2">
            <w:col w:w="2180" w:space="580"/>
            <w:col w:w="7459"/>
          </w:cols>
          <w:pgMar w:left="240" w:top="875"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13, 1998</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/s/ David Dyckman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David Dyckman</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Chief Financial Officer</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(Principal Financial Officer)</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(Duly Authorized Officer)</w:t>
      </w:r>
    </w:p>
    <w:p>
      <w:pPr>
        <w:spacing w:after="0" w:line="200" w:lineRule="exact"/>
        <w:rPr>
          <w:sz w:val="20"/>
          <w:szCs w:val="20"/>
          <w:color w:val="auto"/>
        </w:rPr>
      </w:pPr>
    </w:p>
    <w:p>
      <w:pPr>
        <w:sectPr>
          <w:pgSz w:w="11900" w:h="16838" w:orient="portrait"/>
          <w:cols w:equalWidth="0" w:num="2">
            <w:col w:w="2180" w:space="580"/>
            <w:col w:w="7459"/>
          </w:cols>
          <w:pgMar w:left="240" w:top="875"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13, 1998</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 William C. Kelly, Jr.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William C. Kelly, Jr.,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 Assistant Secretary and</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Chief Accounting Officer</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(Principal Accounting Officer)</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(Duly Authorized Officer)</w:t>
      </w:r>
    </w:p>
    <w:p>
      <w:pPr>
        <w:spacing w:after="0" w:line="200" w:lineRule="exact"/>
        <w:rPr>
          <w:sz w:val="20"/>
          <w:szCs w:val="20"/>
          <w:color w:val="auto"/>
        </w:rPr>
      </w:pPr>
    </w:p>
    <w:p>
      <w:pPr>
        <w:sectPr>
          <w:pgSz w:w="11900" w:h="16838" w:orient="portrait"/>
          <w:cols w:equalWidth="0" w:num="2">
            <w:col w:w="2180" w:space="580"/>
            <w:col w:w="7459"/>
          </w:cols>
          <w:pgMar w:left="240" w:top="87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875" w:right="1440" w:bottom="1440" w:gutter="0" w:footer="0" w:header="0"/>
          <w:type w:val="continuous"/>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w:t>
      </w:r>
    </w:p>
    <w:p>
      <w:pPr>
        <w:spacing w:after="0" w:line="38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3-MOS</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DEC-31-1998</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JUN-30-1998</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1,216</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17,137</w:t>
      </w:r>
    </w:p>
    <w:p>
      <w:pPr>
        <w:spacing w:after="0" w:line="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(315)</w:t>
      </w:r>
    </w:p>
    <w:p>
      <w:pPr>
        <w:spacing w:after="0" w:line="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12,245</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31,615</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62,689</w:t>
      </w:r>
    </w:p>
    <w:p>
      <w:pPr>
        <w:spacing w:after="0" w:line="8" w:lineRule="exact"/>
        <w:rPr>
          <w:sz w:val="20"/>
          <w:szCs w:val="20"/>
          <w:color w:val="auto"/>
        </w:rPr>
      </w:pPr>
    </w:p>
    <w:p>
      <w:pPr>
        <w:jc w:val="right"/>
        <w:ind w:right="6279"/>
        <w:spacing w:after="0"/>
        <w:rPr>
          <w:sz w:val="20"/>
          <w:szCs w:val="20"/>
          <w:color w:val="auto"/>
        </w:rPr>
      </w:pPr>
      <w:r>
        <w:rPr>
          <w:rFonts w:ascii="Courier New" w:cs="Courier New" w:eastAsia="Courier New" w:hAnsi="Courier New"/>
          <w:sz w:val="16"/>
          <w:szCs w:val="16"/>
          <w:color w:val="auto"/>
        </w:rPr>
        <w:t>(25,243)</w:t>
      </w:r>
    </w:p>
    <w:p>
      <w:pPr>
        <w:spacing w:after="0" w:line="8" w:lineRule="exact"/>
        <w:rPr>
          <w:sz w:val="20"/>
          <w:szCs w:val="20"/>
          <w:color w:val="auto"/>
        </w:rPr>
      </w:pPr>
    </w:p>
    <w:p>
      <w:pPr>
        <w:jc w:val="right"/>
        <w:ind w:right="6279"/>
        <w:spacing w:after="0"/>
        <w:rPr>
          <w:sz w:val="20"/>
          <w:szCs w:val="20"/>
          <w:color w:val="auto"/>
        </w:rPr>
      </w:pPr>
      <w:r>
        <w:rPr>
          <w:rFonts w:ascii="Courier New" w:cs="Courier New" w:eastAsia="Courier New" w:hAnsi="Courier New"/>
          <w:sz w:val="16"/>
          <w:szCs w:val="16"/>
          <w:color w:val="auto"/>
        </w:rPr>
        <w:t>68,991</w:t>
      </w:r>
    </w:p>
    <w:p>
      <w:pPr>
        <w:spacing w:after="0" w:line="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10,756</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146</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55,258</w:t>
      </w:r>
    </w:p>
    <w:p>
      <w:pPr>
        <w:spacing w:after="0" w:line="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68,491</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19,674</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19,674</w:t>
      </w:r>
    </w:p>
    <w:p>
      <w:pPr>
        <w:spacing w:after="0" w:line="8" w:lineRule="exact"/>
        <w:rPr>
          <w:sz w:val="20"/>
          <w:szCs w:val="20"/>
          <w:color w:val="auto"/>
        </w:rPr>
      </w:pPr>
    </w:p>
    <w:p>
      <w:pPr>
        <w:jc w:val="right"/>
        <w:ind w:right="5379"/>
        <w:spacing w:after="0"/>
        <w:rPr>
          <w:sz w:val="20"/>
          <w:szCs w:val="20"/>
          <w:color w:val="auto"/>
        </w:rPr>
      </w:pPr>
      <w:r>
        <w:rPr>
          <w:rFonts w:ascii="Courier New" w:cs="Courier New" w:eastAsia="Courier New" w:hAnsi="Courier New"/>
          <w:sz w:val="16"/>
          <w:szCs w:val="16"/>
          <w:color w:val="auto"/>
        </w:rPr>
        <w:t>13,563</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13,563</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2,709</w:t>
      </w:r>
    </w:p>
    <w:p>
      <w:pPr>
        <w:spacing w:after="0" w:line="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18</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3,384</w:t>
      </w:r>
    </w:p>
    <w:p>
      <w:pPr>
        <w:spacing w:after="0" w:line="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1,060</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2,324</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2,324</w:t>
      </w:r>
    </w:p>
    <w:p>
      <w:pPr>
        <w:spacing w:after="0" w:line="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0.16</w:t>
      </w:r>
    </w:p>
    <w:p>
      <w:pPr>
        <w:spacing w:after="0" w:line="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0.16</w:t>
      </w:r>
    </w:p>
    <w:sectPr>
      <w:pgSz w:w="11900" w:h="16838" w:orient="portrait"/>
      <w:cols w:equalWidth="0" w:num="1">
        <w:col w:w="10119"/>
      </w:cols>
      <w:pgMar w:left="3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upperLetter"/>
      <w:start w:val="40"/>
    </w:lvl>
  </w:abstractNum>
  <w:abstractNum w:abstractNumId="4">
    <w:nsid w:val="7545E146"/>
    <w:multiLevelType w:val="hybridMultilevel"/>
    <w:lvl w:ilvl="0">
      <w:lvlJc w:val="left"/>
      <w:lvlText w:val="%1"/>
      <w:numFmt w:val="upperLetter"/>
      <w:start w:val="40"/>
    </w:lvl>
  </w:abstractNum>
  <w:abstractNum w:abstractNumId="5">
    <w:nsid w:val="515F007C"/>
    <w:multiLevelType w:val="hybridMultilevel"/>
    <w:lvl w:ilvl="0">
      <w:lvlJc w:val="left"/>
      <w:lvlText w:val="%1"/>
      <w:numFmt w:val="upperLetter"/>
      <w:start w:val="40"/>
    </w:lvl>
  </w:abstractNum>
  <w:abstractNum w:abstractNumId="6">
    <w:nsid w:val="5BD062C2"/>
    <w:multiLevelType w:val="hybridMultilevel"/>
    <w:lvl w:ilvl="0">
      <w:lvlJc w:val="left"/>
      <w:lvlText w:val="%1"/>
      <w:numFmt w:val="upperLetter"/>
      <w:start w:val="40"/>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lvl w:ilvl="1">
      <w:lvlJc w:val="left"/>
      <w:lvlText w:val="%2"/>
      <w:numFmt w:val="decimal"/>
      <w:start w:val="27"/>
    </w:lvl>
  </w:abstractNum>
  <w:abstractNum w:abstractNumId="10">
    <w:nsid w:val="1F16E9E8"/>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2019-12-14T03:16:57Z</dcterms:created>
  <dcterms:modified xsi:type="dcterms:W3CDTF">2019-12-14T03:16:57Z</dcterms:modified>
</cp:coreProperties>
</file>