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6, 2002</w:t>
      </w:r>
    </w:p>
    <w:p>
      <w:pPr>
        <w:spacing w:after="0" w:line="23"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163195</wp:posOffset>
            </wp:positionV>
            <wp:extent cx="140208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156845</wp:posOffset>
            </wp:positionV>
            <wp:extent cx="140208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380" w:type="dxa"/>
            <w:vAlign w:val="bottom"/>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120" w:type="dxa"/>
            <w:vAlign w:val="bottom"/>
          </w:tcPr>
          <w:p>
            <w:pPr>
              <w:jc w:val="center"/>
              <w:ind w:left="4716"/>
              <w:spacing w:after="0"/>
              <w:rPr>
                <w:sz w:val="20"/>
                <w:szCs w:val="20"/>
                <w:color w:val="auto"/>
              </w:rPr>
            </w:pPr>
            <w:r>
              <w:rPr>
                <w:rFonts w:ascii="Times New Roman" w:cs="Times New Roman" w:eastAsia="Times New Roman" w:hAnsi="Times New Roman"/>
                <w:sz w:val="18"/>
                <w:szCs w:val="18"/>
                <w:b w:val="1"/>
                <w:bCs w:val="1"/>
                <w:color w:val="auto"/>
                <w:w w:val="96"/>
              </w:rPr>
              <w:t>62-1096725</w:t>
            </w:r>
          </w:p>
        </w:tc>
      </w:tr>
      <w:tr>
        <w:trPr>
          <w:trHeight w:val="149"/>
        </w:trPr>
        <w:tc>
          <w:tcPr>
            <w:tcW w:w="3380" w:type="dxa"/>
            <w:vAlign w:val="bottom"/>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6120" w:type="dxa"/>
            <w:vAlign w:val="bottom"/>
          </w:tcPr>
          <w:p>
            <w:pPr>
              <w:jc w:val="center"/>
              <w:ind w:left="4696"/>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3380" w:type="dxa"/>
            <w:vAlign w:val="bottom"/>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5"/>
              </w:rPr>
              <w:t>of incorporation or organization)</w:t>
            </w:r>
          </w:p>
        </w:tc>
        <w:tc>
          <w:tcPr>
            <w:tcW w:w="6120" w:type="dxa"/>
            <w:vAlign w:val="bottom"/>
          </w:tcPr>
          <w:p>
            <w:pPr>
              <w:jc w:val="center"/>
              <w:ind w:left="4696"/>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r>
      <w:tr>
        <w:trPr>
          <w:trHeight w:val="335"/>
        </w:trPr>
        <w:tc>
          <w:tcPr>
            <w:tcW w:w="3380" w:type="dxa"/>
            <w:vAlign w:val="bottom"/>
          </w:tcPr>
          <w:p>
            <w:pPr>
              <w:spacing w:after="0"/>
              <w:rPr>
                <w:sz w:val="24"/>
                <w:szCs w:val="24"/>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7"/>
              </w:rPr>
              <w:t>2000 Waters Edge Drive</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6"/>
              </w:rPr>
              <w:t>Johnson City, Tennessee 37604</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7"/>
              </w:rPr>
              <w:t>(423) 743-9151</w:t>
            </w:r>
          </w:p>
        </w:tc>
      </w:tr>
      <w:tr>
        <w:trPr>
          <w:trHeight w:val="149"/>
        </w:trPr>
        <w:tc>
          <w:tcPr>
            <w:tcW w:w="9500" w:type="dxa"/>
            <w:vAlign w:val="bottom"/>
            <w:gridSpan w:val="2"/>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(Address, including zip code, and telephone number, including</w:t>
            </w:r>
          </w:p>
        </w:tc>
      </w:tr>
      <w:tr>
        <w:trPr>
          <w:trHeight w:val="178"/>
        </w:trPr>
        <w:tc>
          <w:tcPr>
            <w:tcW w:w="3380" w:type="dxa"/>
            <w:vAlign w:val="bottom"/>
          </w:tcPr>
          <w:p>
            <w:pPr>
              <w:spacing w:after="0"/>
              <w:rPr>
                <w:sz w:val="15"/>
                <w:szCs w:val="15"/>
                <w:color w:val="auto"/>
              </w:rPr>
            </w:pPr>
          </w:p>
        </w:tc>
        <w:tc>
          <w:tcPr>
            <w:tcW w:w="6120" w:type="dxa"/>
            <w:vAlign w:val="bottom"/>
          </w:tcPr>
          <w:p>
            <w:pPr>
              <w:jc w:val="center"/>
              <w:ind w:right="2996"/>
              <w:spacing w:after="0"/>
              <w:rPr>
                <w:sz w:val="20"/>
                <w:szCs w:val="20"/>
                <w:color w:val="auto"/>
              </w:rPr>
            </w:pPr>
            <w:r>
              <w:rPr>
                <w:rFonts w:ascii="Times New Roman" w:cs="Times New Roman" w:eastAsia="Times New Roman" w:hAnsi="Times New Roman"/>
                <w:sz w:val="14"/>
                <w:szCs w:val="14"/>
                <w:b w:val="1"/>
                <w:bCs w:val="1"/>
                <w:color w:val="auto"/>
                <w:w w:val="96"/>
              </w:rPr>
              <w:t>area code, of registrant’s principal executive offices)</w:t>
            </w:r>
          </w:p>
        </w:tc>
      </w:tr>
      <w:tr>
        <w:trPr>
          <w:trHeight w:val="335"/>
        </w:trPr>
        <w:tc>
          <w:tcPr>
            <w:tcW w:w="3380" w:type="dxa"/>
            <w:vAlign w:val="bottom"/>
          </w:tcPr>
          <w:p>
            <w:pPr>
              <w:spacing w:after="0"/>
              <w:rPr>
                <w:sz w:val="24"/>
                <w:szCs w:val="24"/>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7"/>
              </w:rPr>
              <w:t>Roderick R. Baty</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2996"/>
              <w:spacing w:after="0"/>
              <w:rPr>
                <w:sz w:val="20"/>
                <w:szCs w:val="20"/>
                <w:color w:val="auto"/>
              </w:rPr>
            </w:pPr>
            <w:r>
              <w:rPr>
                <w:rFonts w:ascii="Times New Roman" w:cs="Times New Roman" w:eastAsia="Times New Roman" w:hAnsi="Times New Roman"/>
                <w:sz w:val="18"/>
                <w:szCs w:val="18"/>
                <w:b w:val="1"/>
                <w:bCs w:val="1"/>
                <w:color w:val="auto"/>
                <w:w w:val="97"/>
              </w:rPr>
              <w:t>President and Chief Executive Officer</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7"/>
              </w:rPr>
              <w:t>2000 Waters Edge Drive</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6"/>
              </w:rPr>
              <w:t>Johnson City, Tennessee 37604</w:t>
            </w:r>
          </w:p>
        </w:tc>
      </w:tr>
      <w:tr>
        <w:trPr>
          <w:trHeight w:val="216"/>
        </w:trPr>
        <w:tc>
          <w:tcPr>
            <w:tcW w:w="3380" w:type="dxa"/>
            <w:vAlign w:val="bottom"/>
          </w:tcPr>
          <w:p>
            <w:pPr>
              <w:spacing w:after="0"/>
              <w:rPr>
                <w:sz w:val="18"/>
                <w:szCs w:val="18"/>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8"/>
                <w:szCs w:val="18"/>
                <w:b w:val="1"/>
                <w:bCs w:val="1"/>
                <w:color w:val="auto"/>
                <w:w w:val="97"/>
              </w:rPr>
              <w:t>(423) 743-9151</w:t>
            </w:r>
          </w:p>
        </w:tc>
      </w:tr>
      <w:tr>
        <w:trPr>
          <w:trHeight w:val="149"/>
        </w:trPr>
        <w:tc>
          <w:tcPr>
            <w:tcW w:w="9500" w:type="dxa"/>
            <w:vAlign w:val="bottom"/>
            <w:gridSpan w:val="2"/>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(Name, address, including zip code, and telephone number,</w:t>
            </w:r>
          </w:p>
        </w:tc>
      </w:tr>
      <w:tr>
        <w:trPr>
          <w:trHeight w:val="178"/>
        </w:trPr>
        <w:tc>
          <w:tcPr>
            <w:tcW w:w="3380" w:type="dxa"/>
            <w:vAlign w:val="bottom"/>
          </w:tcPr>
          <w:p>
            <w:pPr>
              <w:spacing w:after="0"/>
              <w:rPr>
                <w:sz w:val="15"/>
                <w:szCs w:val="15"/>
                <w:color w:val="auto"/>
              </w:rPr>
            </w:pPr>
          </w:p>
        </w:tc>
        <w:tc>
          <w:tcPr>
            <w:tcW w:w="6120" w:type="dxa"/>
            <w:vAlign w:val="bottom"/>
          </w:tcPr>
          <w:p>
            <w:pPr>
              <w:jc w:val="center"/>
              <w:ind w:right="3016"/>
              <w:spacing w:after="0"/>
              <w:rPr>
                <w:sz w:val="20"/>
                <w:szCs w:val="20"/>
                <w:color w:val="auto"/>
              </w:rPr>
            </w:pPr>
            <w:r>
              <w:rPr>
                <w:rFonts w:ascii="Times New Roman" w:cs="Times New Roman" w:eastAsia="Times New Roman" w:hAnsi="Times New Roman"/>
                <w:sz w:val="14"/>
                <w:szCs w:val="14"/>
                <w:b w:val="1"/>
                <w:bCs w:val="1"/>
                <w:color w:val="auto"/>
                <w:w w:val="96"/>
              </w:rPr>
              <w:t>including area code, of agent for service)</w:t>
            </w:r>
          </w:p>
        </w:tc>
      </w:tr>
      <w:tr>
        <w:trPr>
          <w:trHeight w:val="350"/>
        </w:trPr>
        <w:tc>
          <w:tcPr>
            <w:tcW w:w="3380" w:type="dxa"/>
            <w:vAlign w:val="bottom"/>
          </w:tcPr>
          <w:p>
            <w:pPr>
              <w:spacing w:after="0"/>
              <w:rPr>
                <w:sz w:val="24"/>
                <w:szCs w:val="24"/>
                <w:color w:val="auto"/>
              </w:rPr>
            </w:pPr>
          </w:p>
        </w:tc>
        <w:tc>
          <w:tcPr>
            <w:tcW w:w="6120" w:type="dxa"/>
            <w:vAlign w:val="bottom"/>
          </w:tcPr>
          <w:p>
            <w:pPr>
              <w:jc w:val="center"/>
              <w:ind w:right="2996"/>
              <w:spacing w:after="0"/>
              <w:rPr>
                <w:sz w:val="20"/>
                <w:szCs w:val="20"/>
                <w:color w:val="auto"/>
              </w:rPr>
            </w:pPr>
            <w:r>
              <w:rPr>
                <w:rFonts w:ascii="Times New Roman" w:cs="Times New Roman" w:eastAsia="Times New Roman" w:hAnsi="Times New Roman"/>
                <w:sz w:val="18"/>
                <w:szCs w:val="18"/>
                <w:b w:val="1"/>
                <w:bCs w:val="1"/>
                <w:i w:val="1"/>
                <w:iCs w:val="1"/>
                <w:color w:val="auto"/>
                <w:w w:val="97"/>
              </w:rPr>
              <w:t>With Copies to:</w:t>
            </w:r>
          </w:p>
        </w:tc>
      </w:tr>
      <w:tr>
        <w:trPr>
          <w:trHeight w:val="350"/>
        </w:trPr>
        <w:tc>
          <w:tcPr>
            <w:tcW w:w="3380" w:type="dxa"/>
            <w:vAlign w:val="bottom"/>
          </w:tcPr>
          <w:p>
            <w:pPr>
              <w:jc w:val="center"/>
              <w:ind w:left="440"/>
              <w:spacing w:after="0"/>
              <w:rPr>
                <w:sz w:val="20"/>
                <w:szCs w:val="20"/>
                <w:color w:val="auto"/>
              </w:rPr>
            </w:pPr>
            <w:r>
              <w:rPr>
                <w:rFonts w:ascii="Times New Roman" w:cs="Times New Roman" w:eastAsia="Times New Roman" w:hAnsi="Times New Roman"/>
                <w:sz w:val="18"/>
                <w:szCs w:val="18"/>
                <w:b w:val="1"/>
                <w:bCs w:val="1"/>
                <w:color w:val="auto"/>
                <w:w w:val="97"/>
              </w:rPr>
              <w:t>James M. Ash</w:t>
            </w:r>
          </w:p>
        </w:tc>
        <w:tc>
          <w:tcPr>
            <w:tcW w:w="6120" w:type="dxa"/>
            <w:vAlign w:val="bottom"/>
          </w:tcPr>
          <w:p>
            <w:pPr>
              <w:jc w:val="center"/>
              <w:ind w:left="2676"/>
              <w:spacing w:after="0"/>
              <w:rPr>
                <w:sz w:val="20"/>
                <w:szCs w:val="20"/>
                <w:color w:val="auto"/>
              </w:rPr>
            </w:pPr>
            <w:r>
              <w:rPr>
                <w:rFonts w:ascii="Times New Roman" w:cs="Times New Roman" w:eastAsia="Times New Roman" w:hAnsi="Times New Roman"/>
                <w:sz w:val="18"/>
                <w:szCs w:val="18"/>
                <w:b w:val="1"/>
                <w:bCs w:val="1"/>
                <w:color w:val="auto"/>
                <w:w w:val="96"/>
              </w:rPr>
              <w:t>John J. Jenkins</w:t>
            </w:r>
          </w:p>
        </w:tc>
      </w:tr>
      <w:tr>
        <w:trPr>
          <w:trHeight w:val="216"/>
        </w:trPr>
        <w:tc>
          <w:tcPr>
            <w:tcW w:w="3380" w:type="dxa"/>
            <w:vAlign w:val="bottom"/>
          </w:tcPr>
          <w:p>
            <w:pPr>
              <w:jc w:val="center"/>
              <w:ind w:left="440"/>
              <w:spacing w:after="0"/>
              <w:rPr>
                <w:sz w:val="20"/>
                <w:szCs w:val="20"/>
                <w:color w:val="auto"/>
              </w:rPr>
            </w:pPr>
            <w:r>
              <w:rPr>
                <w:rFonts w:ascii="Times New Roman" w:cs="Times New Roman" w:eastAsia="Times New Roman" w:hAnsi="Times New Roman"/>
                <w:sz w:val="18"/>
                <w:szCs w:val="18"/>
                <w:b w:val="1"/>
                <w:bCs w:val="1"/>
                <w:color w:val="auto"/>
                <w:w w:val="97"/>
              </w:rPr>
              <w:t>Blackwell Sanders Peper Martin LLP</w:t>
            </w:r>
          </w:p>
        </w:tc>
        <w:tc>
          <w:tcPr>
            <w:tcW w:w="6120" w:type="dxa"/>
            <w:vAlign w:val="bottom"/>
          </w:tcPr>
          <w:p>
            <w:pPr>
              <w:jc w:val="center"/>
              <w:ind w:left="2676"/>
              <w:spacing w:after="0"/>
              <w:rPr>
                <w:sz w:val="20"/>
                <w:szCs w:val="20"/>
                <w:color w:val="auto"/>
              </w:rPr>
            </w:pPr>
            <w:r>
              <w:rPr>
                <w:rFonts w:ascii="Times New Roman" w:cs="Times New Roman" w:eastAsia="Times New Roman" w:hAnsi="Times New Roman"/>
                <w:sz w:val="18"/>
                <w:szCs w:val="18"/>
                <w:b w:val="1"/>
                <w:bCs w:val="1"/>
                <w:color w:val="auto"/>
                <w:w w:val="97"/>
              </w:rPr>
              <w:t>Calfee, Halter &amp; Griswold LLP</w:t>
            </w:r>
          </w:p>
        </w:tc>
      </w:tr>
      <w:tr>
        <w:trPr>
          <w:trHeight w:val="216"/>
        </w:trPr>
        <w:tc>
          <w:tcPr>
            <w:tcW w:w="3380" w:type="dxa"/>
            <w:vAlign w:val="bottom"/>
          </w:tcPr>
          <w:p>
            <w:pPr>
              <w:jc w:val="center"/>
              <w:ind w:left="440"/>
              <w:spacing w:after="0"/>
              <w:rPr>
                <w:sz w:val="20"/>
                <w:szCs w:val="20"/>
                <w:color w:val="auto"/>
              </w:rPr>
            </w:pPr>
            <w:r>
              <w:rPr>
                <w:rFonts w:ascii="Times New Roman" w:cs="Times New Roman" w:eastAsia="Times New Roman" w:hAnsi="Times New Roman"/>
                <w:sz w:val="18"/>
                <w:szCs w:val="18"/>
                <w:b w:val="1"/>
                <w:bCs w:val="1"/>
                <w:color w:val="auto"/>
                <w:w w:val="97"/>
              </w:rPr>
              <w:t>2300 Main Street, Suite 1000</w:t>
            </w:r>
          </w:p>
        </w:tc>
        <w:tc>
          <w:tcPr>
            <w:tcW w:w="6120" w:type="dxa"/>
            <w:vAlign w:val="bottom"/>
          </w:tcPr>
          <w:p>
            <w:pPr>
              <w:jc w:val="center"/>
              <w:ind w:left="2696"/>
              <w:spacing w:after="0"/>
              <w:rPr>
                <w:sz w:val="20"/>
                <w:szCs w:val="20"/>
                <w:color w:val="auto"/>
              </w:rPr>
            </w:pPr>
            <w:r>
              <w:rPr>
                <w:rFonts w:ascii="Times New Roman" w:cs="Times New Roman" w:eastAsia="Times New Roman" w:hAnsi="Times New Roman"/>
                <w:sz w:val="18"/>
                <w:szCs w:val="18"/>
                <w:b w:val="1"/>
                <w:bCs w:val="1"/>
                <w:color w:val="auto"/>
                <w:w w:val="97"/>
              </w:rPr>
              <w:t>1400 McDonald Investment Center</w:t>
            </w:r>
          </w:p>
        </w:tc>
      </w:tr>
      <w:tr>
        <w:trPr>
          <w:trHeight w:val="216"/>
        </w:trPr>
        <w:tc>
          <w:tcPr>
            <w:tcW w:w="3380" w:type="dxa"/>
            <w:vAlign w:val="bottom"/>
          </w:tcPr>
          <w:p>
            <w:pPr>
              <w:jc w:val="center"/>
              <w:ind w:left="440"/>
              <w:spacing w:after="0"/>
              <w:rPr>
                <w:sz w:val="20"/>
                <w:szCs w:val="20"/>
                <w:color w:val="auto"/>
              </w:rPr>
            </w:pPr>
            <w:r>
              <w:rPr>
                <w:rFonts w:ascii="Times New Roman" w:cs="Times New Roman" w:eastAsia="Times New Roman" w:hAnsi="Times New Roman"/>
                <w:sz w:val="18"/>
                <w:szCs w:val="18"/>
                <w:b w:val="1"/>
                <w:bCs w:val="1"/>
                <w:color w:val="auto"/>
                <w:w w:val="97"/>
              </w:rPr>
              <w:t>Kansas City, Missouri 64108</w:t>
            </w:r>
          </w:p>
        </w:tc>
        <w:tc>
          <w:tcPr>
            <w:tcW w:w="6120" w:type="dxa"/>
            <w:vAlign w:val="bottom"/>
          </w:tcPr>
          <w:p>
            <w:pPr>
              <w:jc w:val="center"/>
              <w:ind w:left="2676"/>
              <w:spacing w:after="0"/>
              <w:rPr>
                <w:sz w:val="20"/>
                <w:szCs w:val="20"/>
                <w:color w:val="auto"/>
              </w:rPr>
            </w:pPr>
            <w:r>
              <w:rPr>
                <w:rFonts w:ascii="Times New Roman" w:cs="Times New Roman" w:eastAsia="Times New Roman" w:hAnsi="Times New Roman"/>
                <w:sz w:val="18"/>
                <w:szCs w:val="18"/>
                <w:b w:val="1"/>
                <w:bCs w:val="1"/>
                <w:color w:val="auto"/>
                <w:w w:val="96"/>
              </w:rPr>
              <w:t>800 Superior Avenue</w:t>
            </w:r>
          </w:p>
        </w:tc>
      </w:tr>
      <w:tr>
        <w:trPr>
          <w:trHeight w:val="216"/>
        </w:trPr>
        <w:tc>
          <w:tcPr>
            <w:tcW w:w="3380" w:type="dxa"/>
            <w:vAlign w:val="bottom"/>
          </w:tcPr>
          <w:p>
            <w:pPr>
              <w:jc w:val="center"/>
              <w:ind w:left="440"/>
              <w:spacing w:after="0"/>
              <w:rPr>
                <w:sz w:val="20"/>
                <w:szCs w:val="20"/>
                <w:color w:val="auto"/>
              </w:rPr>
            </w:pPr>
            <w:r>
              <w:rPr>
                <w:rFonts w:ascii="Times New Roman" w:cs="Times New Roman" w:eastAsia="Times New Roman" w:hAnsi="Times New Roman"/>
                <w:sz w:val="18"/>
                <w:szCs w:val="18"/>
                <w:b w:val="1"/>
                <w:bCs w:val="1"/>
                <w:color w:val="auto"/>
                <w:w w:val="97"/>
              </w:rPr>
              <w:t>(816) 983-8000</w:t>
            </w:r>
          </w:p>
        </w:tc>
        <w:tc>
          <w:tcPr>
            <w:tcW w:w="6120" w:type="dxa"/>
            <w:vAlign w:val="bottom"/>
          </w:tcPr>
          <w:p>
            <w:pPr>
              <w:jc w:val="center"/>
              <w:ind w:left="2676"/>
              <w:spacing w:after="0"/>
              <w:rPr>
                <w:sz w:val="20"/>
                <w:szCs w:val="20"/>
                <w:color w:val="auto"/>
              </w:rPr>
            </w:pPr>
            <w:r>
              <w:rPr>
                <w:rFonts w:ascii="Times New Roman" w:cs="Times New Roman" w:eastAsia="Times New Roman" w:hAnsi="Times New Roman"/>
                <w:sz w:val="18"/>
                <w:szCs w:val="18"/>
                <w:b w:val="1"/>
                <w:bCs w:val="1"/>
                <w:color w:val="auto"/>
                <w:w w:val="96"/>
              </w:rPr>
              <w:t>Cleveland, Ohio 44114</w:t>
            </w:r>
          </w:p>
        </w:tc>
      </w:tr>
      <w:tr>
        <w:trPr>
          <w:trHeight w:val="230"/>
        </w:trPr>
        <w:tc>
          <w:tcPr>
            <w:tcW w:w="3380" w:type="dxa"/>
            <w:vAlign w:val="bottom"/>
          </w:tcPr>
          <w:p>
            <w:pPr>
              <w:spacing w:after="0"/>
              <w:rPr>
                <w:sz w:val="20"/>
                <w:szCs w:val="20"/>
                <w:color w:val="auto"/>
              </w:rPr>
            </w:pPr>
          </w:p>
        </w:tc>
        <w:tc>
          <w:tcPr>
            <w:tcW w:w="6120" w:type="dxa"/>
            <w:vAlign w:val="bottom"/>
          </w:tcPr>
          <w:p>
            <w:pPr>
              <w:jc w:val="center"/>
              <w:ind w:left="2696"/>
              <w:spacing w:after="0"/>
              <w:rPr>
                <w:sz w:val="20"/>
                <w:szCs w:val="20"/>
                <w:color w:val="auto"/>
              </w:rPr>
            </w:pPr>
            <w:r>
              <w:rPr>
                <w:rFonts w:ascii="Times New Roman" w:cs="Times New Roman" w:eastAsia="Times New Roman" w:hAnsi="Times New Roman"/>
                <w:sz w:val="18"/>
                <w:szCs w:val="18"/>
                <w:b w:val="1"/>
                <w:bCs w:val="1"/>
                <w:color w:val="auto"/>
                <w:w w:val="97"/>
              </w:rPr>
              <w:t>(216) 622-8200</w:t>
            </w:r>
          </w:p>
        </w:tc>
      </w:tr>
    </w:tbl>
    <w:p>
      <w:pPr>
        <w:spacing w:after="0" w:line="134" w:lineRule="exact"/>
        <w:rPr>
          <w:sz w:val="24"/>
          <w:szCs w:val="24"/>
          <w:color w:val="auto"/>
        </w:rPr>
      </w:pPr>
    </w:p>
    <w:p>
      <w:pPr>
        <w:ind w:left="360"/>
        <w:spacing w:after="0"/>
        <w:tabs>
          <w:tab w:leader="none" w:pos="4340" w:val="left"/>
        </w:tabs>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sz w:val="20"/>
          <w:szCs w:val="20"/>
          <w:color w:val="auto"/>
        </w:rPr>
        <w:tab/>
      </w:r>
      <w:r>
        <w:rPr>
          <w:rFonts w:ascii="Times New Roman" w:cs="Times New Roman" w:eastAsia="Times New Roman" w:hAnsi="Times New Roman"/>
          <w:sz w:val="12"/>
          <w:szCs w:val="12"/>
          <w:color w:val="auto"/>
        </w:rPr>
        <w:t>As soon as possible after the effective date of this Registration Statement.</w:t>
      </w:r>
    </w:p>
    <w:p>
      <w:pPr>
        <w:spacing w:after="0" w:line="117"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59" w:lineRule="exact"/>
        <w:rPr>
          <w:sz w:val="24"/>
          <w:szCs w:val="24"/>
          <w:color w:val="auto"/>
        </w:rPr>
      </w:pPr>
    </w:p>
    <w:p>
      <w:pPr>
        <w:ind w:right="580" w:firstLine="342"/>
        <w:spacing w:after="0" w:line="16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investment plans, check the following box. </w:t>
      </w:r>
      <w:r>
        <w:rPr>
          <w:rFonts w:ascii="MS PGothic" w:cs="MS PGothic" w:eastAsia="MS PGothic" w:hAnsi="MS PGothic"/>
          <w:sz w:val="14"/>
          <w:szCs w:val="14"/>
          <w:color w:val="auto"/>
        </w:rPr>
        <w:t>☐</w:t>
      </w:r>
    </w:p>
    <w:p>
      <w:pPr>
        <w:spacing w:after="0" w:line="109" w:lineRule="exact"/>
        <w:rPr>
          <w:sz w:val="24"/>
          <w:szCs w:val="24"/>
          <w:color w:val="auto"/>
        </w:rPr>
      </w:pPr>
    </w:p>
    <w:p>
      <w:pPr>
        <w:ind w:right="40" w:firstLine="342"/>
        <w:spacing w:after="0" w:line="16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earlier effective registration statement for the same offering. </w:t>
      </w:r>
      <w:r>
        <w:rPr>
          <w:rFonts w:ascii="MS PGothic" w:cs="MS PGothic" w:eastAsia="MS PGothic" w:hAnsi="MS PGothic"/>
          <w:sz w:val="14"/>
          <w:szCs w:val="14"/>
          <w:color w:val="auto"/>
        </w:rPr>
        <w:t>☐</w:t>
      </w:r>
    </w:p>
    <w:p>
      <w:pPr>
        <w:spacing w:after="0" w:line="109" w:lineRule="exact"/>
        <w:rPr>
          <w:sz w:val="24"/>
          <w:szCs w:val="24"/>
          <w:color w:val="auto"/>
        </w:rPr>
      </w:pPr>
    </w:p>
    <w:p>
      <w:pPr>
        <w:ind w:right="160" w:firstLine="342"/>
        <w:spacing w:after="0" w:line="16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6"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please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175895</wp:posOffset>
            </wp:positionV>
            <wp:extent cx="140208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49"/>
        </w:trPr>
        <w:tc>
          <w:tcPr>
            <w:tcW w:w="3940" w:type="dxa"/>
            <w:vAlign w:val="bottom"/>
          </w:tcPr>
          <w:p>
            <w:pPr>
              <w:jc w:val="center"/>
              <w:ind w:left="4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 securities</w:t>
            </w:r>
          </w:p>
        </w:tc>
        <w:tc>
          <w:tcPr>
            <w:tcW w:w="2800" w:type="dxa"/>
            <w:vAlign w:val="bottom"/>
          </w:tcPr>
          <w:p>
            <w:pPr>
              <w:jc w:val="center"/>
              <w:ind w:left="886"/>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 to be</w:t>
            </w:r>
          </w:p>
        </w:tc>
        <w:tc>
          <w:tcPr>
            <w:tcW w:w="2400" w:type="dxa"/>
            <w:vAlign w:val="bottom"/>
          </w:tcPr>
          <w:p>
            <w:pPr>
              <w:jc w:val="center"/>
              <w:ind w:left="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78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registration</w:t>
            </w:r>
          </w:p>
        </w:tc>
      </w:tr>
      <w:tr>
        <w:trPr>
          <w:trHeight w:val="178"/>
        </w:trPr>
        <w:tc>
          <w:tcPr>
            <w:tcW w:w="3940" w:type="dxa"/>
            <w:vAlign w:val="bottom"/>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5"/>
              </w:rPr>
              <w:t>to be registered</w:t>
            </w:r>
          </w:p>
        </w:tc>
        <w:tc>
          <w:tcPr>
            <w:tcW w:w="2800" w:type="dxa"/>
            <w:vAlign w:val="bottom"/>
          </w:tcPr>
          <w:p>
            <w:pPr>
              <w:jc w:val="center"/>
              <w:ind w:left="886"/>
              <w:spacing w:after="0"/>
              <w:rPr>
                <w:sz w:val="20"/>
                <w:szCs w:val="20"/>
                <w:color w:val="auto"/>
              </w:rPr>
            </w:pPr>
            <w:r>
              <w:rPr>
                <w:rFonts w:ascii="Times New Roman" w:cs="Times New Roman" w:eastAsia="Times New Roman" w:hAnsi="Times New Roman"/>
                <w:sz w:val="14"/>
                <w:szCs w:val="14"/>
                <w:b w:val="1"/>
                <w:bCs w:val="1"/>
                <w:color w:val="auto"/>
                <w:w w:val="93"/>
              </w:rPr>
              <w:t>registered</w:t>
            </w:r>
          </w:p>
        </w:tc>
        <w:tc>
          <w:tcPr>
            <w:tcW w:w="2400" w:type="dxa"/>
            <w:vAlign w:val="bottom"/>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6"/>
              </w:rPr>
              <w:t>offering price per share(1)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price(1)</w:t>
            </w: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105"/>
        </w:trPr>
        <w:tc>
          <w:tcPr>
            <w:tcW w:w="394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1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28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7,475,000 shares(2)</w:t>
            </w:r>
          </w:p>
        </w:tc>
        <w:tc>
          <w:tcPr>
            <w:tcW w:w="2400" w:type="dxa"/>
            <w:vAlign w:val="bottom"/>
          </w:tcPr>
          <w:p>
            <w:pPr>
              <w:jc w:val="center"/>
              <w:ind w:left="46"/>
              <w:spacing w:after="0"/>
              <w:rPr>
                <w:sz w:val="20"/>
                <w:szCs w:val="20"/>
                <w:color w:val="auto"/>
              </w:rPr>
            </w:pPr>
            <w:r>
              <w:rPr>
                <w:rFonts w:ascii="Times New Roman" w:cs="Times New Roman" w:eastAsia="Times New Roman" w:hAnsi="Times New Roman"/>
                <w:sz w:val="18"/>
                <w:szCs w:val="18"/>
                <w:color w:val="auto"/>
                <w:w w:val="96"/>
              </w:rPr>
              <w:t>$10.50</w:t>
            </w:r>
          </w:p>
        </w:tc>
        <w:tc>
          <w:tcPr>
            <w:tcW w:w="1500" w:type="dxa"/>
            <w:vAlign w:val="bottom"/>
          </w:tcPr>
          <w:p>
            <w:pPr>
              <w:jc w:val="right"/>
              <w:ind w:right="227"/>
              <w:spacing w:after="0"/>
              <w:rPr>
                <w:sz w:val="20"/>
                <w:szCs w:val="20"/>
                <w:color w:val="auto"/>
              </w:rPr>
            </w:pPr>
            <w:r>
              <w:rPr>
                <w:rFonts w:ascii="Times New Roman" w:cs="Times New Roman" w:eastAsia="Times New Roman" w:hAnsi="Times New Roman"/>
                <w:sz w:val="18"/>
                <w:szCs w:val="18"/>
                <w:color w:val="auto"/>
              </w:rPr>
              <w:t>$78,487,500</w:t>
            </w: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8"/>
                <w:szCs w:val="18"/>
                <w:color w:val="auto"/>
                <w:w w:val="97"/>
              </w:rPr>
              <w:t>$7,221.00</w:t>
            </w:r>
          </w:p>
        </w:tc>
      </w:tr>
      <w:tr>
        <w:trPr>
          <w:trHeight w:val="107"/>
        </w:trPr>
        <w:tc>
          <w:tcPr>
            <w:tcW w:w="39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394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240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-323215</wp:posOffset>
            </wp:positionV>
            <wp:extent cx="21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-323215</wp:posOffset>
            </wp:positionV>
            <wp:extent cx="21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2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2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2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2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6413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1" w:lineRule="exact"/>
        <w:rPr>
          <w:sz w:val="24"/>
          <w:szCs w:val="24"/>
          <w:color w:val="auto"/>
        </w:rPr>
      </w:pPr>
    </w:p>
    <w:p>
      <w:pPr>
        <w:ind w:left="340" w:right="220" w:hanging="332"/>
        <w:spacing w:after="0" w:line="23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 based on the average of the high and low sales prices on June 3, 2002 as reported by the Nasdaq National Market.</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up to 975,000 shares which may be issued upon exercise of the underwriters’ over-allotment option.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152400</wp:posOffset>
            </wp:positionV>
            <wp:extent cx="140208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right="20" w:firstLine="342"/>
        <w:spacing w:after="0" w:line="328"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w:t>
      </w:r>
    </w:p>
    <w:p>
      <w:pPr>
        <w:sectPr>
          <w:pgSz w:w="11900" w:h="16907" w:orient="portrait"/>
          <w:cols w:equalWidth="0" w:num="1">
            <w:col w:w="11420"/>
          </w:cols>
          <w:pgMar w:left="240" w:top="226"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8B3F4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JUNE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205105</wp:posOffset>
            </wp:positionV>
            <wp:extent cx="1012190" cy="102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219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6,500,000 Shares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color w:val="auto"/>
        </w:rPr>
        <w:t>NN,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184785</wp:posOffset>
            </wp:positionV>
            <wp:extent cx="15392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NN, Inc. is selling 2,600,000 shares of common stock and the selling stockholders named in this prospectus are selling 3,900,000 shares. We will not receive any proceeds from the sale of the shares by the selling stockholders.</w:t>
      </w:r>
    </w:p>
    <w:p>
      <w:pPr>
        <w:spacing w:after="0" w:line="10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“NNBR.” On June 5, 2002, the closing price of our common stock on the Nasdaq National Market was $10.38 per share.</w:t>
      </w:r>
    </w:p>
    <w:p>
      <w:pPr>
        <w:spacing w:after="0" w:line="104" w:lineRule="exact"/>
        <w:rPr>
          <w:sz w:val="20"/>
          <w:szCs w:val="20"/>
          <w:color w:val="auto"/>
        </w:rPr>
      </w:pPr>
    </w:p>
    <w:p>
      <w:pPr>
        <w:ind w:right="7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Investing in our common stock involves risks. See “Risk Factors” beginning on page 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05"/>
        </w:trPr>
        <w:tc>
          <w:tcPr>
            <w:tcW w:w="5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r>
      <w:tr>
        <w:trPr>
          <w:trHeight w:val="105"/>
        </w:trPr>
        <w:tc>
          <w:tcPr>
            <w:tcW w:w="5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23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NN, before expenses</w:t>
            </w:r>
          </w:p>
        </w:tc>
        <w:tc>
          <w:tcPr>
            <w:tcW w:w="23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to the selling stockholders, before expenses</w:t>
            </w: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-637540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-637540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-637540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-637540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and the selling stockholders have granted the underwriters an option to purchase up to 975,000 additional shares of common stock to cover over-allotments.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 expect that the common stock will be ready for delivery on or about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161925</wp:posOffset>
            </wp:positionV>
            <wp:extent cx="153924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McDonald Investments Inc.Legg Mason Wood Walker</w:t>
      </w:r>
    </w:p>
    <w:p>
      <w:pPr>
        <w:spacing w:after="0" w:line="4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136"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2002</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b w:val="1"/>
          <w:bCs w:val="1"/>
          <w:color w:val="auto"/>
        </w:rPr>
        <w:t>[Photographs of the Company’s products]</w:t>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Prospectus Summary</w:t>
              </w:r>
            </w:hyperlink>
          </w:p>
        </w:tc>
        <w:tc>
          <w:tcPr>
            <w:tcW w:w="9560" w:type="dxa"/>
            <w:vAlign w:val="bottom"/>
            <w:tcBorders>
              <w:bottom w:val="single" w:sz="8" w:color="CCEEFF"/>
            </w:tcBorders>
            <w:gridSpan w:val="7"/>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Risk Factors</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5"/>
              </w:rPr>
            </w:pPr>
            <w:hyperlink w:anchor="page15">
              <w:r>
                <w:rPr>
                  <w:rFonts w:ascii="Times New Roman" w:cs="Times New Roman" w:eastAsia="Times New Roman" w:hAnsi="Times New Roman"/>
                  <w:sz w:val="18"/>
                  <w:szCs w:val="18"/>
                  <w:color w:val="0000EE"/>
                  <w:w w:val="95"/>
                </w:rPr>
                <w:t>Use of Proceeds</w:t>
              </w:r>
            </w:hyperlink>
          </w:p>
        </w:tc>
        <w:tc>
          <w:tcPr>
            <w:tcW w:w="9900" w:type="dxa"/>
            <w:vAlign w:val="bottom"/>
            <w:tcBorders>
              <w:bottom w:val="single" w:sz="8" w:color="CCEEFF"/>
            </w:tcBorders>
            <w:gridSpan w:val="9"/>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Capitalization</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Price Range of Common Stock and Dividends</w:t>
              </w:r>
            </w:hyperlink>
          </w:p>
        </w:tc>
        <w:tc>
          <w:tcPr>
            <w:tcW w:w="780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Selected Consolidated Financial Data</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4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Business</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Management</w:t>
              </w:r>
            </w:hyperlink>
          </w:p>
        </w:tc>
        <w:tc>
          <w:tcPr>
            <w:tcW w:w="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Selling Stockholders</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Description of Our Capital Stock</w:t>
              </w:r>
            </w:hyperlink>
          </w:p>
        </w:tc>
        <w:tc>
          <w:tcPr>
            <w:tcW w:w="872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Underwriting</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5"/>
              </w:rPr>
            </w:pPr>
            <w:hyperlink w:anchor="page44">
              <w:r>
                <w:rPr>
                  <w:rFonts w:ascii="Times New Roman" w:cs="Times New Roman" w:eastAsia="Times New Roman" w:hAnsi="Times New Roman"/>
                  <w:sz w:val="18"/>
                  <w:szCs w:val="18"/>
                  <w:color w:val="0000EE"/>
                  <w:w w:val="95"/>
                </w:rPr>
                <w:t>Legal Matters</w:t>
              </w:r>
            </w:hyperlink>
          </w:p>
        </w:tc>
        <w:tc>
          <w:tcPr>
            <w:tcW w:w="10060" w:type="dxa"/>
            <w:vAlign w:val="bottom"/>
            <w:tcBorders>
              <w:bottom w:val="single" w:sz="8" w:color="CCEEFF"/>
            </w:tcBorders>
            <w:gridSpan w:val="10"/>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16"/>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Experts</w:t>
              </w:r>
            </w:hyperlink>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4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Where You Can Find More Information</w:t>
              </w:r>
            </w:hyperlink>
          </w:p>
        </w:tc>
        <w:tc>
          <w:tcPr>
            <w:tcW w:w="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Incorporation of Certain Documents by Reference</w:t>
              </w:r>
            </w:hyperlink>
          </w:p>
        </w:tc>
        <w:tc>
          <w:tcPr>
            <w:tcW w:w="7520" w:type="dxa"/>
            <w:vAlign w:val="bottom"/>
            <w:gridSpan w:val="2"/>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-2259330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-2259330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jc w:val="both"/>
        <w:ind w:right="1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58"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prospectus or incorporated by reference in this prospectus. Because this is a summary, it is not complete and does not contain all of the information that may be important to you. You should read this entire prospectus carefully, including the information under “Risk Factors” and the consolidated financial statements and the notes thereto included elsewhere in this prospectus before making an investment decision. Unless the context otherwise requires, references to “we,” “us,” “our,” “NN” or the “Company” refer collectively to NN, Inc. and its subsidiaries, including Industrial Molding Group, L.P. (“IMC”), The Delta Rubber Company (“Delta”), NN Arté S.De R.L. De D.V. (“NN Arté”), and NN Euroball, ApS (“Euroball”). Unless otherwise specified, all information assumes the underwriters do not exercise the over-allotment option.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0" w:lineRule="exact"/>
        <w:rPr>
          <w:sz w:val="20"/>
          <w:szCs w:val="20"/>
          <w:color w:val="auto"/>
        </w:rPr>
      </w:pPr>
    </w:p>
    <w:p>
      <w:pPr>
        <w:ind w:right="20" w:firstLine="464"/>
        <w:spacing w:after="0" w:line="254" w:lineRule="auto"/>
        <w:tabs>
          <w:tab w:leader="none" w:pos="7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28"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Our bearing component products accounted for approximately 90% of our revenue in 2001 and sales of high precision plastic products accounted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segment of the market with an approximate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outsourcing provides them with significant financial advantages, including lower long-term component costs and improved returns on invested capital.</w:t>
      </w:r>
    </w:p>
    <w:p>
      <w:pPr>
        <w:spacing w:after="0" w:line="10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Both SKF and INA/FAG independently entered into long-term supply agreements designating Euroball as their primary supplier of ball products in Europe. Through Euroball, we are Europe’s leading provider of precision balls.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operate eight North American and European manufacturing facilities. Our two U.S. ball and roller production facilities are located in Tennessee and our Euroball subsidiary operates three manufacturing facilities located in Ireland, Germany and Italy. Our seal, retainer and plastic products are manufactured in three facilities located in Connecticut, Texas and Mexico.</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following elements provide us with significant competitive strengths in our markets:</w:t>
      </w:r>
    </w:p>
    <w:p>
      <w:pPr>
        <w:spacing w:after="0" w:line="156" w:lineRule="exact"/>
        <w:rPr>
          <w:sz w:val="20"/>
          <w:szCs w:val="20"/>
          <w:color w:val="auto"/>
        </w:rPr>
      </w:pPr>
    </w:p>
    <w:p>
      <w:pPr>
        <w:ind w:left="640" w:right="20" w:hanging="186"/>
        <w:spacing w:after="0" w:line="25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Precision, Low-Cost Manufacturing Capabilities. </w:t>
      </w:r>
      <w:r>
        <w:rPr>
          <w:rFonts w:ascii="Times New Roman" w:cs="Times New Roman" w:eastAsia="Times New Roman" w:hAnsi="Times New Roman"/>
          <w:sz w:val="18"/>
          <w:szCs w:val="18"/>
          <w:color w:val="auto"/>
        </w:rPr>
        <w:t>Our focus on lean manufacturing and continuous improvement have earned us a reputation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 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125" w:lineRule="exact"/>
        <w:rPr>
          <w:rFonts w:ascii="Times New Roman" w:cs="Times New Roman" w:eastAsia="Times New Roman" w:hAnsi="Times New Roman"/>
          <w:sz w:val="18"/>
          <w:szCs w:val="18"/>
          <w:color w:val="auto"/>
        </w:rPr>
      </w:pPr>
    </w:p>
    <w:p>
      <w:pPr>
        <w:ind w:left="640" w:right="20" w:hanging="186"/>
        <w:spacing w:after="0" w:line="25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Leading Outsourcing Alternative to Captive Manufacturing. </w:t>
      </w:r>
      <w:r>
        <w:rPr>
          <w:rFonts w:ascii="Times New Roman" w:cs="Times New Roman" w:eastAsia="Times New Roman" w:hAnsi="Times New Roman"/>
          <w:sz w:val="18"/>
          <w:szCs w:val="18"/>
          <w:color w:val="auto"/>
        </w:rPr>
        <w:t>Euroball is the bearing industry’s largest component outsourcing initiative and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120" w:lineRule="exact"/>
        <w:rPr>
          <w:rFonts w:ascii="Times New Roman" w:cs="Times New Roman" w:eastAsia="Times New Roman" w:hAnsi="Times New Roman"/>
          <w:sz w:val="18"/>
          <w:szCs w:val="18"/>
          <w:color w:val="auto"/>
        </w:rPr>
      </w:pPr>
    </w:p>
    <w:p>
      <w:pPr>
        <w:ind w:left="640" w:right="80" w:hanging="186"/>
        <w:spacing w:after="0" w:line="259"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Uniquely Positioned as Integrated Supplier of Bearing Components. </w:t>
      </w:r>
      <w:r>
        <w:rPr>
          <w:rFonts w:ascii="Times New Roman" w:cs="Times New Roman" w:eastAsia="Times New Roman" w:hAnsi="Times New Roman"/>
          <w:sz w:val="18"/>
          <w:szCs w:val="18"/>
          <w:color w:val="auto"/>
        </w:rPr>
        <w:t>Through our recent acquisitions, we have become a leading independent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industry’s most complete line of bearing components. Our core ball and roller product offerings, complemented by our more recently acquired bearing retainer and seal products, have allowed us to expand our key customer relationships by offering them the value of a single supply chain partner for a wide variety of components.</w:t>
      </w:r>
    </w:p>
    <w:p>
      <w:pPr>
        <w:spacing w:after="0" w:line="119" w:lineRule="exact"/>
        <w:rPr>
          <w:rFonts w:ascii="Times New Roman" w:cs="Times New Roman" w:eastAsia="Times New Roman" w:hAnsi="Times New Roman"/>
          <w:sz w:val="18"/>
          <w:szCs w:val="18"/>
          <w:color w:val="auto"/>
        </w:rPr>
      </w:pPr>
    </w:p>
    <w:p>
      <w:pPr>
        <w:ind w:left="640" w:right="40" w:hanging="186"/>
        <w:spacing w:after="0" w:line="25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Established Operating Expertise. </w:t>
      </w:r>
      <w:r>
        <w:rPr>
          <w:rFonts w:ascii="Times New Roman" w:cs="Times New Roman" w:eastAsia="Times New Roman" w:hAnsi="Times New Roman"/>
          <w:sz w:val="18"/>
          <w:szCs w:val="18"/>
          <w:color w:val="auto"/>
        </w:rPr>
        <w:t>Our experienced management team continues to be successful in implementing our strategic plan by completing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three major acquisitions since 1998 and executing significant cost rationalization programs domestically and in Europe. Our nine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strategic plan is designed to increase our revenues, income and long-term shareholder value by:</w:t>
      </w:r>
    </w:p>
    <w:p>
      <w:pPr>
        <w:spacing w:after="0" w:line="156" w:lineRule="exact"/>
        <w:rPr>
          <w:sz w:val="20"/>
          <w:szCs w:val="20"/>
          <w:color w:val="auto"/>
        </w:rPr>
      </w:pPr>
    </w:p>
    <w:p>
      <w:pPr>
        <w:ind w:left="640" w:right="120" w:hanging="186"/>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Our Global Presence</w:t>
      </w:r>
      <w:r>
        <w:rPr>
          <w:rFonts w:ascii="Times New Roman" w:cs="Times New Roman" w:eastAsia="Times New Roman" w:hAnsi="Times New Roman"/>
          <w:sz w:val="18"/>
          <w:szCs w:val="18"/>
          <w:color w:val="auto"/>
        </w:rPr>
        <w:t>. We believe that maintaining production facilities in proximity to our major customers’ manufacturing operations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120" w:lineRule="exact"/>
        <w:rPr>
          <w:rFonts w:ascii="Times New Roman" w:cs="Times New Roman" w:eastAsia="Times New Roman" w:hAnsi="Times New Roman"/>
          <w:sz w:val="18"/>
          <w:szCs w:val="18"/>
          <w:color w:val="auto"/>
        </w:rPr>
      </w:pPr>
    </w:p>
    <w:p>
      <w:pPr>
        <w:ind w:left="640" w:hanging="186"/>
        <w:spacing w:after="0" w:line="259"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Our Bearing Component Product Offerings. </w:t>
      </w:r>
      <w:r>
        <w:rPr>
          <w:rFonts w:ascii="Times New Roman" w:cs="Times New Roman" w:eastAsia="Times New Roman" w:hAnsi="Times New Roman"/>
          <w:sz w:val="18"/>
          <w:szCs w:val="18"/>
          <w:color w:val="auto"/>
        </w:rPr>
        <w:t>We seek to build on existing customer relationships and our core manufacturing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competencies by diversifying into additional bearing component businesses. Our acquisitions have given us full-service design and production capabilities in bearing seals and plastic bearing retainers. These products serve the same global bearing customers as our core ball and roller products. As a result, we are able to provide, as a single independent company, a more diversified product offering to our global bearing customers.</w:t>
      </w:r>
    </w:p>
    <w:p>
      <w:pPr>
        <w:spacing w:after="0" w:line="119" w:lineRule="exact"/>
        <w:rPr>
          <w:rFonts w:ascii="Times New Roman" w:cs="Times New Roman" w:eastAsia="Times New Roman" w:hAnsi="Times New Roman"/>
          <w:sz w:val="18"/>
          <w:szCs w:val="18"/>
          <w:color w:val="auto"/>
        </w:rPr>
      </w:pPr>
    </w:p>
    <w:p>
      <w:pPr>
        <w:ind w:left="640" w:right="40" w:hanging="186"/>
        <w:spacing w:after="0" w:line="302" w:lineRule="auto"/>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Continuing to Pursue Strategic Acquisitions and Alliances. </w:t>
      </w:r>
      <w:r>
        <w:rPr>
          <w:rFonts w:ascii="Times New Roman" w:cs="Times New Roman" w:eastAsia="Times New Roman" w:hAnsi="Times New Roman"/>
          <w:sz w:val="16"/>
          <w:szCs w:val="16"/>
          <w:color w:val="auto"/>
        </w:rPr>
        <w:t>Because much of the world’s bearing production capacity is located outside of the U.S.,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2000 Waters Edge Drive, Johnson City, Tennessee 37604 and our telephone number is (423) 743-9151. Our website address is </w:t>
      </w:r>
      <w:r>
        <w:rPr>
          <w:rFonts w:ascii="Times New Roman" w:cs="Times New Roman" w:eastAsia="Times New Roman" w:hAnsi="Times New Roman"/>
          <w:sz w:val="18"/>
          <w:szCs w:val="18"/>
          <w:i w:val="1"/>
          <w:iCs w:val="1"/>
          <w:color w:val="auto"/>
        </w:rPr>
        <w:t>www.nnbr.com</w:t>
      </w:r>
      <w:r>
        <w:rPr>
          <w:rFonts w:ascii="Times New Roman" w:cs="Times New Roman" w:eastAsia="Times New Roman" w:hAnsi="Times New Roman"/>
          <w:sz w:val="18"/>
          <w:szCs w:val="18"/>
          <w:color w:val="auto"/>
        </w:rPr>
        <w:t>. Information contained on our website is not part of this prospectus.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70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6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being offered by:</w:t>
            </w:r>
          </w:p>
        </w:tc>
        <w:tc>
          <w:tcPr>
            <w:tcW w:w="7000" w:type="dxa"/>
            <w:vAlign w:val="bottom"/>
          </w:tcPr>
          <w:p>
            <w:pPr>
              <w:spacing w:after="0"/>
              <w:rPr>
                <w:sz w:val="24"/>
                <w:szCs w:val="24"/>
                <w:color w:val="auto"/>
              </w:rPr>
            </w:pPr>
          </w:p>
        </w:tc>
      </w:tr>
      <w:tr>
        <w:trPr>
          <w:trHeight w:val="21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Company</w:t>
            </w:r>
          </w:p>
        </w:tc>
        <w:tc>
          <w:tcPr>
            <w:tcW w:w="70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2,600,000 shares</w:t>
            </w:r>
          </w:p>
        </w:tc>
      </w:tr>
      <w:tr>
        <w:trPr>
          <w:trHeight w:val="216"/>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selling stockholders</w:t>
            </w:r>
          </w:p>
        </w:tc>
        <w:tc>
          <w:tcPr>
            <w:tcW w:w="7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3,900,000 shares</w:t>
            </w:r>
          </w:p>
        </w:tc>
      </w:tr>
      <w:tr>
        <w:trPr>
          <w:trHeight w:val="216"/>
        </w:trPr>
        <w:tc>
          <w:tcPr>
            <w:tcW w:w="44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70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6,500,000 shares(1)</w:t>
            </w:r>
          </w:p>
        </w:tc>
      </w:tr>
      <w:tr>
        <w:trPr>
          <w:trHeight w:val="4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7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17,967,273 shares(1)(2)</w:t>
            </w:r>
          </w:p>
        </w:tc>
      </w:tr>
      <w:tr>
        <w:trPr>
          <w:trHeight w:val="218"/>
        </w:trPr>
        <w:tc>
          <w:tcPr>
            <w:tcW w:w="442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02"/>
        </w:trPr>
        <w:tc>
          <w:tcPr>
            <w:tcW w:w="44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Use of Proceeds</w:t>
            </w:r>
          </w:p>
        </w:tc>
        <w:tc>
          <w:tcPr>
            <w:tcW w:w="7000" w:type="dxa"/>
            <w:vAlign w:val="bottom"/>
            <w:shd w:val="clear" w:color="auto" w:fill="CCEEFF"/>
          </w:tcPr>
          <w:p>
            <w:pPr>
              <w:ind w:left="1860"/>
              <w:spacing w:after="0" w:line="201" w:lineRule="exact"/>
              <w:rPr>
                <w:sz w:val="20"/>
                <w:szCs w:val="20"/>
                <w:color w:val="auto"/>
              </w:rPr>
            </w:pPr>
            <w:r>
              <w:rPr>
                <w:rFonts w:ascii="Times New Roman" w:cs="Times New Roman" w:eastAsia="Times New Roman" w:hAnsi="Times New Roman"/>
                <w:sz w:val="18"/>
                <w:szCs w:val="18"/>
                <w:color w:val="auto"/>
              </w:rPr>
              <w:t>We will use the estimated net proceeds of $25.0 million to repay a</w:t>
            </w:r>
          </w:p>
        </w:tc>
      </w:tr>
      <w:tr>
        <w:trPr>
          <w:trHeight w:val="216"/>
        </w:trPr>
        <w:tc>
          <w:tcPr>
            <w:tcW w:w="4420" w:type="dxa"/>
            <w:vAlign w:val="bottom"/>
            <w:shd w:val="clear" w:color="auto" w:fill="CCEEFF"/>
          </w:tcPr>
          <w:p>
            <w:pPr>
              <w:spacing w:after="0"/>
              <w:rPr>
                <w:sz w:val="18"/>
                <w:szCs w:val="18"/>
                <w:color w:val="auto"/>
              </w:rPr>
            </w:pPr>
          </w:p>
        </w:tc>
        <w:tc>
          <w:tcPr>
            <w:tcW w:w="70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portion of our outstanding bank indebtedness. We will not receive any</w:t>
            </w:r>
          </w:p>
        </w:tc>
      </w:tr>
      <w:tr>
        <w:trPr>
          <w:trHeight w:val="216"/>
        </w:trPr>
        <w:tc>
          <w:tcPr>
            <w:tcW w:w="4420" w:type="dxa"/>
            <w:vAlign w:val="bottom"/>
            <w:shd w:val="clear" w:color="auto" w:fill="CCEEFF"/>
          </w:tcPr>
          <w:p>
            <w:pPr>
              <w:spacing w:after="0"/>
              <w:rPr>
                <w:sz w:val="18"/>
                <w:szCs w:val="18"/>
                <w:color w:val="auto"/>
              </w:rPr>
            </w:pPr>
          </w:p>
        </w:tc>
        <w:tc>
          <w:tcPr>
            <w:tcW w:w="70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99"/>
              </w:rPr>
              <w:t>proceeds from the sale of shares by any of the selling stockholders. See</w:t>
            </w:r>
          </w:p>
        </w:tc>
      </w:tr>
      <w:tr>
        <w:trPr>
          <w:trHeight w:val="230"/>
        </w:trPr>
        <w:tc>
          <w:tcPr>
            <w:tcW w:w="4420" w:type="dxa"/>
            <w:vAlign w:val="bottom"/>
            <w:shd w:val="clear" w:color="auto" w:fill="CCEEFF"/>
          </w:tcPr>
          <w:p>
            <w:pPr>
              <w:spacing w:after="0"/>
              <w:rPr>
                <w:sz w:val="20"/>
                <w:szCs w:val="20"/>
                <w:color w:val="auto"/>
              </w:rPr>
            </w:pPr>
          </w:p>
        </w:tc>
        <w:tc>
          <w:tcPr>
            <w:tcW w:w="70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“Use of Proceeds.”</w:t>
            </w:r>
          </w:p>
        </w:tc>
      </w:tr>
      <w:tr>
        <w:trPr>
          <w:trHeight w:val="4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National Market symbol</w:t>
            </w:r>
          </w:p>
        </w:tc>
        <w:tc>
          <w:tcPr>
            <w:tcW w:w="7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NNBR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499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up to 975,000 shares the underwriters have the option to purchase to cover over-allotments.</w:t>
      </w:r>
    </w:p>
    <w:p>
      <w:pPr>
        <w:spacing w:after="0" w:line="21" w:lineRule="exact"/>
        <w:rPr>
          <w:rFonts w:ascii="Times New Roman" w:cs="Times New Roman" w:eastAsia="Times New Roman" w:hAnsi="Times New Roman"/>
          <w:sz w:val="18"/>
          <w:szCs w:val="18"/>
          <w:color w:val="auto"/>
        </w:rPr>
      </w:pPr>
    </w:p>
    <w:p>
      <w:pPr>
        <w:ind w:left="460" w:right="3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June 3, 2002, excluding 1,321,000 shares which may be issued upon exercise of currently outstanding options granted under our Stock Incentive Plan and options granted to our non-employee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60"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6 through 9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0" w:lineRule="exact"/>
        <w:rPr>
          <w:sz w:val="20"/>
          <w:szCs w:val="20"/>
          <w:color w:val="auto"/>
        </w:rPr>
      </w:pPr>
    </w:p>
    <w:p>
      <w:pPr>
        <w:ind w:right="60" w:firstLine="342"/>
        <w:spacing w:after="0" w:line="254" w:lineRule="auto"/>
        <w:rPr>
          <w:sz w:val="20"/>
          <w:szCs w:val="20"/>
          <w:color w:val="auto"/>
        </w:rPr>
      </w:pPr>
      <w:r>
        <w:rPr>
          <w:rFonts w:ascii="Times New Roman" w:cs="Times New Roman" w:eastAsia="Times New Roman" w:hAnsi="Times New Roman"/>
          <w:sz w:val="18"/>
          <w:szCs w:val="18"/>
          <w:color w:val="auto"/>
        </w:rPr>
        <w:t>The summary consolidated financial data presented below have been derived from our consolidated financial statements. Our consolidated financial statements as of and for the years ended December 31, 2000 and 2001 have been audited by KPMG LLP. Our consolidated financial statements as of and for the years ended December 31, 1997, 1998 and 1999 have been audited by PricewaterhouseCoopers LLP. Data for the three-month periods ended March 31, 2001 and 2002 have been derived from unaudited consolidated financial statements which, in our opinion, reflect all adjustments necessary for a fair presentation. Results for the three-month periods are not necessarily indicative of results for the full year. You should read the summary consolidated financial data presented below in conjunction with “Management’s Discussion and Analysis of Financial Condition and Results of Operations,” our consolidated financial statements and the notes thereto and other financial information included elsewhere in this prospectus or incorporated by reference.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5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w:t>
            </w: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1997</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1998</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1999</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2000</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5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23"/>
                <w:szCs w:val="23"/>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310" w:type="dxa"/>
            <w:vAlign w:val="bottom"/>
            <w:gridSpan w:val="8"/>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75,252</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73,006</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85,294</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132,129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180,151</w:t>
            </w:r>
          </w:p>
        </w:tc>
        <w:tc>
          <w:tcPr>
            <w:tcW w:w="380" w:type="dxa"/>
            <w:vAlign w:val="bottom"/>
          </w:tcPr>
          <w:p>
            <w:pPr>
              <w:spacing w:after="0"/>
              <w:rPr>
                <w:sz w:val="12"/>
                <w:szCs w:val="12"/>
                <w:color w:val="auto"/>
              </w:rPr>
            </w:pPr>
          </w:p>
        </w:tc>
        <w:tc>
          <w:tcPr>
            <w:tcW w:w="1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50,227</w:t>
            </w:r>
          </w:p>
        </w:tc>
        <w:tc>
          <w:tcPr>
            <w:tcW w:w="30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47,200</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Cost of products sold</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51,707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50,353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59,967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93,926</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137,591</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38,184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35,532</w:t>
            </w:r>
          </w:p>
        </w:tc>
        <w:tc>
          <w:tcPr>
            <w:tcW w:w="60" w:type="dxa"/>
            <w:vAlign w:val="bottom"/>
            <w:shd w:val="clear" w:color="auto" w:fill="CCEEFF"/>
          </w:tcPr>
          <w:p>
            <w:pPr>
              <w:spacing w:after="0"/>
              <w:rPr>
                <w:sz w:val="12"/>
                <w:szCs w:val="12"/>
                <w:color w:val="auto"/>
              </w:rPr>
            </w:pPr>
          </w:p>
        </w:tc>
      </w:tr>
      <w:tr>
        <w:trPr>
          <w:trHeight w:val="118"/>
        </w:trPr>
        <w:tc>
          <w:tcPr>
            <w:tcW w:w="1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23,545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22,653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25,327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38,203</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42,560</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11,668</w:t>
            </w: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16,382</w:t>
            </w: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9,165</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13,340</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60" w:type="dxa"/>
            <w:vAlign w:val="bottom"/>
            <w:shd w:val="clear" w:color="auto" w:fill="CCEEFF"/>
          </w:tcPr>
          <w:p>
            <w:pPr>
              <w:spacing w:after="0"/>
              <w:rPr>
                <w:sz w:val="12"/>
                <w:szCs w:val="12"/>
                <w:color w:val="auto"/>
              </w:rPr>
            </w:pPr>
          </w:p>
        </w:tc>
      </w:tr>
      <w:tr>
        <w:trPr>
          <w:trHeight w:val="174"/>
        </w:trPr>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Restructuring and impairment costs</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5"/>
                <w:szCs w:val="15"/>
                <w:color w:val="auto"/>
              </w:rPr>
            </w:pPr>
          </w:p>
        </w:tc>
      </w:tr>
      <w:tr>
        <w:trPr>
          <w:trHeight w:val="93"/>
        </w:trPr>
        <w:tc>
          <w:tcPr>
            <w:tcW w:w="1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13,921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12,200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12,342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17,467</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10,526</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4,267</w:t>
            </w: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4,006</w:t>
            </w: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 w:type="dxa"/>
            <w:vAlign w:val="bottom"/>
            <w:shd w:val="clear" w:color="auto" w:fill="CCEEFF"/>
          </w:tcPr>
          <w:p>
            <w:pPr>
              <w:spacing w:after="0"/>
              <w:rPr>
                <w:sz w:val="12"/>
                <w:szCs w:val="12"/>
                <w:color w:val="auto"/>
              </w:rPr>
            </w:pPr>
          </w:p>
        </w:tc>
        <w:tc>
          <w:tcPr>
            <w:tcW w:w="105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gain on involuntary conversion</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11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10" w:type="dxa"/>
            <w:vAlign w:val="bottom"/>
            <w:shd w:val="clear" w:color="auto" w:fill="CCEEFF"/>
          </w:tcPr>
          <w:p>
            <w:pPr>
              <w:spacing w:after="0"/>
              <w:rPr>
                <w:sz w:val="12"/>
                <w:szCs w:val="12"/>
                <w:color w:val="auto"/>
              </w:rPr>
            </w:pPr>
          </w:p>
        </w:tc>
        <w:tc>
          <w:tcPr>
            <w:tcW w:w="105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(355)</w:t>
            </w:r>
          </w:p>
        </w:tc>
      </w:tr>
      <w:tr>
        <w:trPr>
          <w:trHeight w:val="118"/>
        </w:trPr>
        <w:tc>
          <w:tcPr>
            <w:tcW w:w="1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13,892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12,136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11,819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16,606</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Minority interest in consolidated subsidiaries</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60" w:type="dxa"/>
            <w:vAlign w:val="bottom"/>
            <w:shd w:val="clear" w:color="auto" w:fill="CCEEFF"/>
          </w:tcPr>
          <w:p>
            <w:pPr>
              <w:spacing w:after="0"/>
              <w:rPr>
                <w:sz w:val="12"/>
                <w:szCs w:val="12"/>
                <w:color w:val="auto"/>
              </w:rPr>
            </w:pPr>
          </w:p>
        </w:tc>
      </w:tr>
      <w:tr>
        <w:trPr>
          <w:trHeight w:val="118"/>
        </w:trPr>
        <w:tc>
          <w:tcPr>
            <w:tcW w:w="1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before cumulative effect of change in accounting principle</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9,987</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4,760</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60" w:type="dxa"/>
            <w:vAlign w:val="bottom"/>
            <w:shd w:val="clear" w:color="auto" w:fill="CCEEFF"/>
          </w:tcPr>
          <w:p>
            <w:pPr>
              <w:spacing w:after="0"/>
              <w:rPr>
                <w:sz w:val="12"/>
                <w:szCs w:val="12"/>
                <w:color w:val="auto"/>
              </w:rPr>
            </w:pPr>
          </w:p>
        </w:tc>
      </w:tr>
      <w:tr>
        <w:trPr>
          <w:trHeight w:val="174"/>
        </w:trPr>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Cumulative effect of change in accounting principle</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93"/>
        </w:trPr>
        <w:tc>
          <w:tcPr>
            <w:tcW w:w="11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8,510</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7,656</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9,987</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4,662</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60" w:type="dxa"/>
            <w:vAlign w:val="bottom"/>
            <w:shd w:val="clear" w:color="auto" w:fill="CCEEFF"/>
          </w:tcPr>
          <w:p>
            <w:pPr>
              <w:spacing w:after="0"/>
              <w:rPr>
                <w:sz w:val="12"/>
                <w:szCs w:val="12"/>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3740" w:type="dxa"/>
            <w:vAlign w:val="bottom"/>
            <w:tcBorders>
              <w:right w:val="single" w:sz="8" w:color="auto"/>
            </w:tcBorders>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r>
        <w:trPr>
          <w:trHeight w:val="172"/>
        </w:trPr>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92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380" w:type="dxa"/>
            <w:vAlign w:val="bottom"/>
          </w:tcPr>
          <w:p>
            <w:pPr>
              <w:spacing w:after="0"/>
              <w:rPr>
                <w:sz w:val="12"/>
                <w:szCs w:val="12"/>
                <w:color w:val="auto"/>
              </w:rPr>
            </w:pPr>
          </w:p>
        </w:tc>
        <w:tc>
          <w:tcPr>
            <w:tcW w:w="1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30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0.66</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outstanding—diluted</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15,038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15,540</w:t>
            </w: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15,735</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outstanding—basic</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15,021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15,259</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15,341</w:t>
            </w:r>
          </w:p>
        </w:tc>
        <w:tc>
          <w:tcPr>
            <w:tcW w:w="60" w:type="dxa"/>
            <w:vAlign w:val="bottom"/>
            <w:shd w:val="clear" w:color="auto" w:fill="CCEEFF"/>
          </w:tcPr>
          <w:p>
            <w:pPr>
              <w:spacing w:after="0"/>
              <w:rPr>
                <w:sz w:val="12"/>
                <w:szCs w:val="12"/>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EBITDA(1)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18,027</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16,757</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18,473</w:t>
            </w: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26,632</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26,178</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7,170</w:t>
            </w: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8,775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w:t>
            </w: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w:t>
            </w: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dividends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r>
      <w:tr>
        <w:trPr>
          <w:trHeight w:val="310"/>
        </w:trPr>
        <w:tc>
          <w:tcPr>
            <w:tcW w:w="1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March 31, 2002</w:t>
            </w: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tcPr>
          <w:p>
            <w:pPr>
              <w:spacing w:after="0"/>
              <w:rPr>
                <w:sz w:val="9"/>
                <w:szCs w:val="9"/>
                <w:color w:val="auto"/>
              </w:rPr>
            </w:pPr>
          </w:p>
        </w:tc>
      </w:tr>
      <w:tr>
        <w:trPr>
          <w:trHeight w:val="266"/>
        </w:trPr>
        <w:tc>
          <w:tcPr>
            <w:tcW w:w="1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Adjusted (2)</w:t>
            </w: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92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20,692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189,420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9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54,047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92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5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62,728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18"/>
        </w:trPr>
        <w:tc>
          <w:tcPr>
            <w:tcW w:w="118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-5057140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-5057140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-5057140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-5057140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-4808220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-4808220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-4808220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-4808220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-4808220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-4808220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-4808220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-4808220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-4808220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-4808220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-4808220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-4808220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-4808220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-4808220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-4377055</wp:posOffset>
            </wp:positionV>
            <wp:extent cx="5588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-4370705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-4377055</wp:posOffset>
            </wp:positionV>
            <wp:extent cx="5588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-4370705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-4377055</wp:posOffset>
            </wp:positionV>
            <wp:extent cx="5588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-4370705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-4377055</wp:posOffset>
            </wp:positionV>
            <wp:extent cx="5588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-4377055</wp:posOffset>
            </wp:positionV>
            <wp:extent cx="3873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-4377055</wp:posOffset>
            </wp:positionV>
            <wp:extent cx="5588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-4377055</wp:posOffset>
            </wp:positionV>
            <wp:extent cx="3873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-4370705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-4370705</wp:posOffset>
            </wp:positionV>
            <wp:extent cx="215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-4377055</wp:posOffset>
            </wp:positionV>
            <wp:extent cx="3873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-4370705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-4370705</wp:posOffset>
            </wp:positionV>
            <wp:extent cx="215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-4377055</wp:posOffset>
            </wp:positionV>
            <wp:extent cx="3873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-3845560</wp:posOffset>
            </wp:positionV>
            <wp:extent cx="5588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-3839210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-3845560</wp:posOffset>
            </wp:positionV>
            <wp:extent cx="5588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-3839210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-3845560</wp:posOffset>
            </wp:positionV>
            <wp:extent cx="5588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-3839210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-3845560</wp:posOffset>
            </wp:positionV>
            <wp:extent cx="5588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-3845560</wp:posOffset>
            </wp:positionV>
            <wp:extent cx="3873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-3845560</wp:posOffset>
            </wp:positionV>
            <wp:extent cx="5588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-3845560</wp:posOffset>
            </wp:positionV>
            <wp:extent cx="3873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-3839210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-3839210</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-3845560</wp:posOffset>
            </wp:positionV>
            <wp:extent cx="3873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-3839210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-3839210</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-3845560</wp:posOffset>
            </wp:positionV>
            <wp:extent cx="3873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-3219450</wp:posOffset>
            </wp:positionV>
            <wp:extent cx="5588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-3213100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-3219450</wp:posOffset>
            </wp:positionV>
            <wp:extent cx="5588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-3213100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-3219450</wp:posOffset>
            </wp:positionV>
            <wp:extent cx="5588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-3213100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-3219450</wp:posOffset>
            </wp:positionV>
            <wp:extent cx="5588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-3219450</wp:posOffset>
            </wp:positionV>
            <wp:extent cx="3873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-3219450</wp:posOffset>
            </wp:positionV>
            <wp:extent cx="5588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-3219450</wp:posOffset>
            </wp:positionV>
            <wp:extent cx="3873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-3213100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-3213100</wp:posOffset>
            </wp:positionV>
            <wp:extent cx="215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-3219450</wp:posOffset>
            </wp:positionV>
            <wp:extent cx="3873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-3213100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-3213100</wp:posOffset>
            </wp:positionV>
            <wp:extent cx="215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-3219450</wp:posOffset>
            </wp:positionV>
            <wp:extent cx="3873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-2781935</wp:posOffset>
            </wp:positionV>
            <wp:extent cx="5588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-2775585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-2781935</wp:posOffset>
            </wp:positionV>
            <wp:extent cx="5588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-2775585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-2781935</wp:posOffset>
            </wp:positionV>
            <wp:extent cx="5588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-2775585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-2781935</wp:posOffset>
            </wp:positionV>
            <wp:extent cx="5588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-2781935</wp:posOffset>
            </wp:positionV>
            <wp:extent cx="3873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-2781935</wp:posOffset>
            </wp:positionV>
            <wp:extent cx="5588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-2781935</wp:posOffset>
            </wp:positionV>
            <wp:extent cx="3873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-2775585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-2775585</wp:posOffset>
            </wp:positionV>
            <wp:extent cx="215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-2781935</wp:posOffset>
            </wp:positionV>
            <wp:extent cx="3873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-2775585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-2775585</wp:posOffset>
            </wp:positionV>
            <wp:extent cx="215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-2781935</wp:posOffset>
            </wp:positionV>
            <wp:extent cx="3873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-2439035</wp:posOffset>
            </wp:positionV>
            <wp:extent cx="5588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-2432685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-2439035</wp:posOffset>
            </wp:positionV>
            <wp:extent cx="5588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-2432685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-2439035</wp:posOffset>
            </wp:positionV>
            <wp:extent cx="5588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-2432685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-2439035</wp:posOffset>
            </wp:positionV>
            <wp:extent cx="5588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-2439035</wp:posOffset>
            </wp:positionV>
            <wp:extent cx="3873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-2439035</wp:posOffset>
            </wp:positionV>
            <wp:extent cx="5588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-2439035</wp:posOffset>
            </wp:positionV>
            <wp:extent cx="3873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-2432685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-2432685</wp:posOffset>
            </wp:positionV>
            <wp:extent cx="21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-2439035</wp:posOffset>
            </wp:positionV>
            <wp:extent cx="3873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-2432685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-2432685</wp:posOffset>
            </wp:positionV>
            <wp:extent cx="215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-2439035</wp:posOffset>
            </wp:positionV>
            <wp:extent cx="3873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-2190115</wp:posOffset>
            </wp:positionV>
            <wp:extent cx="2984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-2190115</wp:posOffset>
            </wp:positionV>
            <wp:extent cx="2984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-2190115</wp:posOffset>
            </wp:positionV>
            <wp:extent cx="2984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-2190115</wp:posOffset>
            </wp:positionV>
            <wp:extent cx="2984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-889000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-640080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-640080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-640080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-640080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ind w:left="340" w:right="60" w:hanging="332"/>
        <w:spacing w:after="0" w:line="224"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defined as the sum of income before income taxes, interest expense and depreciation and amortization. EBITDA as measured in this prospectus also excludes restructuring and impairment costs, equity in earnings of unconsolidated affiliates, net gain on involuntary conversion and other income and is not necessarily comparable with similarly titled measures for other companies. EBITDA is commonly used as an analytical indicator and also serves as a measure of leverage capacity and debt servicing ability. EBITDA should not be considered as a measure of financial performance under accounting principles generally accepted in the United States. The items excluded from EBITDA are significant components in understanding and assessing financial performance. EBITDA should not be considered in isolation or as an alternative to net income, cash flows generated by operating, investing or financing activities or other financial statement data presented in the consolidated financial statements as an indicator of financial performance or liquidity.</w:t>
      </w:r>
    </w:p>
    <w:p>
      <w:pPr>
        <w:spacing w:after="0" w:line="3" w:lineRule="exact"/>
        <w:rPr>
          <w:rFonts w:ascii="Times New Roman" w:cs="Times New Roman" w:eastAsia="Times New Roman" w:hAnsi="Times New Roman"/>
          <w:sz w:val="14"/>
          <w:szCs w:val="14"/>
          <w:color w:val="auto"/>
        </w:rPr>
      </w:pPr>
    </w:p>
    <w:p>
      <w:pPr>
        <w:ind w:left="340" w:right="160" w:hanging="332"/>
        <w:spacing w:after="0" w:line="230"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to reflect the sale of 2,600,000 shares of our common stock less underwriting commissions and estimated offering expenses payable by us and the application of the net proceeds as discussed in “Use of Proceeds.”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uncertainties, and all other information contained in this prospectus or incorporated herein by reference, before making an investment in our common stock. The risks described below are not the only ones facing our Company. Additional risks and uncertainties not presently known to us or that we currently believe to be immaterial may also impair our business operations. Any of the following risks could have a material adverse effect on our business, financial condition or operating results. In such case, the trading price of our common stock could decline and you may lose all or part of your investment.</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We depend heavily on a relatively limited number of customers, and the loss of any major customer would have a material adverse effect on our business.</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Sales to various U.S. and foreign divisions of SKF, which is one of the largest bearing manufacturers in the world, accounted for approximately 35% of net sales in 2001, and sales to INA/FAG accounted for approximately 19% of net sales. During 2001, our ten largest customers accounted for approximately 73% of our consolidated net sales. None of our other customers accounted for more than 5% of our net sales for 2001. The loss of all or a substantial portion of sales to these customers would have a material adverse effect on our business.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demand for our products is cyclical, which could adversely impact our revenues.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make the acquisitions necessary for us to realize our growth strategy.</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Acquiring businesses that complement or expand our operations has been and continues to be an important element of our business strategy. We bought our plastic bearing component business in 1999, formed Euroball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condition and results of operations.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costs and difficulties of integrating acquired businesses could impede our future growth.</w:t>
      </w:r>
    </w:p>
    <w:p>
      <w:pPr>
        <w:spacing w:after="0" w:line="16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If we are not able to integrate the operations of acquired companies successfully into our business, our future earnings and profitability could be materially and adversely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depend on a very limited number of foreign sources for our primary raw material and are subject to risks of shortages and price fluctuation.</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have a material adverse effect on the operating and financial results of our Company.</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and sell products to customers outside the U.S. and are subject to several related risks.</w:t>
      </w:r>
    </w:p>
    <w:p>
      <w:pPr>
        <w:spacing w:after="0" w:line="16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06" w:lineRule="exact"/>
        <w:rPr>
          <w:sz w:val="20"/>
          <w:szCs w:val="20"/>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monetary and fiscal policies, laws and regulations, and other activities of governments, agencies and similar organizations;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trade restrictions or prohibitions;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tax rates that discourage the repatriation of funds to the U.S.;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import or other duties or taxes; and</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governments or legal systems in countries in which our suppliers, manufacturing operations, and customers are located.</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outsourcing, and if the industry trend toward outsourcing does not continue, our business could be adversely affected.</w:t>
      </w:r>
    </w:p>
    <w:p>
      <w:pPr>
        <w:spacing w:after="0" w:line="16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business could be materially adversely affected.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market is highly competitive and many of our competitors have significant advantages that could adversely affect our business.</w:t>
      </w:r>
    </w:p>
    <w:p>
      <w:pPr>
        <w:spacing w:after="0" w:line="16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90"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0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were adversely affected by the under-utilization of our production facilities, and we face risks of further under-utilization or inefficient utilization of our production facilities in future years.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after this offering, and may decline below the public offering price.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factors that could affect our stock price are:</w:t>
      </w:r>
    </w:p>
    <w:p>
      <w:pPr>
        <w:spacing w:after="0" w:line="145" w:lineRule="exact"/>
        <w:rPr>
          <w:sz w:val="20"/>
          <w:szCs w:val="20"/>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earnings per share, net income and revenues;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by analysts;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member of our senior management team;</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stockholders;</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8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inhibit a takeover, which could adversely affect the value of our common stock.</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certificate of incorporation provides that stockholders may not call a special meeting.</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2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after deducting underwriting discounts, commissions and our estimated offering expenses, based on an assumed offering price to the public of $10.38 per share (the last reported sale price on June 5, 2002), will be approximately $25.0 million (or approximately $30.4 million if the over-allotment option is exercised in full). We will not receive any proceeds from the sale of the shares of common stock being sold by the selling stockholders.</w:t>
      </w:r>
    </w:p>
    <w:p>
      <w:pPr>
        <w:spacing w:after="0" w:line="12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 majority of the borrowings outstanding under the term loan portion of our existing U.S. credit facilities as required under those arrangements. The term loan under our credit facility expires on July 1, 2006 and bears interest at a floating rate equal to LIBOR (1.88% at March 31, 2002) plus an applicable margin of 0.75% to 2.00% based upon calculated financial ratios. Approximately $29.1 million was outstanding under the term loan as of March 31, 2002. See “Management’s Discussion and Analysis of Financial Condition and Results of Operations—Liquidity and Capital Resources.”</w:t>
      </w:r>
    </w:p>
    <w:p>
      <w:pPr>
        <w:spacing w:after="0" w:line="12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are negotiating with our lending group to convert our term loan into a reducing revolving credit facility providing initial availability equivalent to the balance of the term loan prior to the offering.</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shows our capitalization as of March 31, 2002 on an actual basis and on an as adjusted basis, giving effect to this offering and the application of the estimated net proceeds received by us to repay indebtedness under our credit facility. See “Use of Proceeds.” You should read this table together with “Management’s Discussion and Analysis of Financial Condition and Results of Operations” and our consolidated financial statements and the notes thereto included elsewhere in this prospectus.</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5"/>
              </w:rPr>
              <w:t>As of March 31,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109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23"/>
                <w:szCs w:val="23"/>
                <w:color w:val="auto"/>
              </w:rPr>
            </w:pPr>
          </w:p>
        </w:tc>
        <w:tc>
          <w:tcPr>
            <w:tcW w:w="165" w:type="dxa"/>
            <w:vAlign w:val="bottom"/>
          </w:tcPr>
          <w:p>
            <w:pPr>
              <w:spacing w:after="0"/>
              <w:rPr>
                <w:sz w:val="23"/>
                <w:szCs w:val="23"/>
                <w:color w:val="auto"/>
              </w:rPr>
            </w:pPr>
          </w:p>
        </w:tc>
        <w:tc>
          <w:tcPr>
            <w:tcW w:w="1095" w:type="dxa"/>
            <w:vAlign w:val="bottom"/>
          </w:tcPr>
          <w:p>
            <w:pPr>
              <w:ind w:left="115"/>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0" w:type="dxa"/>
            <w:vAlign w:val="bottom"/>
            <w:gridSpan w:val="2"/>
          </w:tcPr>
          <w:p>
            <w:pPr>
              <w:spacing w:after="0"/>
              <w:rPr>
                <w:sz w:val="9"/>
                <w:szCs w:val="9"/>
                <w:color w:val="auto"/>
              </w:rPr>
            </w:pPr>
          </w:p>
        </w:tc>
        <w:tc>
          <w:tcPr>
            <w:tcW w:w="165" w:type="dxa"/>
            <w:vAlign w:val="bottom"/>
            <w:tcBorders>
              <w:bottom w:val="single" w:sz="8" w:color="auto"/>
            </w:tcBorders>
          </w:tcPr>
          <w:p>
            <w:pPr>
              <w:spacing w:after="0"/>
              <w:rPr>
                <w:sz w:val="9"/>
                <w:szCs w:val="9"/>
                <w:color w:val="auto"/>
              </w:rPr>
            </w:pPr>
          </w:p>
        </w:tc>
        <w:tc>
          <w:tcPr>
            <w:tcW w:w="109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U.S. long-term debt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shd w:val="clear" w:color="auto" w:fill="CCEEFF"/>
          </w:tcPr>
          <w:p>
            <w:pPr>
              <w:spacing w:after="0"/>
              <w:rPr>
                <w:sz w:val="18"/>
                <w:szCs w:val="18"/>
                <w:color w:val="auto"/>
              </w:rPr>
            </w:pPr>
          </w:p>
        </w:tc>
        <w:tc>
          <w:tcPr>
            <w:tcW w:w="345"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109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Euroball credit facilities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revolving credit facility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109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term loan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5" w:type="dxa"/>
            <w:vAlign w:val="bottom"/>
            <w:tcBorders>
              <w:bottom w:val="single" w:sz="8" w:color="auto"/>
            </w:tcBorders>
          </w:tcPr>
          <w:p>
            <w:pPr>
              <w:spacing w:after="0"/>
              <w:rPr>
                <w:sz w:val="10"/>
                <w:szCs w:val="10"/>
                <w:color w:val="auto"/>
              </w:rPr>
            </w:pPr>
          </w:p>
        </w:tc>
        <w:tc>
          <w:tcPr>
            <w:tcW w:w="1095"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200" w:type="dxa"/>
            <w:vAlign w:val="bottom"/>
            <w:shd w:val="clear" w:color="auto" w:fill="CCEEFF"/>
          </w:tcPr>
          <w:p>
            <w:pPr>
              <w:spacing w:after="0"/>
              <w:rPr>
                <w:sz w:val="18"/>
                <w:szCs w:val="18"/>
                <w:color w:val="auto"/>
              </w:rPr>
            </w:pPr>
          </w:p>
        </w:tc>
        <w:tc>
          <w:tcPr>
            <w:tcW w:w="345"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5" w:type="dxa"/>
            <w:vAlign w:val="bottom"/>
            <w:shd w:val="clear" w:color="auto" w:fill="000000"/>
          </w:tcPr>
          <w:p>
            <w:pPr>
              <w:spacing w:after="0"/>
              <w:rPr>
                <w:sz w:val="5"/>
                <w:szCs w:val="5"/>
                <w:color w:val="auto"/>
              </w:rPr>
            </w:pPr>
          </w:p>
        </w:tc>
        <w:tc>
          <w:tcPr>
            <w:tcW w:w="1095"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w w:val="99"/>
              </w:rPr>
              <w:t>common stock, par value $0.01 per share; 45,000 shares authorized; 15,341 shares issued;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5" w:type="dxa"/>
            <w:vAlign w:val="bottom"/>
          </w:tcPr>
          <w:p>
            <w:pPr>
              <w:spacing w:after="0"/>
              <w:rPr>
                <w:sz w:val="17"/>
                <w:szCs w:val="17"/>
                <w:color w:val="auto"/>
              </w:rPr>
            </w:pPr>
          </w:p>
        </w:tc>
        <w:tc>
          <w:tcPr>
            <w:tcW w:w="109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17,941 shares issued and outstanding, as adjusted</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9"/>
                <w:szCs w:val="19"/>
                <w:color w:val="auto"/>
              </w:rPr>
            </w:pPr>
          </w:p>
        </w:tc>
        <w:tc>
          <w:tcPr>
            <w:tcW w:w="345"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109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5" w:type="dxa"/>
            <w:vAlign w:val="bottom"/>
          </w:tcPr>
          <w:p>
            <w:pPr>
              <w:spacing w:after="0"/>
              <w:rPr>
                <w:sz w:val="18"/>
                <w:szCs w:val="18"/>
                <w:color w:val="auto"/>
              </w:rPr>
            </w:pPr>
          </w:p>
        </w:tc>
        <w:tc>
          <w:tcPr>
            <w:tcW w:w="109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(5,175)</w:t>
            </w: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5" w:type="dxa"/>
            <w:vAlign w:val="bottom"/>
            <w:tcBorders>
              <w:bottom w:val="single" w:sz="8" w:color="auto"/>
            </w:tcBorders>
          </w:tcPr>
          <w:p>
            <w:pPr>
              <w:spacing w:after="0"/>
              <w:rPr>
                <w:sz w:val="10"/>
                <w:szCs w:val="10"/>
                <w:color w:val="auto"/>
              </w:rPr>
            </w:pPr>
          </w:p>
        </w:tc>
        <w:tc>
          <w:tcPr>
            <w:tcW w:w="1095"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5" w:type="dxa"/>
            <w:vAlign w:val="bottom"/>
            <w:shd w:val="clear" w:color="auto" w:fill="CCEEFF"/>
          </w:tcPr>
          <w:p>
            <w:pPr>
              <w:spacing w:after="0"/>
              <w:rPr>
                <w:sz w:val="18"/>
                <w:szCs w:val="18"/>
                <w:color w:val="auto"/>
              </w:rPr>
            </w:pP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5" w:type="dxa"/>
            <w:vAlign w:val="bottom"/>
            <w:tcBorders>
              <w:bottom w:val="single" w:sz="8" w:color="auto"/>
            </w:tcBorders>
          </w:tcPr>
          <w:p>
            <w:pPr>
              <w:spacing w:after="0"/>
              <w:rPr>
                <w:sz w:val="10"/>
                <w:szCs w:val="10"/>
                <w:color w:val="auto"/>
              </w:rPr>
            </w:pPr>
          </w:p>
        </w:tc>
        <w:tc>
          <w:tcPr>
            <w:tcW w:w="1095"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capitalization</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116,775</w:t>
            </w:r>
          </w:p>
        </w:tc>
        <w:tc>
          <w:tcPr>
            <w:tcW w:w="200" w:type="dxa"/>
            <w:vAlign w:val="bottom"/>
            <w:shd w:val="clear" w:color="auto" w:fill="CCEEFF"/>
          </w:tcPr>
          <w:p>
            <w:pPr>
              <w:spacing w:after="0"/>
              <w:rPr>
                <w:sz w:val="18"/>
                <w:szCs w:val="18"/>
                <w:color w:val="auto"/>
              </w:rPr>
            </w:pPr>
          </w:p>
        </w:tc>
        <w:tc>
          <w:tcPr>
            <w:tcW w:w="345"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1095"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40" w:type="dxa"/>
            <w:vAlign w:val="bottom"/>
            <w:gridSpan w:val="2"/>
            <w:vMerge w:val="restart"/>
          </w:tcPr>
          <w:p>
            <w:pPr>
              <w:jc w:val="right"/>
              <w:ind w:right="171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tcBorders>
              <w:right w:val="single" w:sz="8" w:color="auto"/>
            </w:tcBorders>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5" w:type="dxa"/>
            <w:vAlign w:val="bottom"/>
            <w:shd w:val="clear" w:color="auto" w:fill="000000"/>
          </w:tcPr>
          <w:p>
            <w:pPr>
              <w:spacing w:after="0"/>
              <w:rPr>
                <w:sz w:val="5"/>
                <w:szCs w:val="5"/>
                <w:color w:val="auto"/>
              </w:rPr>
            </w:pPr>
          </w:p>
        </w:tc>
        <w:tc>
          <w:tcPr>
            <w:tcW w:w="1095"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5" w:type="dxa"/>
            <w:vAlign w:val="bottom"/>
          </w:tcPr>
          <w:p>
            <w:pPr>
              <w:spacing w:after="0"/>
              <w:rPr>
                <w:sz w:val="24"/>
                <w:szCs w:val="24"/>
                <w:color w:val="auto"/>
              </w:rPr>
            </w:pPr>
          </w:p>
        </w:tc>
        <w:tc>
          <w:tcPr>
            <w:tcW w:w="109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-3423920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-3423920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-3175635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-3175635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-3175635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-3175635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-2240915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-2240915</wp:posOffset>
            </wp:positionV>
            <wp:extent cx="215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-2247265</wp:posOffset>
            </wp:positionV>
            <wp:extent cx="3873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-2240915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-2240915</wp:posOffset>
            </wp:positionV>
            <wp:extent cx="215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-2240915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-1955165</wp:posOffset>
            </wp:positionV>
            <wp:extent cx="76708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7080" cy="3873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-954405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-954405</wp:posOffset>
            </wp:positionV>
            <wp:extent cx="215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-960755</wp:posOffset>
            </wp:positionV>
            <wp:extent cx="3873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-954405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-954405</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-954405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-662940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-662940</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-669290</wp:posOffset>
            </wp:positionV>
            <wp:extent cx="3873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-662940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-662940</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-662940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-377190</wp:posOffset>
            </wp:positionV>
            <wp:extent cx="2984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DIVIDENDS</w:t>
      </w:r>
    </w:p>
    <w:p>
      <w:pPr>
        <w:spacing w:after="0" w:line="16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traded on the Nasdaq National Market under the symbol “NNBR.” The following table sets forth, for the calendar periods indicated, the high and low sale prices per share for our common stock as reported on the Nasdaq National Market, and the cash dividends per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05"/>
        </w:trPr>
        <w:tc>
          <w:tcPr>
            <w:tcW w:w="49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66"/>
        </w:trPr>
        <w:tc>
          <w:tcPr>
            <w:tcW w:w="49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23"/>
                <w:szCs w:val="23"/>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23"/>
                <w:szCs w:val="23"/>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Dividends Per Share</w:t>
            </w:r>
          </w:p>
        </w:tc>
      </w:tr>
      <w:tr>
        <w:trPr>
          <w:trHeight w:val="105"/>
        </w:trPr>
        <w:tc>
          <w:tcPr>
            <w:tcW w:w="49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r>
      <w:tr>
        <w:trPr>
          <w:trHeight w:val="105"/>
        </w:trPr>
        <w:tc>
          <w:tcPr>
            <w:tcW w:w="49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1999</w:t>
            </w: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6.75</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4.75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8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2000</w:t>
            </w: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10.88</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11.38</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9"/>
                <w:szCs w:val="19"/>
                <w:color w:val="auto"/>
              </w:rPr>
            </w:pPr>
          </w:p>
        </w:tc>
      </w:tr>
      <w:tr>
        <w:trPr>
          <w:trHeight w:val="55"/>
        </w:trPr>
        <w:tc>
          <w:tcPr>
            <w:tcW w:w="49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2001</w:t>
            </w: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10.84</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8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2002</w:t>
            </w: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0.08</w:t>
            </w:r>
          </w:p>
        </w:tc>
        <w:tc>
          <w:tcPr>
            <w:tcW w:w="280" w:type="dxa"/>
            <w:vAlign w:val="bottom"/>
            <w:shd w:val="clear" w:color="auto" w:fill="CCEEFF"/>
          </w:tcPr>
          <w:p>
            <w:pPr>
              <w:spacing w:after="0"/>
              <w:rPr>
                <w:sz w:val="18"/>
                <w:szCs w:val="18"/>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(through June 5)</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11.30</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9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0.08(1)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-2935605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-2935605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-2687320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-2687320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-2687320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-2687320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-2687320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-2687320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4993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19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June 21, 2002 to stockholders of record on June 7, 2002.</w:t>
      </w:r>
    </w:p>
    <w:p>
      <w:pPr>
        <w:spacing w:after="0" w:line="15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On June 5, 2002, the last reported sale price of our common stock on the Nasdaq National Market was $10.38 per share. As of June 3, 2002, there were 161 holders of record of our common stock.</w:t>
      </w:r>
    </w:p>
    <w:p>
      <w:pPr>
        <w:spacing w:after="0" w:line="10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Since October 1994, we have declared quarterly cash dividends of $0.08 per share on our common stock. Payment of future dividends is entirely at the discretion of our board of directors. We may reconsider or revise this policy from time to time based upon conditions then existing, including, without limitation, our earnings, financial condition, cash position, capital requirements, future prospects or other conditions our board of directors may deem relevant. In addition, our revolving credit facility contains covenants that limit the amount of any dividends paid in any fiscal year to $5.5 million and require us to maintain certain financial ratios relating to our ability to pay our current obligations. Although we expect to continue to declare and pay cash dividends on our common stock in the future if earnings are available, we cannot assure you that either cash or stock dividends will be paid in the future on our common stock or that, if paid, the dividends will be in the same amount or at the same frequency as paid in the past.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6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selected consolidated financial data presented below have been derived from our consolidated financial statements. Our consolidated financial statements as of and for the years ended December 31, 2000 and 2001 have been audited by KPMG LLP. Our consolidated financial statements as of and for the years ended December 31, 1997, 1998 and 1999 have been audited by PricewaterhouseCoopers, LLP. Data for the three-month periods ended March 31, 2001 and 2002 have been derived from unaudited consolidated financial statements which, in our opinion, reflect all adjustments necessary for a fair presentation. Results for the three-month periods are not necessarily indicative of results for the full year. You should read the selected consolidated financial data presented below in conjunction with “Management’s Discussion and Analysis of Financial Condition and Results of Operations,” our consolidated financial statements and the notes thereto and other financial information included elsewhere in this prospectus or incorporated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570" w:type="dxa"/>
            <w:vAlign w:val="bottom"/>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78"/>
        </w:trPr>
        <w:tc>
          <w:tcPr>
            <w:tcW w:w="11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030" w:type="dxa"/>
            <w:vAlign w:val="bottom"/>
            <w:gridSpan w:val="5"/>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18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1997</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1998</w:t>
            </w:r>
          </w:p>
        </w:tc>
        <w:tc>
          <w:tcPr>
            <w:tcW w:w="400" w:type="dxa"/>
            <w:vAlign w:val="bottom"/>
          </w:tcPr>
          <w:p>
            <w:pPr>
              <w:spacing w:after="0"/>
              <w:rPr>
                <w:sz w:val="23"/>
                <w:szCs w:val="23"/>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1999</w:t>
            </w:r>
          </w:p>
        </w:tc>
        <w:tc>
          <w:tcPr>
            <w:tcW w:w="400" w:type="dxa"/>
            <w:vAlign w:val="bottom"/>
          </w:tcPr>
          <w:p>
            <w:pPr>
              <w:spacing w:after="0"/>
              <w:rPr>
                <w:sz w:val="23"/>
                <w:szCs w:val="23"/>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2000</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 w:type="dxa"/>
            <w:vAlign w:val="bottom"/>
          </w:tcPr>
          <w:p>
            <w:pPr>
              <w:spacing w:after="0"/>
              <w:rPr>
                <w:sz w:val="23"/>
                <w:szCs w:val="23"/>
                <w:color w:val="auto"/>
              </w:rPr>
            </w:pPr>
          </w:p>
        </w:tc>
        <w:tc>
          <w:tcPr>
            <w:tcW w:w="51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23"/>
                <w:szCs w:val="23"/>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560" w:type="dxa"/>
            <w:vAlign w:val="bottom"/>
            <w:tcBorders>
              <w:right w:val="single" w:sz="8" w:color="CCEEFF"/>
            </w:tcBorders>
            <w:gridSpan w:val="8"/>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75,252</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73,006</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85,294</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132,129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180,151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50,227</w:t>
            </w:r>
          </w:p>
        </w:tc>
        <w:tc>
          <w:tcPr>
            <w:tcW w:w="22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47,200</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products sold</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51,707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50,353</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59,967</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93,926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137,591</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38,184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35,532</w:t>
            </w:r>
          </w:p>
        </w:tc>
        <w:tc>
          <w:tcPr>
            <w:tcW w:w="60" w:type="dxa"/>
            <w:vAlign w:val="bottom"/>
            <w:shd w:val="clear" w:color="auto" w:fill="CCEEFF"/>
          </w:tcPr>
          <w:p>
            <w:pPr>
              <w:spacing w:after="0"/>
              <w:rPr>
                <w:sz w:val="12"/>
                <w:szCs w:val="12"/>
                <w:color w:val="auto"/>
              </w:rPr>
            </w:pPr>
          </w:p>
        </w:tc>
      </w:tr>
      <w:tr>
        <w:trPr>
          <w:trHeight w:val="118"/>
        </w:trPr>
        <w:tc>
          <w:tcPr>
            <w:tcW w:w="11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1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23,545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22,653</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25,327</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42,560</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11,668</w:t>
            </w: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5,896</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6,854</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4,557</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13,340</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60" w:type="dxa"/>
            <w:vAlign w:val="bottom"/>
            <w:shd w:val="clear" w:color="auto" w:fill="CCEEFF"/>
          </w:tcPr>
          <w:p>
            <w:pPr>
              <w:spacing w:after="0"/>
              <w:rPr>
                <w:sz w:val="12"/>
                <w:szCs w:val="12"/>
                <w:color w:val="auto"/>
              </w:rPr>
            </w:pPr>
          </w:p>
        </w:tc>
      </w:tr>
      <w:tr>
        <w:trPr>
          <w:trHeight w:val="174"/>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Restructuring and impairment costs</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3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5"/>
                <w:szCs w:val="15"/>
                <w:color w:val="auto"/>
              </w:rPr>
            </w:pPr>
          </w:p>
        </w:tc>
      </w:tr>
      <w:tr>
        <w:trPr>
          <w:trHeight w:val="93"/>
        </w:trPr>
        <w:tc>
          <w:tcPr>
            <w:tcW w:w="11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from operations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13,921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12,200</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12,342</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10,526</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4,267</w:t>
            </w: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 w:type="dxa"/>
            <w:vAlign w:val="bottom"/>
            <w:shd w:val="clear" w:color="auto" w:fill="CCEEFF"/>
          </w:tcPr>
          <w:p>
            <w:pPr>
              <w:spacing w:after="0"/>
              <w:rPr>
                <w:sz w:val="12"/>
                <w:szCs w:val="12"/>
                <w:color w:val="auto"/>
              </w:rPr>
            </w:pPr>
          </w:p>
        </w:tc>
        <w:tc>
          <w:tcPr>
            <w:tcW w:w="73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involuntary conversion</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3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(355)</w:t>
            </w:r>
          </w:p>
        </w:tc>
      </w:tr>
      <w:tr>
        <w:trPr>
          <w:trHeight w:val="118"/>
        </w:trPr>
        <w:tc>
          <w:tcPr>
            <w:tcW w:w="11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1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13,892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12,136</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11,819</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4,480</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Minority interest in consolidated subsidiaries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60" w:type="dxa"/>
            <w:vAlign w:val="bottom"/>
            <w:shd w:val="clear" w:color="auto" w:fill="CCEEFF"/>
          </w:tcPr>
          <w:p>
            <w:pPr>
              <w:spacing w:after="0"/>
              <w:rPr>
                <w:sz w:val="12"/>
                <w:szCs w:val="12"/>
                <w:color w:val="auto"/>
              </w:rPr>
            </w:pPr>
          </w:p>
        </w:tc>
      </w:tr>
      <w:tr>
        <w:trPr>
          <w:trHeight w:val="118"/>
        </w:trPr>
        <w:tc>
          <w:tcPr>
            <w:tcW w:w="11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1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before cumulative effect of change in accounting principle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7,656</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4,760</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60" w:type="dxa"/>
            <w:vAlign w:val="bottom"/>
            <w:shd w:val="clear" w:color="auto" w:fill="CCEEFF"/>
          </w:tcPr>
          <w:p>
            <w:pPr>
              <w:spacing w:after="0"/>
              <w:rPr>
                <w:sz w:val="12"/>
                <w:szCs w:val="12"/>
                <w:color w:val="auto"/>
              </w:rPr>
            </w:pPr>
          </w:p>
        </w:tc>
      </w:tr>
      <w:tr>
        <w:trPr>
          <w:trHeight w:val="174"/>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Cumulative effect of change in accounting principle</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1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93"/>
        </w:trPr>
        <w:tc>
          <w:tcPr>
            <w:tcW w:w="11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8,510</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7,656</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4,662</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60" w:type="dxa"/>
            <w:vAlign w:val="bottom"/>
            <w:shd w:val="clear" w:color="auto" w:fill="CCEEFF"/>
          </w:tcPr>
          <w:p>
            <w:pPr>
              <w:spacing w:after="0"/>
              <w:rPr>
                <w:sz w:val="12"/>
                <w:szCs w:val="12"/>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51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2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outstanding—diluted</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15,038</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15,735</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outstanding—basic</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14,804</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15,021</w:t>
            </w: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15,259</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15,341</w:t>
            </w:r>
          </w:p>
        </w:tc>
        <w:tc>
          <w:tcPr>
            <w:tcW w:w="60" w:type="dxa"/>
            <w:vAlign w:val="bottom"/>
            <w:shd w:val="clear" w:color="auto" w:fill="CCEEFF"/>
          </w:tcPr>
          <w:p>
            <w:pPr>
              <w:spacing w:after="0"/>
              <w:rPr>
                <w:sz w:val="12"/>
                <w:szCs w:val="12"/>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EBITDA(1)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18,027</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16,757</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18,473</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26,178</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8,029</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7,170</w:t>
            </w: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8,775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5,758</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w:t>
            </w:r>
          </w:p>
        </w:tc>
        <w:tc>
          <w:tcPr>
            <w:tcW w:w="6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dividends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r>
      <w:tr>
        <w:trPr>
          <w:trHeight w:val="310"/>
        </w:trPr>
        <w:tc>
          <w:tcPr>
            <w:tcW w:w="1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57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As of March 31, 2002</w:t>
            </w: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 w:type="dxa"/>
            <w:vAlign w:val="bottom"/>
          </w:tcPr>
          <w:p>
            <w:pPr>
              <w:spacing w:after="0"/>
              <w:rPr>
                <w:sz w:val="9"/>
                <w:szCs w:val="9"/>
                <w:color w:val="auto"/>
              </w:rPr>
            </w:pPr>
          </w:p>
        </w:tc>
        <w:tc>
          <w:tcPr>
            <w:tcW w:w="5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20,692</w:t>
            </w:r>
          </w:p>
        </w:tc>
      </w:tr>
      <w:tr>
        <w:trPr>
          <w:trHeight w:val="149"/>
        </w:trPr>
        <w:tc>
          <w:tcPr>
            <w:tcW w:w="5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189,420</w:t>
            </w:r>
          </w:p>
        </w:tc>
      </w:tr>
      <w:tr>
        <w:trPr>
          <w:trHeight w:val="149"/>
        </w:trPr>
        <w:tc>
          <w:tcPr>
            <w:tcW w:w="55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54,047</w:t>
            </w:r>
          </w:p>
        </w:tc>
      </w:tr>
      <w:tr>
        <w:trPr>
          <w:trHeight w:val="149"/>
        </w:trPr>
        <w:tc>
          <w:tcPr>
            <w:tcW w:w="5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62,728</w:t>
            </w:r>
          </w:p>
        </w:tc>
      </w:tr>
      <w:tr>
        <w:trPr>
          <w:trHeight w:val="118"/>
        </w:trPr>
        <w:tc>
          <w:tcPr>
            <w:tcW w:w="118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 w:type="dxa"/>
            <w:vAlign w:val="bottom"/>
          </w:tcPr>
          <w:p>
            <w:pPr>
              <w:spacing w:after="0"/>
              <w:rPr>
                <w:sz w:val="10"/>
                <w:szCs w:val="10"/>
                <w:color w:val="auto"/>
              </w:rPr>
            </w:pPr>
          </w:p>
        </w:tc>
        <w:tc>
          <w:tcPr>
            <w:tcW w:w="51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-4765040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-4765040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-4765040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-4765040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-4516755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-4516755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-4516755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-4516755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-4516755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-4516755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-4516755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-4516755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-4516755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-4516755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-4516755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-4516755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-4516755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-4516755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-4085590</wp:posOffset>
            </wp:positionV>
            <wp:extent cx="5588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-4079240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-4085590</wp:posOffset>
            </wp:positionV>
            <wp:extent cx="5588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-4079240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-4085590</wp:posOffset>
            </wp:positionV>
            <wp:extent cx="5588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-4079240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-4085590</wp:posOffset>
            </wp:positionV>
            <wp:extent cx="5588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-4085590</wp:posOffset>
            </wp:positionV>
            <wp:extent cx="3873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-4085590</wp:posOffset>
            </wp:positionV>
            <wp:extent cx="5588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-4085590</wp:posOffset>
            </wp:positionV>
            <wp:extent cx="3873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-4079240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-4079240</wp:posOffset>
            </wp:positionV>
            <wp:extent cx="215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-4085590</wp:posOffset>
            </wp:positionV>
            <wp:extent cx="3873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-4079240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-4079240</wp:posOffset>
            </wp:positionV>
            <wp:extent cx="215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-4085590</wp:posOffset>
            </wp:positionV>
            <wp:extent cx="3873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-3554095</wp:posOffset>
            </wp:positionV>
            <wp:extent cx="5588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-3547745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-3554095</wp:posOffset>
            </wp:positionV>
            <wp:extent cx="5588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-3547745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-3554095</wp:posOffset>
            </wp:positionV>
            <wp:extent cx="5588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-3547745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-3554095</wp:posOffset>
            </wp:positionV>
            <wp:extent cx="5588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-3554095</wp:posOffset>
            </wp:positionV>
            <wp:extent cx="3873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-3554095</wp:posOffset>
            </wp:positionV>
            <wp:extent cx="5588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-3554095</wp:posOffset>
            </wp:positionV>
            <wp:extent cx="3873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-3547745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-3547745</wp:posOffset>
            </wp:positionV>
            <wp:extent cx="215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-3554095</wp:posOffset>
            </wp:positionV>
            <wp:extent cx="3873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-3547745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-3547745</wp:posOffset>
            </wp:positionV>
            <wp:extent cx="215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-3554095</wp:posOffset>
            </wp:positionV>
            <wp:extent cx="3873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-2927985</wp:posOffset>
            </wp:positionV>
            <wp:extent cx="5588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-2921635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-2927985</wp:posOffset>
            </wp:positionV>
            <wp:extent cx="5588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-2921635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-2927985</wp:posOffset>
            </wp:positionV>
            <wp:extent cx="5588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-2921635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-2927985</wp:posOffset>
            </wp:positionV>
            <wp:extent cx="5588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-2927985</wp:posOffset>
            </wp:positionV>
            <wp:extent cx="3873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-2927985</wp:posOffset>
            </wp:positionV>
            <wp:extent cx="5588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-2927985</wp:posOffset>
            </wp:positionV>
            <wp:extent cx="3873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-2921635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-2921635</wp:posOffset>
            </wp:positionV>
            <wp:extent cx="215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-2927985</wp:posOffset>
            </wp:positionV>
            <wp:extent cx="3873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-2921635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-2921635</wp:posOffset>
            </wp:positionV>
            <wp:extent cx="215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-2927985</wp:posOffset>
            </wp:positionV>
            <wp:extent cx="3873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-2490470</wp:posOffset>
            </wp:positionV>
            <wp:extent cx="5588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-2484120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-2490470</wp:posOffset>
            </wp:positionV>
            <wp:extent cx="5588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-2484120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-2490470</wp:posOffset>
            </wp:positionV>
            <wp:extent cx="5588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-2484120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-2490470</wp:posOffset>
            </wp:positionV>
            <wp:extent cx="5588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-2490470</wp:posOffset>
            </wp:positionV>
            <wp:extent cx="3873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-2490470</wp:posOffset>
            </wp:positionV>
            <wp:extent cx="5588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-2490470</wp:posOffset>
            </wp:positionV>
            <wp:extent cx="3873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-2484120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-2484120</wp:posOffset>
            </wp:positionV>
            <wp:extent cx="215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-2490470</wp:posOffset>
            </wp:positionV>
            <wp:extent cx="3873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-2484120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-2484120</wp:posOffset>
            </wp:positionV>
            <wp:extent cx="215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-2490470</wp:posOffset>
            </wp:positionV>
            <wp:extent cx="3873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-2147570</wp:posOffset>
            </wp:positionV>
            <wp:extent cx="5588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-2141220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-2147570</wp:posOffset>
            </wp:positionV>
            <wp:extent cx="5588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-2141220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-2147570</wp:posOffset>
            </wp:positionV>
            <wp:extent cx="5588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-2141220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-2147570</wp:posOffset>
            </wp:positionV>
            <wp:extent cx="5588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-2147570</wp:posOffset>
            </wp:positionV>
            <wp:extent cx="3873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-2147570</wp:posOffset>
            </wp:positionV>
            <wp:extent cx="5588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-2147570</wp:posOffset>
            </wp:positionV>
            <wp:extent cx="3873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-2141220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-2141220</wp:posOffset>
            </wp:positionV>
            <wp:extent cx="2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-2147570</wp:posOffset>
            </wp:positionV>
            <wp:extent cx="3873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-2141220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-2141220</wp:posOffset>
            </wp:positionV>
            <wp:extent cx="215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-2147570</wp:posOffset>
            </wp:positionV>
            <wp:extent cx="3873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-1898650</wp:posOffset>
            </wp:positionV>
            <wp:extent cx="2984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-1898650</wp:posOffset>
            </wp:positionV>
            <wp:extent cx="2984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-1898650</wp:posOffset>
            </wp:positionV>
            <wp:extent cx="2984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-1898650</wp:posOffset>
            </wp:positionV>
            <wp:extent cx="40703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0703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-640080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-640080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ind w:left="340" w:right="60" w:hanging="332"/>
        <w:spacing w:after="0" w:line="227"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defined as the sum of income before income taxes, interest expense and depreciation and amortization. EBITDA as measured in this prospectus also excludes restructuring and impairment costs, equity in earnings of unconsolidated affiliates, net gain on involuntary conversion and other income and is not necessarily comparable with similarly titled measures for other companies. EBITDA is commonly used as an analytical indicator and also serves as a measure of leverage capacity and debt servicing ability. EBITDA should not be considered as a measure of financial performance under accounting principles generally accepted in the United States. The items excluded from EBITDA are significant components in understanding and assessing financial performance. EBITDA should not be considered in isolation or as an alternative to net income, cash flows generated by operating, investing or financing activities or other financial statement data presented in the consolidated financial statements as an indicator of financial performance or liquidity.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14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our consolidated financial statements and the notes thereto and other financial data included elsewhere in this prospectus or incorporated by reference. Historical operating results and percentage relationships among any amounts included in the consolidated financial statements are not necessarily indicative of future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core business is the manufacture and sale of high quality, precision steel balls and rollers. In 2001, sales of balls and rollers accounted for approximately 77% of our total net sales, with 74% and 3% of sales from balls and rollers, respectively. Sales of seals, retainers and plastic products accounted for the remaining 23% of our sales.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Beginning with the third quarter of 2000, we have reported our financial results in three segments: Domestic Ball and Roller, Euroball and Plastics. Our reportable segments are based on differences in product lines and geographic locations. The Domestic Ball and Roller segment comprises our United States ball and roller manufacturing operations. The Euroball segment comprises our European manufacturing operations. Our Domestic Ball and Roller and Euroball segments make precision balls and rollers used primarily in the bearing industry. The Plastics segment comprises the operations of IMC, NN Arté and Delta. IMC and NN Arté manufacture plastic products for the bearing, automotive, instrumentation, fiber optic and consumer hardware markets. Delta manufactures engineered bearing seals used principally in automotive, industrial, agricultural, mining and aerospace applications.</w:t>
      </w:r>
    </w:p>
    <w:p>
      <w:pPr>
        <w:spacing w:after="0" w:line="12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1998, we developed and implemented a strategic plan designed to position us as a worldwide supplier of a broad line of bearing components. As part of this strategy, we sought to augment our internal growth with complementary acquisitions. In July 1999, we acquired substantially all of IMC’s assets. In August 2000, we acquired a 51% ownership interest in NN Mexico LLC, which owns 99% of NN Arté, and in February 2001, we acquired all of Delta’s outstanding common stock.</w:t>
      </w:r>
    </w:p>
    <w:p>
      <w:pPr>
        <w:spacing w:after="0" w:line="12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formed Euroball in July 2000 and own 54% of that entity. The parent companies of SKF and INA/FAG each owns a 23% interest. We report the financial results of Euroball on a consolidated basis due to our majority ownership. Under the terms of a shareholder agreement, both SKF and INA/FAG have the right, beginning January 2003, to require us to purchase their interest in Euroball.</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All of our acquisitions were accounted for using the purchase method, with goodwill being amortized on a straight line basis over 20 years. Our results of operations for 1999, 2000 and 2001 include $325,000, $904,000 and $1.9 million, respectively, of goodwill amortization related to these acquisitions. Upon implementation of the Financial Accounting Standards Board (“FASB”) Statement No. 142, “Goodwill and Other Intangible Assets” in January 2002, we stopped goodwill amortization. We currently believe that we will record no impairment of asset value pursuant to Statement No. 142.</w:t>
      </w:r>
    </w:p>
    <w:p>
      <w:pPr>
        <w:spacing w:after="0" w:line="12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December 2001, we closed our Walterboro, South Carolina ball manufacturing facility in keeping with our strategy to redistribute our global productive capacity. Because of the shift in production from the U.S. to Europe in connection with the establishment of our Ireland facility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Euroball operations, the Walterboro facility was no longer needed. The precision ball production of the Walterboro facility has been fully absorbed by our remaining U.S. ball and roller manufacturing facilities. In 2001, we recorded pre-tax charges associated with the closing of $1.9 million, including a $1.1 million asset impairment charge and $750,000 related to employee severance costs. These amounts are reflected as restructuring and impairment costs in our consolidated financial statements. The building, along with certain machinery and equipment, is held for sale as of December 31, 2001. These assets are carried on our balance sheet with an aggregate value of $4.3 million as of March 31, 2002.</w:t>
      </w:r>
    </w:p>
    <w:p>
      <w:pPr>
        <w:spacing w:after="0" w:line="12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December 2001, we sold our minority interest in a Chinese ball manufacturer to our partner for cash of $622,000 and a note of $3.3 million. In 2001, we recorded a non-cash, after-tax loss on this sale of $144,000.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0"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notes to the financial statements. These policies have been consistently applied in all material respects and address such matters as revenue recognition, useful lives of depreciable assets, inventory valuation, asset impairment recognition, accounts receivable, business combination accounting and pension and post-retirement benefits. Due to the estimation processes involved, we consider the following summarized accounting policies and their application to be critical to understanding our business operations, financial condition and results of operations. There can be no assurance that actual results will not significantly differ from the estimates used in these critical accounting policies.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establishing allowances for doubtful accounts, we continuously perform credit evaluations of our customers, considering numerous inputs when available including the customers’ financial position, past payment history, relevant industry trends, cash flows, management capability, historical loss experience and economic conditions and prospects. Due to the bankruptcy of one plastic clip customer and other write-offs, we experienced $1.7 million of bad debt expense during 2001 versus none during 2000.</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 Our inventories are not generally subject to obsolescence due to spoilage or expiring product life cycles. We operate generally as a make-to-order business. However, we also stock products for certain customers in order to meet delivery schedules.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Acquisitions and Acquired Intangibles</w:t>
      </w:r>
    </w:p>
    <w:p>
      <w:pPr>
        <w:spacing w:after="0" w:line="16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acquisitions typically result in intangible assets and goodwill which may affect the amount of possible future impairment expense that we may incur. The determination of the value of such intangible assets and goodwill as well as the determination of their useful lives require us to make estimates that affect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long-lived assets include property, plant and equipment and goodwill. The recoverability of such long-term investments is dependent on the performance of the assets in question, as well as volatility inherent in the external markets served by those assets. In assessing potential impairment for these investments, we will consider these factors as well as forecasted financial performance. Future adverse changes in market conditions or adverse operating results of the underlying investments could result in our having to record impairment charges not previously recognized.</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Pension and Post-retirement Obligations</w:t>
      </w:r>
    </w:p>
    <w:p>
      <w:pPr>
        <w:spacing w:after="0" w:line="160"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We use several assumptions in determining our periodic pension and post-retirement expense and obligations. These assumptions include determining an appropriate discount rate and rate of compensation increase, as well as the remaining service period of active employees. We use an independent actuary to calculate the periodic pension and post-retirement expense and obligations based upon these assumptions and actual employee census data.</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Useful Lives of Depreciable Assets</w:t>
      </w:r>
    </w:p>
    <w:p>
      <w:pPr>
        <w:spacing w:after="0" w:line="16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use judgment in determining the estimated useful lives of our depreciable long-lived assets. The estimate of useful lives is determined by our historical experience with the type of asset purchased, which is impacted by our preventative maintenance programs. We begin depreciation on our long-lived assets when they are substantially put into service.</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for the periods indicated, selected financial data and the percentage of the Company’s net sales represented by each income statement line item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5"/>
              </w:rPr>
              <w:t>As a percentage of Net Sales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5"/>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266"/>
        </w:trPr>
        <w:tc>
          <w:tcPr>
            <w:tcW w:w="6620" w:type="dxa"/>
            <w:vAlign w:val="bottom"/>
          </w:tcPr>
          <w:p>
            <w:pPr>
              <w:spacing w:after="0"/>
              <w:rPr>
                <w:sz w:val="23"/>
                <w:szCs w:val="23"/>
                <w:color w:val="auto"/>
              </w:rPr>
            </w:pPr>
          </w:p>
        </w:tc>
        <w:tc>
          <w:tcPr>
            <w:tcW w:w="274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r>
      <w:tr>
        <w:trPr>
          <w:trHeight w:val="105"/>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266"/>
        </w:trPr>
        <w:tc>
          <w:tcPr>
            <w:tcW w:w="66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1999</w:t>
            </w:r>
          </w:p>
        </w:tc>
        <w:tc>
          <w:tcPr>
            <w:tcW w:w="5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1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48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560" w:type="dxa"/>
            <w:vAlign w:val="bottom"/>
          </w:tcPr>
          <w:p>
            <w:pPr>
              <w:spacing w:after="0"/>
              <w:rPr>
                <w:sz w:val="23"/>
                <w:szCs w:val="23"/>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80" w:type="dxa"/>
            <w:vAlign w:val="bottom"/>
          </w:tcPr>
          <w:p>
            <w:pPr>
              <w:spacing w:after="0"/>
              <w:rPr>
                <w:sz w:val="23"/>
                <w:szCs w:val="23"/>
                <w:color w:val="auto"/>
              </w:rPr>
            </w:pPr>
          </w:p>
        </w:tc>
      </w:tr>
      <w:tr>
        <w:trPr>
          <w:trHeight w:val="105"/>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19"/>
                <w:szCs w:val="19"/>
                <w:color w:val="auto"/>
              </w:rPr>
            </w:pPr>
          </w:p>
        </w:tc>
      </w:tr>
      <w:tr>
        <w:trPr>
          <w:trHeight w:val="106"/>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impairment costs</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r>
      <w:tr>
        <w:trPr>
          <w:trHeight w:val="106"/>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9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involuntary conversion</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r>
      <w:tr>
        <w:trPr>
          <w:trHeight w:val="118"/>
        </w:trPr>
        <w:tc>
          <w:tcPr>
            <w:tcW w:w="66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Minority interest in income of consolidated subsidiaries</w:t>
            </w:r>
          </w:p>
        </w:tc>
        <w:tc>
          <w:tcPr>
            <w:tcW w:w="9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r>
      <w:tr>
        <w:trPr>
          <w:trHeight w:val="118"/>
        </w:trPr>
        <w:tc>
          <w:tcPr>
            <w:tcW w:w="66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02"/>
        </w:trPr>
        <w:tc>
          <w:tcPr>
            <w:tcW w:w="6620" w:type="dxa"/>
            <w:vAlign w:val="bottom"/>
            <w:tcBorders>
              <w:right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Income before cumulative effect of change in</w:t>
            </w:r>
          </w:p>
        </w:tc>
        <w:tc>
          <w:tcPr>
            <w:tcW w:w="4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principle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20"/>
                <w:szCs w:val="20"/>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106"/>
        </w:trPr>
        <w:tc>
          <w:tcPr>
            <w:tcW w:w="66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66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105"/>
        </w:trPr>
        <w:tc>
          <w:tcPr>
            <w:tcW w:w="6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6620" w:type="dxa"/>
            <w:vAlign w:val="bottom"/>
            <w:tcBorders>
              <w:right w:val="single" w:sz="8" w:color="auto"/>
            </w:tcBorders>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-3924935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-3924935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-3676015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-3676015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-3676015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-3676015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-3427730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-3427730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-3427730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-3427730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-3427730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-3427730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-3427730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-3427730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-3427730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-3427730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-2998470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-3004820</wp:posOffset>
            </wp:positionV>
            <wp:extent cx="38735"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-2998470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-3004820</wp:posOffset>
            </wp:positionV>
            <wp:extent cx="3873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-2998470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-3004820</wp:posOffset>
            </wp:positionV>
            <wp:extent cx="38735"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-2998470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-3004820</wp:posOffset>
            </wp:positionV>
            <wp:extent cx="3873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-2998470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-3004820</wp:posOffset>
            </wp:positionV>
            <wp:extent cx="38735"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-2295525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-2301875</wp:posOffset>
            </wp:positionV>
            <wp:extent cx="38735"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-2295525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-2301875</wp:posOffset>
            </wp:positionV>
            <wp:extent cx="38735"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-2295525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-2301875</wp:posOffset>
            </wp:positionV>
            <wp:extent cx="38735"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-2295525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-2301875</wp:posOffset>
            </wp:positionV>
            <wp:extent cx="3873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-2295525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-2301875</wp:posOffset>
            </wp:positionV>
            <wp:extent cx="38735"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-1454785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-1461135</wp:posOffset>
            </wp:positionV>
            <wp:extent cx="38735"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-1454785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-1461135</wp:posOffset>
            </wp:positionV>
            <wp:extent cx="3873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-1454785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-1461135</wp:posOffset>
            </wp:positionV>
            <wp:extent cx="38735"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-1454785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-1461135</wp:posOffset>
            </wp:positionV>
            <wp:extent cx="38735"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-1454785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-1461135</wp:posOffset>
            </wp:positionV>
            <wp:extent cx="38735"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-889000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-895350</wp:posOffset>
            </wp:positionV>
            <wp:extent cx="38735"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-889000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-895350</wp:posOffset>
            </wp:positionV>
            <wp:extent cx="38735"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-889000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-895350</wp:posOffset>
            </wp:positionV>
            <wp:extent cx="3873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-889000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-895350</wp:posOffset>
            </wp:positionV>
            <wp:extent cx="3873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-889000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-895350</wp:posOffset>
            </wp:positionV>
            <wp:extent cx="3873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-329565</wp:posOffset>
            </wp:positionV>
            <wp:extent cx="3873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-329565</wp:posOffset>
            </wp:positionV>
            <wp:extent cx="38735"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3873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-329565</wp:posOffset>
            </wp:positionV>
            <wp:extent cx="3873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-329565</wp:posOffset>
            </wp:positionV>
            <wp:extent cx="3873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-38100</wp:posOffset>
            </wp:positionV>
            <wp:extent cx="2984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-38100</wp:posOffset>
            </wp:positionV>
            <wp:extent cx="2984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-38100</wp:posOffset>
            </wp:positionV>
            <wp:extent cx="2984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-38100</wp:posOffset>
            </wp:positionV>
            <wp:extent cx="2984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-38100</wp:posOffset>
            </wp:positionV>
            <wp:extent cx="2984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2002 Compared to the Three Months Ended March 31, 2001</w:t>
      </w:r>
    </w:p>
    <w:p>
      <w:pPr>
        <w:spacing w:after="0" w:line="158" w:lineRule="exact"/>
        <w:rPr>
          <w:sz w:val="20"/>
          <w:szCs w:val="20"/>
          <w:color w:val="auto"/>
        </w:rPr>
      </w:pPr>
    </w:p>
    <w:p>
      <w:pPr>
        <w:ind w:right="30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Net sales decreased by approximately $3.0 million, or 6.0%, from $50.2 million for the first quarter of 2001 to $47.2 million for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quarter of 2002. By segment, sales decreased $2.6 million and $3.6 million for our Domestic Ball and Roller and Euroball segments, respectively. These decreases were due mainly to decreased demand for our products as a result of the economic environment. This decrease was partially offset by a $3.2 million increase in the Plastics segment’s sales resulting from the inclusion of a full quarter of Delta’s results in 2002 as well as sales increases at NN Arté and IMC.</w:t>
      </w:r>
    </w:p>
    <w:p>
      <w:pPr>
        <w:spacing w:after="0" w:line="87" w:lineRule="exact"/>
        <w:rPr>
          <w:sz w:val="20"/>
          <w:szCs w:val="20"/>
          <w:color w:val="auto"/>
        </w:rPr>
      </w:pPr>
    </w:p>
    <w:p>
      <w:pPr>
        <w:ind w:right="8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Gross Profit</w:t>
      </w:r>
      <w:r>
        <w:rPr>
          <w:rFonts w:ascii="Times New Roman" w:cs="Times New Roman" w:eastAsia="Times New Roman" w:hAnsi="Times New Roman"/>
          <w:sz w:val="16"/>
          <w:szCs w:val="16"/>
          <w:color w:val="auto"/>
        </w:rPr>
        <w:t>. Gross profit decreased approximately $375,000, or 3.1%, from $12.0 million for the first quarter of 2001 to $11.7 million for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quarter of 2002. Sales volume decreases in our Domestic Ball and Roller segment were offset by cost savings associated with the closing of the Walterboro facility, resulting in a net $627,000 decrease. Sales volume decreases in the Euroball segment were similarly offset by cost reductions, resulting in a net $784,000 decrease. These decreases were partially offset by the Plastic segment’s operations, where gross profit improved by approximately $1.0 million. The inclusion of a full quarter of Delta’s results accounted for $515,000 of the increase while improved profitability at NN Arté and IMC accounted for the balance of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increase. As a percentage of net sales, gross profit increased from 24.0% in the first quarter of 2001 to 24.7% for the same period in 2002. This increase in gross profit as a percentage of sales was due primarily to cost savings associated with the closing of the Walterboro facility as well as other cost reduction and containment programs initiated during 2001.</w:t>
      </w:r>
    </w:p>
    <w:p>
      <w:pPr>
        <w:spacing w:after="0" w:line="11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approximately $484,000, or 12.1%, from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first quarter of 2001 to $4.5 million in the first quarter of 2002. Expense increases included $260,000 for strategic planning and information technology initiatives at Euroball,$172,000 for advisory services associated with our analysis of strategic alternatives, and $168,000 for expenses associated with the inclusion of a full quarter of Delta’s operations. Offsetting these increases were savings from various cost reduction and containment programs. Reflecting our lower sales levels, selling, general and administrative expenses as a percentage of net sales, increased from 8.0% for the first quarter of 2001 to 9.5% for the same period in 2002.</w:t>
      </w:r>
    </w:p>
    <w:p>
      <w:pPr>
        <w:spacing w:after="0" w:line="12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approximately $485,000, or 14.6%, from $3.3 million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2001 to $2.8 million for the same period in 2002. The adoption of FASB Statement No. 142 eliminated the amortization of goodwill and contributed $405,000 of the decrease. Reclassification of the Walterboro facility and certain equipment as assets held for sale reduced depreciation and amortization expense by an additional $325,000. Partially offsetting these reductions were $203,000 of depreciation and amortization expenses associated with the inclusion of a full quarter of Delta’s results in 2002. As a percentage of net sales, depreciation and amortization expense decreased from 6.6% in the first quarter of 2001 to 6.0% in the first quarter of 2002.</w:t>
      </w:r>
    </w:p>
    <w:p>
      <w:pPr>
        <w:spacing w:after="0" w:line="126" w:lineRule="exact"/>
        <w:rPr>
          <w:sz w:val="20"/>
          <w:szCs w:val="20"/>
          <w:color w:val="auto"/>
        </w:rPr>
      </w:pPr>
    </w:p>
    <w:p>
      <w:pPr>
        <w:ind w:right="18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Restructuring and Impairment Costs. </w:t>
      </w:r>
      <w:r>
        <w:rPr>
          <w:rFonts w:ascii="Times New Roman" w:cs="Times New Roman" w:eastAsia="Times New Roman" w:hAnsi="Times New Roman"/>
          <w:sz w:val="16"/>
          <w:szCs w:val="16"/>
          <w:color w:val="auto"/>
        </w:rPr>
        <w:t>We recorded a restructuring charge of $78,000 in the first quarter of 2002. The restructuring costs principally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pertain to our decision to close the Walterboro facility in 2001. The $78,000 charge represents the accrual for additional severance costs related to the closing of this facility. Restructuring costs represent 0.2% of net sales in the first quarter of 2002. There were no similar charges during the first quarter of 2001.</w:t>
      </w:r>
    </w:p>
    <w:p>
      <w:pPr>
        <w:spacing w:after="0" w:line="7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approximately $581,000 from $1.2 million in the first quarter of 2001 to $601,000 during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2002. This was due to lower interest rates on our credit facilities, as well as a decline in outstanding indebtedness. Total debt decreased from $70.4 million at March 31, 2001 to $54.0 million at March 31, 2002. As a percentage of net sales, interest expense decreased from 2.4% in the first quarter of 2001 to 1.3% for the same period in 2002.</w:t>
      </w:r>
    </w:p>
    <w:p>
      <w:pPr>
        <w:spacing w:after="0" w:line="119"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w:t>
      </w:r>
      <w:r>
        <w:rPr>
          <w:rFonts w:ascii="Times New Roman" w:cs="Times New Roman" w:eastAsia="Times New Roman" w:hAnsi="Times New Roman"/>
          <w:sz w:val="18"/>
          <w:szCs w:val="18"/>
          <w:color w:val="auto"/>
        </w:rPr>
        <w:t>Equity in earnings of unconsolidated affiliates decreased from earnings of $49,000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to none during the same period of 2002. The decrease is due to the sale of our minority interest in a Chinese ball manufacturer, effective December 21, 2001.</w:t>
      </w:r>
    </w:p>
    <w:p>
      <w:pPr>
        <w:spacing w:after="0" w:line="114"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Minority Interest in Consolidated Subsidiaries</w:t>
      </w:r>
      <w:r>
        <w:rPr>
          <w:rFonts w:ascii="Times New Roman" w:cs="Times New Roman" w:eastAsia="Times New Roman" w:hAnsi="Times New Roman"/>
          <w:sz w:val="18"/>
          <w:szCs w:val="18"/>
          <w:color w:val="auto"/>
        </w:rPr>
        <w:t>. Minority interest in consolidated subsidiaries represents the interest of the minority partners of Euroball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minority partners of NN Arté’s parent company. Reflecting Euroball’s increased earnings, minority interest in consolidated subsidiaries increased $182,000 from $536,000 for the first quarter of 2001 to $668,000 for the first quarter of 2002.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by $400,000, or 27.6%, from $1.4 million for the first quarter of 2001 to $1.8 million for the same period in 2002.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net sales, net income increased from 2.9% in the first quarter of 2001 to 3.9% for the first quarter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2001 Compared to the Year Ended December 31, 2000</w:t>
      </w:r>
    </w:p>
    <w:p>
      <w:pPr>
        <w:spacing w:after="0" w:line="158"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Our net sales increased $48.0 million, or 36.3%, from $132.1 million in 2000 to $180.2 million in 2001. The inclusion of a full year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Euroball sales contributed $46.1 million of the increase, excluding the performance of our facility in Ireland, which we owned prior to the formation of Euroball. In addition, the inclusion of 10.5 months of Delta’s net sales in 2001 contributed $14.0 million of the increase. Offsetting this increase were decreased sales in the Domestic Ball and Roller and Plastics segments in the last half of the year due to slowing demand related to the overall economic environment in the U.S. Decreased sales during the year for the Plastics segment were also due to decreased sales to one customer.</w:t>
      </w:r>
    </w:p>
    <w:p>
      <w:pPr>
        <w:spacing w:after="0" w:line="121" w:lineRule="exact"/>
        <w:rPr>
          <w:sz w:val="20"/>
          <w:szCs w:val="20"/>
          <w:color w:val="auto"/>
        </w:rPr>
      </w:pPr>
    </w:p>
    <w:p>
      <w:pPr>
        <w:jc w:val="both"/>
        <w:ind w:right="2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Gross Profit</w:t>
      </w:r>
      <w:r>
        <w:rPr>
          <w:rFonts w:ascii="Times New Roman" w:cs="Times New Roman" w:eastAsia="Times New Roman" w:hAnsi="Times New Roman"/>
          <w:sz w:val="16"/>
          <w:szCs w:val="16"/>
          <w:color w:val="auto"/>
        </w:rPr>
        <w:t>. Gross profit increased by $4.4 million, or 11.4%, from $38.2 million in 2000 to $42.6 million in 2001. Euroball contributed $10.1 million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gross profit, net of the contribution of our Ireland facility. The inclusion of 10.5 months of Delta’s results contributed $3.3 million in gross profit. Offsetting these increases, sales volume deterioration in the Domestic Ball and Roller and Plastics segments decreased gross profit $9.0 million. Gross profit decreased from</w:t>
      </w:r>
    </w:p>
    <w:p>
      <w:pPr>
        <w:ind w:right="140"/>
        <w:spacing w:after="0" w:line="261" w:lineRule="auto"/>
        <w:rPr>
          <w:sz w:val="20"/>
          <w:szCs w:val="20"/>
          <w:color w:val="auto"/>
        </w:rPr>
      </w:pPr>
      <w:r>
        <w:rPr>
          <w:rFonts w:ascii="Times New Roman" w:cs="Times New Roman" w:eastAsia="Times New Roman" w:hAnsi="Times New Roman"/>
          <w:sz w:val="18"/>
          <w:szCs w:val="18"/>
          <w:color w:val="auto"/>
        </w:rPr>
        <w:t>28.9% of net sales in 2000 to 23.6% of net sales in 2001 due to the aforementioned sales volume deterioration and to a lesser degree, product mix changes at the Plastics segment.</w:t>
      </w:r>
    </w:p>
    <w:p>
      <w:pPr>
        <w:spacing w:after="0" w:line="116"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Selling, General and Administrative Expenses</w:t>
      </w:r>
      <w:r>
        <w:rPr>
          <w:rFonts w:ascii="Times New Roman" w:cs="Times New Roman" w:eastAsia="Times New Roman" w:hAnsi="Times New Roman"/>
          <w:sz w:val="16"/>
          <w:szCs w:val="16"/>
          <w:color w:val="auto"/>
        </w:rPr>
        <w:t>. Selling, general and administrative expenses increased by $4.8 million, or 41.6%, from $11.6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2000 to $16.4 million in 2001. The inclusion of a full year of Euroball results, net of the contribution of our Ireland facility, accounted for $3.5 million of the increase. The inclusion of 10.5 months of Delta’s results accounted for $1.2 million of the increase. Additionally, bad debt expense primarily related to the bankruptcy filing of a major Plastics segment customer contributed $814,000. Offsetting these increases were decreased spending related to various cost reduction and cost containment efforts. As a percentage of net sales, selling, general and administrative expenses increased from 8.8% in 2000 to 9.1% in 2001.</w:t>
      </w:r>
    </w:p>
    <w:p>
      <w:pPr>
        <w:spacing w:after="0" w:line="91" w:lineRule="exact"/>
        <w:rPr>
          <w:sz w:val="20"/>
          <w:szCs w:val="20"/>
          <w:color w:val="auto"/>
        </w:rPr>
      </w:pPr>
    </w:p>
    <w:p>
      <w:pPr>
        <w:jc w:val="both"/>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$4.2 million, or 45.6%, from $9.2 million in 2000 to $13.3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The inclusion of a full year of Euroball results, net of the contribution of our facility in Ireland, accounted for $2.8 million of the increase. The inclusion of 10.5 months of Delta’s results accounted for $1.1 million of the increase. As a percentage of net sales, depreciation and amortization increased from 6.9% in 2000 to 7.4% in 2001.</w:t>
      </w:r>
    </w:p>
    <w:p>
      <w:pPr>
        <w:spacing w:after="0" w:line="119" w:lineRule="exact"/>
        <w:rPr>
          <w:sz w:val="20"/>
          <w:szCs w:val="20"/>
          <w:color w:val="auto"/>
        </w:rPr>
      </w:pPr>
    </w:p>
    <w:p>
      <w:pPr>
        <w:ind w:right="10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Restructuring and Impairment Costs</w:t>
      </w:r>
      <w:r>
        <w:rPr>
          <w:rFonts w:ascii="Times New Roman" w:cs="Times New Roman" w:eastAsia="Times New Roman" w:hAnsi="Times New Roman"/>
          <w:sz w:val="16"/>
          <w:szCs w:val="16"/>
          <w:color w:val="auto"/>
        </w:rPr>
        <w:t>. Restructuring and impairment costs increased by $2.3 million from none in 2000 to $2.3 million in 2001.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includes a $1.1 million charge for the recording of impairment on our Walterboro facility, a $750,000 charge related to employee severance costs related to the closing of the Walterboro facility and a $365,000 charge related to Euroball. Restructuring and impairment costs were 1.3% of net sales during 2001.</w:t>
      </w:r>
    </w:p>
    <w:p>
      <w:pPr>
        <w:spacing w:after="0" w:line="79"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$2.2 million from $1.8 million in 2000 to $4.0 million in 2001. Interest expense related to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Delta accounted for $1.0 million of the increase. Additionally, the inclusion of a full year of interest expense related to the debt incurred by Euroball accounted for approximately $1.0 million of the increase. As a percentage of net sales, interest expense increased from 1.3% in 2000 to 2.2% in 2001.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Equity in Earnings of Unconsolidated Affiliates</w:t>
      </w:r>
      <w:r>
        <w:rPr>
          <w:rFonts w:ascii="Times New Roman" w:cs="Times New Roman" w:eastAsia="Times New Roman" w:hAnsi="Times New Roman"/>
          <w:sz w:val="18"/>
          <w:szCs w:val="18"/>
          <w:color w:val="auto"/>
        </w:rPr>
        <w:t>. Equity in earnings of unconsolidated affiliates decreased from $48,000 in 2000 to none in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due to the sale of our minority interest in a Chinese ball manufacturer, effective December 21, 2001.</w:t>
      </w:r>
    </w:p>
    <w:p>
      <w:pPr>
        <w:spacing w:after="0" w:line="103"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Net Gain on Involuntary Conversion</w:t>
      </w:r>
      <w:r>
        <w:rPr>
          <w:rFonts w:ascii="Times New Roman" w:cs="Times New Roman" w:eastAsia="Times New Roman" w:hAnsi="Times New Roman"/>
          <w:sz w:val="18"/>
          <w:szCs w:val="18"/>
          <w:color w:val="auto"/>
        </w:rPr>
        <w:t>. We recognized a net gain on involuntary conversion of $3.9 million in 2001 related to insurance proceeds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March 12, 2000 fire at the Erwin facility.</w:t>
      </w:r>
    </w:p>
    <w:p>
      <w:pPr>
        <w:spacing w:after="0" w:line="103"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Minority Interest in Consolidated Subsidiaries. </w:t>
      </w:r>
      <w:r>
        <w:rPr>
          <w:rFonts w:ascii="Times New Roman" w:cs="Times New Roman" w:eastAsia="Times New Roman" w:hAnsi="Times New Roman"/>
          <w:sz w:val="18"/>
          <w:szCs w:val="18"/>
          <w:color w:val="auto"/>
        </w:rPr>
        <w:t>Minority interest in consolidated subsidiaries increased $1.1 million from $660,000 in 2000 to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2001. This increase is due entirely to Euroball, which has been consolidated since its formation on August 1, 2000.</w:t>
      </w:r>
    </w:p>
    <w:p>
      <w:pPr>
        <w:spacing w:after="0" w:line="103"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decreased $5.3 million, or 53.3%, from $10.0 million in 2000 to $4.7 million in 2001. As a percentage of net sales,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from 7.6% in 2000 to 2.6% in 2001.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2000 Compared to the Year Ended December 31, 1999</w:t>
      </w:r>
    </w:p>
    <w:p>
      <w:pPr>
        <w:spacing w:after="0" w:line="158" w:lineRule="exact"/>
        <w:rPr>
          <w:sz w:val="20"/>
          <w:szCs w:val="20"/>
          <w:color w:val="auto"/>
        </w:rPr>
      </w:pPr>
    </w:p>
    <w:p>
      <w:pPr>
        <w:ind w:right="18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Net Sales</w:t>
      </w:r>
      <w:r>
        <w:rPr>
          <w:rFonts w:ascii="Times New Roman" w:cs="Times New Roman" w:eastAsia="Times New Roman" w:hAnsi="Times New Roman"/>
          <w:sz w:val="16"/>
          <w:szCs w:val="16"/>
          <w:color w:val="auto"/>
        </w:rPr>
        <w:t>. Our net sales increased $46.8 million, or 54.9%, from $85.3 million in 1999 to $132.1 million in 2000. The formation of Euroball in August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2000 contributed $30.4 million of the increase, adjusting for the third and fourth quarter sales of our facility in Ireland, which were consolidated into our results prior to the formation of Euroball. Additionally the inclusion of a full year of IMC’s net sales contributed $12.9 million of the increase. The remainder of the increase was due to increased ball and roller sales in the first half of the year, offset by slowing domestic demand for balls and rollers in the second half of the year. We experienced decreased sales in the second half of the year for the Plastics segment due primarily to the bankruptcy of one customer.</w:t>
      </w:r>
    </w:p>
    <w:p>
      <w:pPr>
        <w:spacing w:after="0" w:line="91"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increased by $12.9 million, or 50.8%, from $25.3 million in 1999 to $38.2 million in 2000. Adjusting for our Ireland facility’s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and fourth quarter gross profit, Euroball accounted for $7.5 million of the increase. The inclusion of a full year of IMC’s gross profit contributed $4.0 million in gross profit. The remainder of the increase was primarily attributed to increased sales at the Domestic Ball and Roller segment. To a lesser degree, decreased costs at the Domestic Ball and Roller segment contributed to the increase in gross profit. As a percentage of net sales, gross profit decreased from 29.7% in 1999 to 28.9% in 2000.</w:t>
      </w:r>
    </w:p>
    <w:p>
      <w:pPr>
        <w:spacing w:after="0" w:line="12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$4.7 million, or 68.8%, from $6.9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to $11.6 million in 2000. The Euroball segment, net of the contribution of our Ireland facility, accounted for $2.4 million of the increase. The inclusion of a full year of IMC’s results accounted for $1.6 million of the increase. The remainder of the increase was primarily attributed to increased administrative expenses associated with our business development activity during the year. As a percentage of net sales, selling, general and administrative expenses increased from 8.0% in 1999 to 8.8% in 2000.</w:t>
      </w:r>
    </w:p>
    <w:p>
      <w:pPr>
        <w:spacing w:after="0" w:line="121" w:lineRule="exact"/>
        <w:rPr>
          <w:sz w:val="20"/>
          <w:szCs w:val="20"/>
          <w:color w:val="auto"/>
        </w:rPr>
      </w:pPr>
    </w:p>
    <w:p>
      <w:pPr>
        <w:jc w:val="both"/>
        <w:ind w:right="16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Depreciation and amortization expenses increased $3.0 million, or 49.5%, from $6.1 million in 1999 to $9.2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2000. The addition of Euroball, net of the contribution of our facility in Ireland, accounted for $2.4 million of the increase. The inclusion of a full year of IMC’s results accounted for the remainder of the increase. As a percentage of net sales, depreciation and amortization decreased from 7.2% in 1999 to 6.9% in 2000.</w:t>
      </w:r>
    </w:p>
    <w:p>
      <w:pPr>
        <w:spacing w:after="0" w:line="79"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$1.3 million from $523,000 in 1999 to $1.8 million in 2000. Interest expense related to the debt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Euroball accounted for $622,000 of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increase. Additionally, the inclusion of a full year of interest expense related to the purchase of the IMC business accounted for approximately $500,000 of the increase. The remainder of the increase was due to increased expenditures associated with our business development activity during 2000. Additionally, the timing of expenditures associated with the March 12, 2000 fire and the reimbursement of insurance proceeds caused an increase in the amount outstanding under our domestic line of credit. As a percentage of net sales, interest expense increased from 0.6% in 1999 to 1.3% in 2000.</w:t>
      </w:r>
    </w:p>
    <w:p>
      <w:pPr>
        <w:spacing w:after="0" w:line="121" w:lineRule="exact"/>
        <w:rPr>
          <w:sz w:val="20"/>
          <w:szCs w:val="20"/>
          <w:color w:val="auto"/>
        </w:rPr>
      </w:pPr>
    </w:p>
    <w:p>
      <w:pPr>
        <w:jc w:val="both"/>
        <w:ind w:right="3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Equity in Earnings of Unconsolidated Affiliates</w:t>
      </w:r>
      <w:r>
        <w:rPr>
          <w:rFonts w:ascii="Times New Roman" w:cs="Times New Roman" w:eastAsia="Times New Roman" w:hAnsi="Times New Roman"/>
          <w:sz w:val="18"/>
          <w:szCs w:val="18"/>
          <w:color w:val="auto"/>
        </w:rPr>
        <w:t>. Equity in earnings of unconsolidated affiliates increased from none in 1999 to $48,000 in 2000.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due to our share of earnings from our interest in a Chinese ball manufacturer. Earnings from this interest were offset by losses incurred from the start-up of the marketing arm of this venture and losses sustained from start-up expenses from the investment in Mexico.</w:t>
      </w:r>
    </w:p>
    <w:p>
      <w:pPr>
        <w:spacing w:after="0" w:line="114"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Net Gain on Involuntary Conversion</w:t>
      </w:r>
      <w:r>
        <w:rPr>
          <w:rFonts w:ascii="Times New Roman" w:cs="Times New Roman" w:eastAsia="Times New Roman" w:hAnsi="Times New Roman"/>
          <w:sz w:val="18"/>
          <w:szCs w:val="18"/>
          <w:color w:val="auto"/>
        </w:rPr>
        <w:t>. We had a gain on involuntary conversion of $728,000 in 2000 related to the excess of insurance proceeds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book value of assets destroyed and direct costs incurred as a result of the March 12, 2000 fire at the Erwin facility.</w:t>
      </w:r>
    </w:p>
    <w:p>
      <w:pPr>
        <w:spacing w:after="0" w:line="103"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Minority Interest in Consolidated Subsidiaries. </w:t>
      </w:r>
      <w:r>
        <w:rPr>
          <w:rFonts w:ascii="Times New Roman" w:cs="Times New Roman" w:eastAsia="Times New Roman" w:hAnsi="Times New Roman"/>
          <w:sz w:val="18"/>
          <w:szCs w:val="18"/>
          <w:color w:val="auto"/>
        </w:rPr>
        <w:t>Minority interest in consolidated subsidiaries increased from none in 1999 to $660,000 in 2000.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due entirely to Euroball.</w:t>
      </w:r>
    </w:p>
    <w:p>
      <w:pPr>
        <w:spacing w:after="0" w:line="103"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increased $2.2 million, or 28.7%, from $7.8 million in 1999 to $10.0 million in 2000. As a percentage of net sales,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from 9.1% in 1999 to 7.6% in 2000.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have a $25 million senior non-secured revolving credit facility, expiring on July 25, 2003, and a senior non-secured term loan for $35 million expiring on July 1, 2006.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Restrictive covenants specify, among other things, restrictions on the incurrence of indebtedness, payment of dividends, capital expenditures, and the maintenance of certain financial ratios. We were in compliance with all such covenants as of March 31, 2002. At March 31, 2002, $11.1 million was available under these facilities.</w:t>
      </w:r>
    </w:p>
    <w:p>
      <w:pPr>
        <w:spacing w:after="0" w:line="12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to the Company from this offering to reduce the term loan portion of our borrowings. We are negotiating with our lending group to convert our term loan into a reducing revolving credit facility providing initial availability equivalent to the balance of the term loan prior to the offering. Amounts available for borrowing under this facility would be reduced by $7.0 million per annum and the facility will expire on July 1, 2006. This facility would provide us with access to funds for future strategic acquisitions and outsourcing alliances involving captive production businesses that offer us the opportunity to further penetrate existing markets or expand into new geographic markets. We are engaged in preliminary discussions with a number of prospective acquisition candidates, but have not entered into a preliminary or definitive agreement for any potential acquisition at the present time. We cannot assure you concerning when or whether any potential acquisition might be completed.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right="340" w:firstLine="456"/>
        <w:spacing w:after="0" w:line="258" w:lineRule="auto"/>
        <w:rPr>
          <w:sz w:val="20"/>
          <w:szCs w:val="20"/>
          <w:color w:val="auto"/>
        </w:rPr>
      </w:pPr>
      <w:r>
        <w:rPr>
          <w:rFonts w:ascii="Times New Roman" w:cs="Times New Roman" w:eastAsia="Times New Roman" w:hAnsi="Times New Roman"/>
          <w:sz w:val="18"/>
          <w:szCs w:val="18"/>
          <w:color w:val="auto"/>
        </w:rPr>
        <w:t>In addition, our partners in Euroball have the right to require us to purchase their interests in that entity beginning in January 2003, based on a formula using Euroball’s historical net income and cash flow. As a result, the exact amount of the purchase price cannot be determined until the put right is exercised. Applying the formula at March 31, 2002, the amount payable in the event both parties exercised their put rights would have been Euro 22.8 million or $18.9 million (applying the exchange rate for Euros on that date).</w:t>
      </w:r>
    </w:p>
    <w:p>
      <w:pPr>
        <w:spacing w:after="0" w:line="12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July 2000, Euroball and its subsidiaries entered into a senior secured revolving credit facility of Euro 5.0 million, expiring on July 15, 2006, and a senior secured term loan of Euro 36.0 million, expiring on July 15, 2006. On July 31, 2000, upon closing of the joint venture, Euroball borrowed a total of Euro 31.5 million against these facilities for acquisition financing. Additional working capital and capital expenditure financing are provided for under the facility. Amounts outstanding under the facilities accrue interest at a floating rate equal to EURIBOR (3.36% at March 31, 2002) plus an applicable margin of 1.125% to 2.25% based upon calculated financial ratios. The loan agreement contains various restrictive covenants that specify, among other things, restrictions on the incurrence of indebtedness and the maintenance of certain financial ratios. These facilities also include certain negative pledges. Euroball was in compliance with all such covenants as of March 31, 2002. At March 31, 2002, Euro 3.6 million was available to Euroball under these facilities.</w:t>
      </w:r>
    </w:p>
    <w:p>
      <w:pPr>
        <w:spacing w:after="0" w:line="128" w:lineRule="exact"/>
        <w:rPr>
          <w:sz w:val="20"/>
          <w:szCs w:val="20"/>
          <w:color w:val="auto"/>
        </w:rPr>
      </w:pPr>
    </w:p>
    <w:p>
      <w:pPr>
        <w:jc w:val="both"/>
        <w:ind w:right="180" w:firstLine="456"/>
        <w:spacing w:after="0" w:line="256" w:lineRule="auto"/>
        <w:rPr>
          <w:sz w:val="20"/>
          <w:szCs w:val="20"/>
          <w:color w:val="auto"/>
        </w:rPr>
      </w:pPr>
      <w:r>
        <w:rPr>
          <w:rFonts w:ascii="Times New Roman" w:cs="Times New Roman" w:eastAsia="Times New Roman" w:hAnsi="Times New Roman"/>
          <w:sz w:val="18"/>
          <w:szCs w:val="18"/>
          <w:color w:val="auto"/>
        </w:rPr>
        <w:t>To date, cash generated by Euroball and its subsidiaries has been used exclusively for general Euroball-specific purposes including investments in plant, property and equipment and prepayment of the Euroball senior secured term loan, which is secured by Euroball and its subsidiaries. Accordingly, no dividends have been declared or paid that may have been used by the Company to pay down our domestic credit facilities. While the Company controls the declaration of such dividends, we only receive 54% of the cash distributed—in accordance with our ownership percentage in Euroball. We anticipate future cash generated by Euroball will continue to be used for Euroball-specific activities.</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Distributions of cash by Euroball to the Company are subject to U.S. corporate income taxes. Therefore, our ability to deploy cash generated by Euroball to meet the funding needs of our domestic operations is limited by the tax effects associated with the repatriation of those funds.</w:t>
      </w:r>
    </w:p>
    <w:p>
      <w:pPr>
        <w:spacing w:after="0" w:line="106"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Our arrangements with our domestic customers typically provide that payments are due within 30 days following the date we ship the goods, while arrangements with foreign customers served from our U.S. facilities generally provide that payments are due within either 90 or 120 days following the date of shipment. Euroball provides its customers with 30 day payment terms from product shipment. Under our inventory management program with certain European customers, payments typically are due within 30 days after the customer uses the product. Our net sales and receivables can be influenced by seasonality due to our relative percentage of European business coupled with many foreign customers ceasing or significantly slowing production during the month of August.</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bill and receive payment from some of our foreign customers in Euro or other currencies. To date, we have not been materially adversely affected by currency fluctuations or foreign exchange restrictions. To manage risks associated with currency fluctuations and foreign exchange restrictions, we have strategies in place, including a hedging program, which allows management to hedge foreign currencies when exposures reach certain levels. However, we have not entered into any currency hedges in 2001 or during the current year. A strengthening of the U.S. dollar against foreign currencies could impair the ability of the Company to compete with international competitors for foreign as well as domestic sales.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Working capital, which consists principally of accounts receivable, inventories and accounts payable was $20.7 million at March 31, 2002 as compared to $17.9 million at December 31, 2001. The ratio of current assets to current liabilities increased from 1.47 to 1 at December 31, 2001 to 1.53 to 1 at March 31, 2002. Cash flow from operations decreased from $3.5 million during the first three months of 2001 to $1.1 million during the first three months of 2002.</w:t>
      </w:r>
    </w:p>
    <w:p>
      <w:pPr>
        <w:spacing w:after="0" w:line="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2002, we plan to spend approximately $6.8 million on capital expenditures (of which approximately $849,000 has been spent through March 31, 2002) including the purchase of additional machinery and equipment at all of our domestic and international ball facilities. We intend to finance these activities with cash generated from operations and funds available under the credit facilities described above. We believe that funds generated from operations, borrowings from the credit facilities and the proceeds of this offering will be sufficient to finance our working capital needs and projected capital expenditure requirements through December 2003.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Euro</w:t>
      </w:r>
    </w:p>
    <w:p>
      <w:pPr>
        <w:spacing w:after="0" w:line="16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currently have operations in Italy, Germany and Ireland, all of which are Euro participating countries, and we sell product to customers in many of the participating countries. The Euro has been adopted as the functional currency at all of Euroball’s locations.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Results of Operations</w:t>
      </w:r>
    </w:p>
    <w:p>
      <w:pPr>
        <w:spacing w:after="0" w:line="16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net sales historically have been seasonal in nature, and as foreign sales have increased as a percentage of total sales, seasonality has become a more significant factor for the Company in that many foreign customers cease production during the month of August.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Changes in Prices</w:t>
      </w:r>
    </w:p>
    <w:p>
      <w:pPr>
        <w:spacing w:after="0" w:line="16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While our operations have not been affected by inflation during recent years, prices for 52100 chrome steel and other raw materials are subject to change. For example, during 1995, due to an increase in worldwide demand for 52100 chrome steel and the decrease in the value of the U.S. dollar relative to foreign currencies, we experienced an increase in the price of 52100 chrome steel and some difficulty in obtaining an adequate supply of 52100 chrome steel from our existing suppliers. In our U.S. operations, our typical pricing arrangements with steel suppliers are subject to adjustment once every six months. In an effort to limit our exposure to fluctuations in steel prices, we have generally avoided the use of long-term, fixed price contracts with our customers. Instead, we typically reserve the right to increase product prices periodically in the event of increases in our raw material costs.</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20"/>
          </w:cols>
          <w:pgMar w:left="24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Historically, we have been able to minimize the impact on our operations resulting from the 52100 chrome steel price increases by taking such 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June 2000, the FASB issued Statement No. 138, “Accounting for Certain Derivative Instruments and Certain Hedging Activity, an Amendment of SFAS 133.” Statement No. 133 and Statement No. 138 require that all derivative instruments be recorded on the balance sheet at their respective fair values. Statement No. 133 and Statement No. 138 became effective for us January 1, 2001.</w:t>
      </w:r>
    </w:p>
    <w:p>
      <w:pPr>
        <w:spacing w:after="0" w:line="119"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June 2001, the FASB issued Statement No. 141, “Business Combinations” and Statement No. 142, “Goodwill and Other Intangible Assets.”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we had unamortized goodwill of approximately $39.8 million, which will be subject to the provisions of Statement No. 142. As a result of adopting these standards in the first quarter of 2002, we no longer amortize goodwill. We estimate that amortization expense for goodwill would have been approximately $2.1 million (or $1.2 million net of tax and minority interest) for 2002. We are currently evaluating the impact of adoption of Statement No. 142 related to the transitional goodwill impairment review required by the new standards during the first six months after adoption.</w:t>
      </w:r>
    </w:p>
    <w:p>
      <w:pPr>
        <w:spacing w:after="0" w:line="12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In June 2001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FASB issued Statement No. 143, “Accounting for Asset Retirement Obligations.” Statement No. 143 requires capitalizing any asset retirement costs as part of the total cost of the related long-lived asset and subsequently allocating the total expense to future periods using a systematic and rational method. Adoption of Statement No. 143 is required for fiscal years beginning after June 15, 2002. We are currently evaluating the impact of adoption of Statement No. 143.</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2001, the FASB issued Statement No. 144, “Accounting for the Impairment or Disposal of Long-lived Assets.” Statement No. 144 supercedes Statement No. 121 but retains many of its fundamental provisions. Additionally, Statement No. 144 expands the scope of discontinued operations to include more disposal transactions. The provisions of Statement No. 144 are effective for financial statements issued for fiscal years beginning after December 15, 2001. We have adopted Statement No. 144 effective January 1, 2002. We believe that no asset impairment exists under the provisions of Statement No. 144 that would materially affect our financial condition.</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0" w:lineRule="exact"/>
        <w:rPr>
          <w:sz w:val="20"/>
          <w:szCs w:val="20"/>
          <w:color w:val="auto"/>
        </w:rPr>
      </w:pPr>
    </w:p>
    <w:p>
      <w:pPr>
        <w:ind w:firstLine="464"/>
        <w:spacing w:after="0" w:line="254" w:lineRule="auto"/>
        <w:tabs>
          <w:tab w:leader="none" w:pos="7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following elements provide us with significant competitive strengths in our markets:</w:t>
      </w:r>
    </w:p>
    <w:p>
      <w:pPr>
        <w:spacing w:after="0" w:line="156" w:lineRule="exact"/>
        <w:rPr>
          <w:sz w:val="20"/>
          <w:szCs w:val="20"/>
          <w:color w:val="auto"/>
        </w:rPr>
      </w:pPr>
    </w:p>
    <w:p>
      <w:pPr>
        <w:ind w:left="640" w:right="20" w:hanging="186"/>
        <w:spacing w:after="0" w:line="255"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Precision, Low-Cost Manufacturing Capabilities. </w:t>
      </w:r>
      <w:r>
        <w:rPr>
          <w:rFonts w:ascii="Times New Roman" w:cs="Times New Roman" w:eastAsia="Times New Roman" w:hAnsi="Times New Roman"/>
          <w:sz w:val="18"/>
          <w:szCs w:val="18"/>
          <w:color w:val="auto"/>
        </w:rPr>
        <w:t>Our focus on lean manufacturing and continuous improvement have earned us a reputation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 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125" w:lineRule="exact"/>
        <w:rPr>
          <w:rFonts w:ascii="Times New Roman" w:cs="Times New Roman" w:eastAsia="Times New Roman" w:hAnsi="Times New Roman"/>
          <w:sz w:val="18"/>
          <w:szCs w:val="18"/>
          <w:color w:val="auto"/>
        </w:rPr>
      </w:pPr>
    </w:p>
    <w:p>
      <w:pPr>
        <w:ind w:left="640" w:right="20" w:hanging="186"/>
        <w:spacing w:after="0" w:line="25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Leading Outsourcing Alternative to Captive Manufacturing. </w:t>
      </w:r>
      <w:r>
        <w:rPr>
          <w:rFonts w:ascii="Times New Roman" w:cs="Times New Roman" w:eastAsia="Times New Roman" w:hAnsi="Times New Roman"/>
          <w:sz w:val="18"/>
          <w:szCs w:val="18"/>
          <w:color w:val="auto"/>
        </w:rPr>
        <w:t>Euroball is the bearing industry’s largest component outsourcing initiative and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120" w:lineRule="exact"/>
        <w:rPr>
          <w:rFonts w:ascii="Times New Roman" w:cs="Times New Roman" w:eastAsia="Times New Roman" w:hAnsi="Times New Roman"/>
          <w:sz w:val="18"/>
          <w:szCs w:val="18"/>
          <w:color w:val="auto"/>
        </w:rPr>
      </w:pPr>
    </w:p>
    <w:p>
      <w:pPr>
        <w:ind w:left="640" w:right="80" w:hanging="186"/>
        <w:spacing w:after="0" w:line="259"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Uniquely Positioned as Integrated Supplier of Bearing Components. </w:t>
      </w:r>
      <w:r>
        <w:rPr>
          <w:rFonts w:ascii="Times New Roman" w:cs="Times New Roman" w:eastAsia="Times New Roman" w:hAnsi="Times New Roman"/>
          <w:sz w:val="18"/>
          <w:szCs w:val="18"/>
          <w:color w:val="auto"/>
        </w:rPr>
        <w:t>Through our recent acquisitions, we have become a leading independent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industry’s most complete line of bearing components. Our core ball and roller product offerings, complemented by our more recently acquired bearing retainer and seal products, have allowed us to expand our key customer relationships by offering them the value of a single supply chain partner for a wide variety of components.</w:t>
      </w:r>
    </w:p>
    <w:p>
      <w:pPr>
        <w:spacing w:after="0" w:line="119" w:lineRule="exact"/>
        <w:rPr>
          <w:rFonts w:ascii="Times New Roman" w:cs="Times New Roman" w:eastAsia="Times New Roman" w:hAnsi="Times New Roman"/>
          <w:sz w:val="18"/>
          <w:szCs w:val="18"/>
          <w:color w:val="auto"/>
        </w:rPr>
      </w:pPr>
    </w:p>
    <w:p>
      <w:pPr>
        <w:ind w:left="640" w:right="60" w:hanging="186"/>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Established Operating Expertise. </w:t>
      </w:r>
      <w:r>
        <w:rPr>
          <w:rFonts w:ascii="Times New Roman" w:cs="Times New Roman" w:eastAsia="Times New Roman" w:hAnsi="Times New Roman"/>
          <w:sz w:val="18"/>
          <w:szCs w:val="18"/>
          <w:color w:val="auto"/>
        </w:rPr>
        <w:t>Our experienced management team continues to be successful in implementing our strategic plan by completing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three major acquisitions since 1998 and executing significant cost rationalization programs domestically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40"/>
        <w:spacing w:after="0" w:line="262" w:lineRule="auto"/>
        <w:rPr>
          <w:sz w:val="20"/>
          <w:szCs w:val="20"/>
          <w:color w:val="auto"/>
        </w:rPr>
      </w:pPr>
      <w:r>
        <w:rPr>
          <w:rFonts w:ascii="Times New Roman" w:cs="Times New Roman" w:eastAsia="Times New Roman" w:hAnsi="Times New Roman"/>
          <w:sz w:val="18"/>
          <w:szCs w:val="18"/>
          <w:color w:val="auto"/>
        </w:rPr>
        <w:t>and in Europe. Our nine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strategic plan is designed to increase our revenues, income and long-term shareholder value by:</w:t>
      </w:r>
    </w:p>
    <w:p>
      <w:pPr>
        <w:spacing w:after="0" w:line="156" w:lineRule="exact"/>
        <w:rPr>
          <w:sz w:val="20"/>
          <w:szCs w:val="20"/>
          <w:color w:val="auto"/>
        </w:rPr>
      </w:pPr>
    </w:p>
    <w:p>
      <w:pPr>
        <w:ind w:left="640" w:right="120" w:hanging="186"/>
        <w:spacing w:after="0" w:line="25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Our Global Presence. </w:t>
      </w:r>
      <w:r>
        <w:rPr>
          <w:rFonts w:ascii="Times New Roman" w:cs="Times New Roman" w:eastAsia="Times New Roman" w:hAnsi="Times New Roman"/>
          <w:sz w:val="18"/>
          <w:szCs w:val="18"/>
          <w:color w:val="auto"/>
        </w:rPr>
        <w:t>We believe that maintaining production facilities in proximity to our major customers’ manufacturing operations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120" w:lineRule="exact"/>
        <w:rPr>
          <w:rFonts w:ascii="Times New Roman" w:cs="Times New Roman" w:eastAsia="Times New Roman" w:hAnsi="Times New Roman"/>
          <w:sz w:val="18"/>
          <w:szCs w:val="18"/>
          <w:color w:val="auto"/>
        </w:rPr>
      </w:pPr>
    </w:p>
    <w:p>
      <w:pPr>
        <w:ind w:left="640" w:hanging="186"/>
        <w:spacing w:after="0" w:line="259"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Our Bearing Component Product Offerings. </w:t>
      </w:r>
      <w:r>
        <w:rPr>
          <w:rFonts w:ascii="Times New Roman" w:cs="Times New Roman" w:eastAsia="Times New Roman" w:hAnsi="Times New Roman"/>
          <w:sz w:val="18"/>
          <w:szCs w:val="18"/>
          <w:color w:val="auto"/>
        </w:rPr>
        <w:t>We seek to build on existing customer relationships and our core manufacturing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competencies by diversifying into additional bearing component businesses. Our acquisitions have given us full-service design and production capabilities in bearing seals and plastic bearing retainers. These products serve the same global bearing customers as our core ball and roller products. As a result, we are able to provide, as a single independent company, a more diversified product offering to our global bearing customers.</w:t>
      </w:r>
    </w:p>
    <w:p>
      <w:pPr>
        <w:spacing w:after="0" w:line="119" w:lineRule="exact"/>
        <w:rPr>
          <w:rFonts w:ascii="Times New Roman" w:cs="Times New Roman" w:eastAsia="Times New Roman" w:hAnsi="Times New Roman"/>
          <w:sz w:val="18"/>
          <w:szCs w:val="18"/>
          <w:color w:val="auto"/>
        </w:rPr>
      </w:pPr>
    </w:p>
    <w:p>
      <w:pPr>
        <w:ind w:left="640" w:right="40" w:hanging="186"/>
        <w:spacing w:after="0" w:line="302" w:lineRule="auto"/>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Continuing to Pursue Strategic Acquisitions and Alliances. </w:t>
      </w:r>
      <w:r>
        <w:rPr>
          <w:rFonts w:ascii="Times New Roman" w:cs="Times New Roman" w:eastAsia="Times New Roman" w:hAnsi="Times New Roman"/>
          <w:sz w:val="16"/>
          <w:szCs w:val="16"/>
          <w:color w:val="auto"/>
        </w:rPr>
        <w:t>Because much of the world’s bearing production capacity is located outside of the U.S.,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58" w:lineRule="exact"/>
        <w:rPr>
          <w:sz w:val="20"/>
          <w:szCs w:val="20"/>
          <w:color w:val="auto"/>
        </w:rPr>
      </w:pPr>
    </w:p>
    <w:p>
      <w:pPr>
        <w:ind w:right="60" w:firstLine="456"/>
        <w:spacing w:after="0" w:line="243" w:lineRule="auto"/>
        <w:rPr>
          <w:sz w:val="20"/>
          <w:szCs w:val="20"/>
          <w:color w:val="auto"/>
        </w:rPr>
      </w:pPr>
      <w:r>
        <w:rPr>
          <w:rFonts w:ascii="Times New Roman" w:cs="Times New Roman" w:eastAsia="Times New Roman" w:hAnsi="Times New Roman"/>
          <w:sz w:val="18"/>
          <w:szCs w:val="18"/>
          <w:i w:val="1"/>
          <w:iCs w:val="1"/>
          <w:color w:val="auto"/>
        </w:rPr>
        <w:t>Precision Steel Balls</w:t>
      </w:r>
      <w:r>
        <w:rPr>
          <w:rFonts w:ascii="Times New Roman" w:cs="Times New Roman" w:eastAsia="Times New Roman" w:hAnsi="Times New Roman"/>
          <w:sz w:val="18"/>
          <w:szCs w:val="18"/>
          <w:color w:val="auto"/>
        </w:rPr>
        <w:t>. We offer high quality, precision steel balls ranging in diameter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inch to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inches. We produce and sell balls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w:t>
      </w:r>
    </w:p>
    <w:p>
      <w:pPr>
        <w:spacing w:after="0" w:line="135" w:lineRule="exact"/>
        <w:rPr>
          <w:sz w:val="20"/>
          <w:szCs w:val="20"/>
          <w:color w:val="auto"/>
        </w:rPr>
      </w:pPr>
    </w:p>
    <w:p>
      <w:pPr>
        <w:ind w:right="3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Steel Rollers</w:t>
      </w:r>
      <w:r>
        <w:rPr>
          <w:rFonts w:ascii="Times New Roman" w:cs="Times New Roman" w:eastAsia="Times New Roman" w:hAnsi="Times New Roman"/>
          <w:sz w:val="18"/>
          <w:szCs w:val="18"/>
          <w:color w:val="auto"/>
        </w:rPr>
        <w:t>. We manufacture rollers in a wide variety of sizes, ranging from grade 50 to grade 1000, that are the primary components of anti-friction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bearings that are subjected to heavy load conditions. Our roller products are used primarily for applications similar to those of our ball product lines, plus hydraulic pumps and motors.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Bearing Seals and Retainers</w:t>
      </w:r>
      <w:r>
        <w:rPr>
          <w:rFonts w:ascii="Times New Roman" w:cs="Times New Roman" w:eastAsia="Times New Roman" w:hAnsi="Times New Roman"/>
          <w:sz w:val="18"/>
          <w:szCs w:val="18"/>
          <w:color w:val="auto"/>
        </w:rPr>
        <w:t>. We manufacture and sell a wide range of precision bearing seals produced through a variety of compression and injection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molding processes and adhesion technologies to create rubber-to-metal bonded bearing seals. The seals are used in applications for automotive, industrial, agricultural, mining and aerospace markets. We also manufacture and sell high precision plastic retainers for ball and roller bearings used in a wide variety of industrial applications. Retainers are used to separate and space balls or rollers within a fully assembled bearing.</w:t>
      </w:r>
    </w:p>
    <w:p>
      <w:pPr>
        <w:spacing w:after="0" w:line="119" w:lineRule="exact"/>
        <w:rPr>
          <w:sz w:val="20"/>
          <w:szCs w:val="20"/>
          <w:color w:val="auto"/>
        </w:rPr>
      </w:pPr>
    </w:p>
    <w:p>
      <w:pPr>
        <w:ind w:right="7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Precision Plastic Components</w:t>
      </w:r>
      <w:r>
        <w:rPr>
          <w:rFonts w:ascii="Times New Roman" w:cs="Times New Roman" w:eastAsia="Times New Roman" w:hAnsi="Times New Roman"/>
          <w:sz w:val="18"/>
          <w:szCs w:val="18"/>
          <w:color w:val="auto"/>
        </w:rPr>
        <w:t>. We also manufacture and sell a wide range of specialized plastic products including automotive under-the-hood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electronic instrument cases and precision electronic connectors and lenses, as well as a variety of other specialized parts.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73% of our revenue. These top 10 customers include SKF, INA/FAG, Torrington, GKN, SNR, Koyo, NTN, Timken, Delphi, and NSK. In 2001, 40% of our products was sold to customers in North America, 50% to customers in Europe, and the remaining 10% to customers located throughout the rest of the world, primarily Asia. As seen in the chart below, our top two customers constituted approximately 54% of sales in 2001, demonstrating our long-term, strategic relationships with these key customers. Historically, we have increased our supply to SKF and INA/FAG on an annual basis and we have almost tripled our sales to these two companies since 1999. These gains are directly attributed to the success of Euroball and our efforts to develop a closer partnering relationship with our global bearing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371475</wp:posOffset>
            </wp:positionV>
            <wp:extent cx="2135505" cy="257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355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Certain customers have contracted to purchase all of their bearing component requirements from us, although they are not obligated to purchase any specific amounts. While firm orders are generally received on a monthly basis, we are normally aware of future order levels well in advance of the placement of a firm order. For our domestic ball and roller operations, we maintain a computerized, bar coded inventory management system with most of our major customers that enables us to determine on a day-to-day basis the amount of these components remaining in a customer’s inventory. When such inventories fall below certain levels, we automatically ship additional product.</w:t>
      </w:r>
    </w:p>
    <w:p>
      <w:pPr>
        <w:spacing w:after="0" w:line="1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Euroball has entered into six-year supply agreements with SKF and INA/FAG providing for the purchase of Euroball products in amounts and at prices that are subject to adjustment on an annual basis. The agreements contain provisions obligating Euroball to maintain specified quality standards and comply with various ordering and delivery procedures, as well as other customary provisions. SKF may terminate its agreement if, among other things, Euroball acquires or becomes acquired by a competitor. INA/FAG may terminate its agreement if , among other things, Euroball assigns its rights under the agreement, whether voluntarily or by operation of law.</w:t>
      </w:r>
    </w:p>
    <w:p>
      <w:pPr>
        <w:spacing w:after="0" w:line="12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shown in the chart below, the addition of the retainer and seal product lines have further enhanced many of our key customer relationships, making us a more complete and integrated supplier of bearing component parts.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3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23"/>
                <w:szCs w:val="23"/>
                <w:color w:val="auto"/>
              </w:rPr>
            </w:pPr>
          </w:p>
        </w:tc>
        <w:tc>
          <w:tcPr>
            <w:tcW w:w="15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20" w:type="dxa"/>
            <w:vAlign w:val="bottom"/>
          </w:tcPr>
          <w:p>
            <w:pPr>
              <w:spacing w:after="0"/>
              <w:rPr>
                <w:sz w:val="23"/>
                <w:szCs w:val="23"/>
                <w:color w:val="auto"/>
              </w:rPr>
            </w:pPr>
          </w:p>
        </w:tc>
        <w:tc>
          <w:tcPr>
            <w:tcW w:w="404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Balls &amp; Rollers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Seals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Retainers</w:t>
            </w:r>
          </w:p>
        </w:tc>
        <w:tc>
          <w:tcPr>
            <w:tcW w:w="0" w:type="dxa"/>
            <w:vAlign w:val="bottom"/>
          </w:tcPr>
          <w:p>
            <w:pPr>
              <w:spacing w:after="0"/>
              <w:rPr>
                <w:sz w:val="1"/>
                <w:szCs w:val="1"/>
                <w:color w:val="auto"/>
              </w:rPr>
            </w:pPr>
          </w:p>
        </w:tc>
      </w:tr>
      <w:tr>
        <w:trPr>
          <w:trHeight w:val="105"/>
        </w:trPr>
        <w:tc>
          <w:tcPr>
            <w:tcW w:w="1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SKF</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INA/FAG</w:t>
            </w:r>
          </w:p>
        </w:tc>
        <w:tc>
          <w:tcPr>
            <w:tcW w:w="3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Torrington</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NTN</w:t>
            </w:r>
          </w:p>
        </w:tc>
        <w:tc>
          <w:tcPr>
            <w:tcW w:w="3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SNR</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3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Timken</w:t>
            </w:r>
          </w:p>
        </w:tc>
        <w:tc>
          <w:tcPr>
            <w:tcW w:w="3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Delphi</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component supplier</w:t>
            </w:r>
          </w:p>
        </w:tc>
        <w:tc>
          <w:tcPr>
            <w:tcW w:w="240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Koyo</w:t>
            </w:r>
          </w:p>
        </w:tc>
        <w:tc>
          <w:tcPr>
            <w:tcW w:w="3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component supplier</w:t>
            </w:r>
          </w:p>
        </w:tc>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NSK</w:t>
            </w:r>
          </w:p>
        </w:tc>
        <w:tc>
          <w:tcPr>
            <w:tcW w:w="3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bearing manufacturer</w:t>
            </w:r>
          </w:p>
        </w:tc>
        <w:tc>
          <w:tcPr>
            <w:tcW w:w="24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-1709420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-1709420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-1460500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-1460500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-1460500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-1460500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-1460500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-1460500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-1460500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-1460500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-1460500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-1460500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0"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A primary emphasis of our marketing strategy is to expand key customer relationships by offering them the value of a single supply chain partner for a wide variety of components. As a result, we have integrated our sales organization on a global basis across all of our product lines. Our sales organization includes seven direct sales and 12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25"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Process</w:t>
      </w:r>
    </w:p>
    <w:p>
      <w:pPr>
        <w:spacing w:after="0" w:line="16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have become a leading independent bearing component manufacturer through exceptional service and high quality manufacturing processes. We are recognized throughout the industry as a low-cost producer. For example, with balls, we have the ability to design and build our own production machinery at a lower overall cost than the equivalent machines in the commercial marketplace. In addition to the significant capital cost savings associated with our proprietary machine design, a more significant benefit is the reduced manufacturing time needed to produce our high precision balls and rollers. Because our ball and roller manufacturing processes incorporate the use of standardized tooling, load sizes, and process technology, we are able to produce large volumes of products while maintaining high quality standards.</w:t>
      </w:r>
    </w:p>
    <w:p>
      <w:pPr>
        <w:spacing w:after="0" w:line="12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key to our low-cost, high quality production of seals and retainers is the incorporation of customized engineering into our manufacturing processes. We employ 20 skilled engineers who design and customize the tooling necessary to meet the needs of each customer’s product. This design process includes the testing and quality assessment of each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6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primary raw material used in our ball and roller business is 52100 chrome steel in rod and wire form, and in 2001 it accounted for approximately 97% of the steel we use. The 52100 chrome steel balls have a high degree of hardness, provide excellent resistance to wear and deformation and are used primarily by manufacturers of anti-friction ball bearings where precise spherical and tolerance accuracies are required. Our other steel requirements include type 440C stainless steel and type S2 rock bit steel.</w:t>
      </w:r>
    </w:p>
    <w:p>
      <w:pPr>
        <w:spacing w:after="0" w:line="123"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purchase substantially all of our 52100 chrome steel requirements from foreign sources in Europe and Japan. Because the vast majority of the 52100 chrome steel we use has been exempted from recent U.S. tariffs on imported steel, we have not been materially affected by import regulations. We allocate steel purchases among suppliers on the basis of price and, more significantly, composition and quality. The pricing arrangements with our suppliers are typically subject to adjustment once every six months. In general, we do not enter into written supply agreements with suppliers or commit to maintain minimum monthly purchases of steel.</w:t>
      </w:r>
    </w:p>
    <w:p>
      <w:pPr>
        <w:spacing w:after="0" w:line="12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We have established a supply alliance with The Torrington Company, a subsidiary of Ingersoll-Rand, to leverage our combined supply requirements. The purchasing entity is empowered to negotiate and execute supply agreements for both companies. Because we both use similar raw materials from many common sources, we believe the potential synergies in raw material procurement will be of significant value.</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primary raw materials used in our plastic products are engineered resins. We purchase substantially all of our resin requirements from domestic manufacturers and the majority of these suppliers are international companies with resin manufacturing facilities located throughout the world. Our seal operation uses a variety of rubber molds and metal stampings that we purchase from four main suppliers with which we have had long-term relationships.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0"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The global market for bearing components is highly competitive, with the majority of production represented by the captive production operations of certain large bearing manufacturers and the balance represented by independent manufacturers. All of the captive manufacturers, and many independent manufacturers, are significantly larger than we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25"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Our primary foreign competitors include Amatsuji Steel Ball Manufacturing Company, Ltd. (“AKS”) and Tsubaki Nakashima Company, Ltd. (“Tsubaki”), and our main domestic competitor is Hoover Precision Products, Inc., a wholly-owned subsidiary of Tsubaki. While AKS and Tsubaki control a majority of the market share in Asia, and Tsubaki, through its Hoover subsidiary, has comparable share to ours in the Americas, neither has significant market share in Europe. We compete effectively through our precision manufacturing capabilities, reputation for consistent quality and reliability, and high employee productivity.</w:t>
      </w:r>
    </w:p>
    <w:p>
      <w:pPr>
        <w:spacing w:after="0" w:line="9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Seal and retainer manufacturers compete on price, custom quality, tool engineering capabilities, and lead-time. Our primary competitor in the bearing retainer segment is Nakanishi Manufacturing Corporation. Nypro, Inc. and Key Plastics are our main competitors in the automotive segment. We believe we compete effectively through our product development capabilities, tool design and fabrication, precision molding processes, and reputation in the marketplace as a quality producer of technically difficult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operate a total of eight facilities in North America and Europe, and our corporate headquarters is located in Johnson City, Tennessee. Our ball and roller facilities consist of over 180,000 square feet in two Tennessee plants and 630,000 square feet in three European plants. Our plastic and rubber bearing components and other products are produced in three plants in Connecticut, Texas and Mexico that total almost 300,000 square feet.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As of March 31, 2002, we employed a total of 1,354 full-time employees. Our U.S. ball and roller operations employed 234 workers, Euroball employed 678 workers, our other product operations employed 437 workers, and there were five employees at the Company’s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and Pinerolo, Italy plants are unionized and we have never experienced any involuntary work stoppage. We consider our relations with our employees to be excellent.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members of each class serving three-year terms. The following table sets forth information as of the date of this prospectus concerning our directors.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Age</w:t>
            </w:r>
          </w:p>
        </w:tc>
        <w:tc>
          <w:tcPr>
            <w:tcW w:w="174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Term as Director Expires</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18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Roderick R. Baty</w:t>
            </w:r>
          </w:p>
        </w:tc>
        <w:tc>
          <w:tcPr>
            <w:tcW w:w="220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w:t>
            </w:r>
          </w:p>
        </w:tc>
        <w:tc>
          <w:tcPr>
            <w:tcW w:w="4120" w:type="dxa"/>
            <w:vAlign w:val="bottom"/>
            <w:gridSpan w:val="3"/>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Chairman, Chief Executive Officer,</w:t>
            </w:r>
          </w:p>
        </w:tc>
        <w:tc>
          <w:tcPr>
            <w:tcW w:w="14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and Director</w:t>
            </w: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D. Ennen(1)</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 Huff(1)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Earsley</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Ronald Morris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118"/>
        </w:trPr>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-1266190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-1266190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-1266190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-1266190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-1266190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-1266190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-1266190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-1266190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Ennen and Mr. Huff are also selling stockholders.</w:t>
      </w:r>
    </w:p>
    <w:p>
      <w:pPr>
        <w:spacing w:after="0" w:line="154"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Roderick R. Baty </w:t>
      </w:r>
      <w:r>
        <w:rPr>
          <w:rFonts w:ascii="Times New Roman" w:cs="Times New Roman" w:eastAsia="Times New Roman" w:hAnsi="Times New Roman"/>
          <w:sz w:val="18"/>
          <w:szCs w:val="18"/>
          <w:color w:val="auto"/>
        </w:rPr>
        <w:t>has served as President and Chief Executive Officer since July 1997 and was elected Chairman of the Board in September 2001.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the Company in July 1995 as Vice President and Chief Financial Officer, and was elected to the Board of Directors in 1995. Prior to joining the Company, Mr. Baty served as President and Chief Operating Officer of Hoover Precision Products, Inc. from 1990 until January 1995, and as Vice President and General Manager of Hoover Precision Products, Inc. from 1985 to 1990.</w:t>
      </w:r>
    </w:p>
    <w:p>
      <w:pPr>
        <w:spacing w:after="0" w:line="116"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D. Ennen </w:t>
      </w:r>
      <w:r>
        <w:rPr>
          <w:rFonts w:ascii="Times New Roman" w:cs="Times New Roman" w:eastAsia="Times New Roman" w:hAnsi="Times New Roman"/>
          <w:sz w:val="18"/>
          <w:szCs w:val="18"/>
          <w:color w:val="auto"/>
        </w:rPr>
        <w:t>is the principal founder of the Company and has been a director of the Company since its formation in 1980. He served as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from its inception until September 2001, Chief Executive Officer from the Company’s inception until 1997, and as President from the Company’s inception until 1990.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21" w:lineRule="exact"/>
        <w:rPr>
          <w:sz w:val="20"/>
          <w:szCs w:val="20"/>
          <w:color w:val="auto"/>
        </w:rPr>
      </w:pPr>
    </w:p>
    <w:p>
      <w:pPr>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D. Huff </w:t>
      </w:r>
      <w:r>
        <w:rPr>
          <w:rFonts w:ascii="Times New Roman" w:cs="Times New Roman" w:eastAsia="Times New Roman" w:hAnsi="Times New Roman"/>
          <w:sz w:val="18"/>
          <w:szCs w:val="18"/>
          <w:color w:val="auto"/>
        </w:rPr>
        <w:t>has served as a director of the Company since its formation in 1980. From 1980 until his retirement in January 1995, Mr. Huff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16"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E. Werner </w:t>
      </w:r>
      <w:r>
        <w:rPr>
          <w:rFonts w:ascii="Times New Roman" w:cs="Times New Roman" w:eastAsia="Times New Roman" w:hAnsi="Times New Roman"/>
          <w:sz w:val="16"/>
          <w:szCs w:val="16"/>
          <w:color w:val="auto"/>
        </w:rPr>
        <w:t>is a management consultant with Werner Associates, a management consulting firm that Mr. Werner co-founded in 1982 specializing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manufacturing companies. Prior to forming Werner Associates, Mr. Werner served as Director of Strategic Planning and Business Development for the Uniroyal Chemical Company. He also has held positions with the New York Central Company, Western Electric Company and the Continental Group.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James L. Earsley </w:t>
      </w:r>
      <w:r>
        <w:rPr>
          <w:rFonts w:ascii="Times New Roman" w:cs="Times New Roman" w:eastAsia="Times New Roman" w:hAnsi="Times New Roman"/>
          <w:sz w:val="18"/>
          <w:szCs w:val="18"/>
          <w:color w:val="auto"/>
        </w:rPr>
        <w:t>spent his entire career with, and is the retired chairman of IMC, which was acquired by the Company in July 1999.</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 Ronald Morris </w:t>
      </w:r>
      <w:r>
        <w:rPr>
          <w:rFonts w:ascii="Times New Roman" w:cs="Times New Roman" w:eastAsia="Times New Roman" w:hAnsi="Times New Roman"/>
          <w:sz w:val="18"/>
          <w:szCs w:val="18"/>
          <w:color w:val="auto"/>
        </w:rPr>
        <w:t>retired in 1999 from Western Industries, Inc., a contract manufacturer of metal and plastic products. Mr. Morris had served as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2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T. Warshaw </w:t>
      </w:r>
      <w:r>
        <w:rPr>
          <w:rFonts w:ascii="Times New Roman" w:cs="Times New Roman" w:eastAsia="Times New Roman" w:hAnsi="Times New Roman"/>
          <w:sz w:val="18"/>
          <w:szCs w:val="18"/>
          <w:color w:val="auto"/>
        </w:rPr>
        <w:t>served as President of Hexcel Schwebel, a global producer of advanced structural materials, from April 2000 to November 2001.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this position, he served from February 1999 as Senior Vice President of Photronics, Inc., a global supplier to the semiconductor industry. From 1996 to 1999, Mr. Warshaw served as President of Olin Microelectronic Materials, a company supplying technologically advanced chemicals, products, and services to semiconductor manufacturers. Mr. Warshaw served in a variety of positions at Olin since 1974, including President of OCG Microelectronic Materials and Vice President of Olin’s Chemicals Division.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as of the date of this prospectus concerning certain of our key management personnel.</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Age</w:t>
            </w:r>
          </w:p>
        </w:tc>
        <w:tc>
          <w:tcPr>
            <w:tcW w:w="2580" w:type="dxa"/>
            <w:vAlign w:val="bottom"/>
          </w:tcPr>
          <w:p>
            <w:pPr>
              <w:spacing w:after="0"/>
              <w:rPr>
                <w:sz w:val="15"/>
                <w:szCs w:val="15"/>
                <w:color w:val="auto"/>
              </w:rPr>
            </w:pP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R. Baty</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T. Gentry, III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Vice President—Manufacturing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Sams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Vice President—Market Services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 L. Dyckman</w:t>
            </w:r>
          </w:p>
        </w:tc>
        <w:tc>
          <w:tcPr>
            <w:tcW w:w="2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37</w:t>
            </w:r>
          </w:p>
        </w:tc>
        <w:tc>
          <w:tcPr>
            <w:tcW w:w="5520" w:type="dxa"/>
            <w:vAlign w:val="bottom"/>
            <w:gridSpan w:val="3"/>
          </w:tcPr>
          <w:p>
            <w:pPr>
              <w:ind w:left="280"/>
              <w:spacing w:after="0" w:line="201" w:lineRule="exact"/>
              <w:rPr>
                <w:sz w:val="20"/>
                <w:szCs w:val="20"/>
                <w:color w:val="auto"/>
              </w:rPr>
            </w:pPr>
            <w:r>
              <w:rPr>
                <w:rFonts w:ascii="Times New Roman" w:cs="Times New Roman" w:eastAsia="Times New Roman" w:hAnsi="Times New Roman"/>
                <w:sz w:val="18"/>
                <w:szCs w:val="18"/>
                <w:color w:val="auto"/>
              </w:rPr>
              <w:t>Vice President—Corporate Development and Chief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Kelly, Jr.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Treasurer, Secretary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Calvin Leach</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Vice President and General Manager—IMC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N. Fortier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Vice President and General Manager—Delta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Dario Galetti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Managing Director—Euroball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B. Emerick</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Vice President and General Manager—NN Arté</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-1452880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-1452880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-1452880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-1452880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-1452880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-1452880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0"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T. Gentry, III </w:t>
      </w:r>
      <w:r>
        <w:rPr>
          <w:rFonts w:ascii="Times New Roman" w:cs="Times New Roman" w:eastAsia="Times New Roman" w:hAnsi="Times New Roman"/>
          <w:sz w:val="18"/>
          <w:szCs w:val="18"/>
          <w:color w:val="auto"/>
        </w:rPr>
        <w:t>was appointed Vice President—Manufacturing in August 1995. He is responsible for the global operations of our Ball and Roller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Euroball segments. Mr. Gentry’s responsibilities include purchasing, inventory control and transportation. Mr. Gentry joined the Company in 1981, and held various production control positions within the Company from 1981 to August 1995.</w:t>
      </w:r>
    </w:p>
    <w:p>
      <w:pPr>
        <w:spacing w:after="0" w:line="111"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R. Sams </w:t>
      </w:r>
      <w:r>
        <w:rPr>
          <w:rFonts w:ascii="Times New Roman" w:cs="Times New Roman" w:eastAsia="Times New Roman" w:hAnsi="Times New Roman"/>
          <w:sz w:val="18"/>
          <w:szCs w:val="18"/>
          <w:color w:val="auto"/>
        </w:rPr>
        <w:t>has served as Vice President—Market Services since 1999. He joined the Company in 1996 as Plant Manager of the Mountain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Tennessee facility, and in 1997, became Managing Director of our Kilkenny, Ireland facility. Prior to joining the Company, Mr. Sams held various positions with Hoover Precision Products, Inc. from 1980 to 1994 and was Vice President of Production for Blum, Inc. from 1994 to 1996.</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455" w:right="3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L. Dyckman </w:t>
      </w:r>
      <w:r>
        <w:rPr>
          <w:rFonts w:ascii="Times New Roman" w:cs="Times New Roman" w:eastAsia="Times New Roman" w:hAnsi="Times New Roman"/>
          <w:sz w:val="18"/>
          <w:szCs w:val="18"/>
          <w:color w:val="auto"/>
        </w:rPr>
        <w:t>was appointed Vice President—Corporate Development and Chief Financial Officer in April 1998. Prior to joining the Company,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16" w:lineRule="exact"/>
        <w:rPr>
          <w:sz w:val="20"/>
          <w:szCs w:val="20"/>
          <w:color w:val="auto"/>
        </w:rPr>
      </w:pPr>
    </w:p>
    <w:p>
      <w:pPr>
        <w:jc w:val="both"/>
        <w:ind w:right="1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C. Kelly, Jr. </w:t>
      </w:r>
      <w:r>
        <w:rPr>
          <w:rFonts w:ascii="Times New Roman" w:cs="Times New Roman" w:eastAsia="Times New Roman" w:hAnsi="Times New Roman"/>
          <w:sz w:val="18"/>
          <w:szCs w:val="18"/>
          <w:color w:val="auto"/>
        </w:rPr>
        <w:t>has served as Treasurer since 1995 and as the Company’s Chief Accounting Officer since 1994. Prior to that, he was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Assistant Treasurer and Manager of Investor Relations. Prior to joining the Company, Mr. Kelly served from 1988 to 1993 as a Staff Accountant and as a Senior Auditor with the accounting firm of PricewaterhouseCoopers LLP.</w:t>
      </w:r>
    </w:p>
    <w:p>
      <w:pPr>
        <w:spacing w:after="0" w:line="111"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Calvin Leach </w:t>
      </w:r>
      <w:r>
        <w:rPr>
          <w:rFonts w:ascii="Times New Roman" w:cs="Times New Roman" w:eastAsia="Times New Roman" w:hAnsi="Times New Roman"/>
          <w:sz w:val="18"/>
          <w:szCs w:val="18"/>
          <w:color w:val="auto"/>
        </w:rPr>
        <w:t>was named Vice President and General Manager—IMC in January of 2002. Prior to being named Vice President and General Manager,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1989 to 2002 Mr. Leach held increasingly responsible positions in materials, manufacturing, and operations management at IMC.</w:t>
      </w:r>
    </w:p>
    <w:p>
      <w:pPr>
        <w:spacing w:after="0" w:line="98" w:lineRule="exact"/>
        <w:rPr>
          <w:sz w:val="20"/>
          <w:szCs w:val="20"/>
          <w:color w:val="auto"/>
        </w:rPr>
      </w:pPr>
    </w:p>
    <w:p>
      <w:pPr>
        <w:ind w:right="1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N. Fortier </w:t>
      </w:r>
      <w:r>
        <w:rPr>
          <w:rFonts w:ascii="Times New Roman" w:cs="Times New Roman" w:eastAsia="Times New Roman" w:hAnsi="Times New Roman"/>
          <w:sz w:val="18"/>
          <w:szCs w:val="18"/>
          <w:color w:val="auto"/>
        </w:rPr>
        <w:t>was appointed Vice President and General Manager—Delta in May 2001 shortly after the Company’s acquisition of Delta in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2001. Prior to joining the Company, from 1988 to 2001, Mr. Fortier held a variety of quality, manufacturing, marketing, and general management positions with Siemens AG in its precision materials and general lighting divisions.</w:t>
      </w:r>
    </w:p>
    <w:p>
      <w:pPr>
        <w:spacing w:after="0" w:line="11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Dario Galetti </w:t>
      </w:r>
      <w:r>
        <w:rPr>
          <w:rFonts w:ascii="Times New Roman" w:cs="Times New Roman" w:eastAsia="Times New Roman" w:hAnsi="Times New Roman"/>
          <w:sz w:val="18"/>
          <w:szCs w:val="18"/>
          <w:color w:val="auto"/>
        </w:rPr>
        <w:t>was named Managing Director—Euroball in August 2000. From 1993 to 2000, he served as the Factory Manager Director of SKF’s Pinerolo,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Italy ball facility. From 1990 to 1993 he was Factory Manager of the SKF Bari Bearing Factory.</w:t>
      </w:r>
    </w:p>
    <w:p>
      <w:pPr>
        <w:spacing w:after="0" w:line="98"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B. Emerick </w:t>
      </w:r>
      <w:r>
        <w:rPr>
          <w:rFonts w:ascii="Times New Roman" w:cs="Times New Roman" w:eastAsia="Times New Roman" w:hAnsi="Times New Roman"/>
          <w:sz w:val="18"/>
          <w:szCs w:val="18"/>
          <w:color w:val="auto"/>
        </w:rPr>
        <w:t>was named Vice President and General Manager—NN Arté in September 2000. From 1984 to 1988, Mr. Emerick served in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management positions with B.F. Goodrich. He held the position of Plant Manager for Oiles Bearing from 1990 to 2000. Mr. Emerick has more than 25 years of cumulative experience in the plastics, metal forming and bearing industries.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May 30,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Shares Beneficially Owned Prior to</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Shares Beneficially Owned After Offering</w:t>
            </w: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30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12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Offered(1)</w:t>
            </w:r>
          </w:p>
        </w:tc>
        <w:tc>
          <w:tcPr>
            <w:tcW w:w="30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Ennen(2)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2,788,868</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2,524,470</w:t>
            </w:r>
          </w:p>
        </w:tc>
        <w:tc>
          <w:tcPr>
            <w:tcW w:w="1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264,398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Huff(3)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427,227(4)</w:t>
            </w: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374,790</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52,437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L. Edmisten(5)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416,386(6)</w:t>
            </w:r>
          </w:p>
        </w:tc>
        <w:tc>
          <w:tcPr>
            <w:tcW w:w="1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365,430</w:t>
            </w:r>
          </w:p>
        </w:tc>
        <w:tc>
          <w:tcPr>
            <w:tcW w:w="1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Bowman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300,085</w:t>
            </w:r>
          </w:p>
        </w:tc>
        <w:tc>
          <w:tcPr>
            <w:tcW w:w="220" w:type="dxa"/>
            <w:vAlign w:val="bottom"/>
          </w:tcPr>
          <w:p>
            <w:pPr>
              <w:spacing w:after="0"/>
              <w:rPr>
                <w:sz w:val="18"/>
                <w:szCs w:val="18"/>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226,200</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73,885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M. Huff</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203,580</w:t>
            </w:r>
          </w:p>
        </w:tc>
        <w:tc>
          <w:tcPr>
            <w:tcW w:w="1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Monica C. Ennen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129,900</w:t>
            </w:r>
          </w:p>
        </w:tc>
        <w:tc>
          <w:tcPr>
            <w:tcW w:w="220" w:type="dxa"/>
            <w:vAlign w:val="bottom"/>
          </w:tcPr>
          <w:p>
            <w:pPr>
              <w:spacing w:after="0"/>
              <w:rPr>
                <w:sz w:val="18"/>
                <w:szCs w:val="18"/>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117,780</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E. Bagierek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96,869</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87,750</w:t>
            </w:r>
          </w:p>
        </w:tc>
        <w:tc>
          <w:tcPr>
            <w:tcW w:w="1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8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-1377950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-1377950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-1129030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-1129030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-1377950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-1377950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-1129030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-1129030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-1129030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-1129030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-1129030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-1129030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-1129030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460" w:hanging="408"/>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less than one percent.</w:t>
      </w:r>
    </w:p>
    <w:p>
      <w:pPr>
        <w:spacing w:after="0" w:line="21" w:lineRule="exact"/>
        <w:rPr>
          <w:sz w:val="20"/>
          <w:szCs w:val="20"/>
          <w:color w:val="auto"/>
        </w:rPr>
      </w:pPr>
    </w:p>
    <w:p>
      <w:pPr>
        <w:ind w:left="460" w:right="14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underwriters exercise their over-allotment option in full, Mr. Ennen will sell an additional 264,398 shares, Mr. Huff will sell an additional 39,437 shares, Mr. Edmisten will sell an additional 50,956 shares, Mr. Bowman will sell an additional 23,800 shares, Ms. Huff will sell an additional 21,420 shares, Ms. Ennen will sell an additional 12,120 shares, and Ms. Bagierek will sell an additional 9,119 shares. The Company will pay the SEC registration fee related to the shares of the selling stockholders.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Ennen currently sits on the Company’s Board of Directors and has since the Company’s formation in 1980. He was Chairman of the Board from the formation of the Company until September 2001.</w:t>
      </w: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Huff currently sits on the Company’s Board of Directors and has since the Company’s formation in 1980.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 shares subject to presently exercisable options. Excludes 10,000 shares subject to options that are not currently exercisable.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Edmisten has been employed by the Company as a technical advisor since resigning as an officer of the Company in 1999.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12,633 shares subject to presently exercisable options. Excludes 3,667 shares subject to options that are not currently exercisable.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160"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Our authorized capital stock consists of 45 million shares of common stock and 5 million shares of undesignated preferred stock, $.01 par value per share. As of June 3, 2002, there were 15,367,273 shares of common stock issued and outstanding. Upon completion of this offering, there will be 17,967,273 shares of common stock issued and outstanding, assuming no exercise of the underwriters’ over-allotment option. There are no shares of our preferred stock outstanding.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5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of common stock is entitled to one vote on all matters submitted to a vote of our stockholders, including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Holders of shares of our common stock have no cumulative voting rights. Therefore, the holders of a majority of the shares of common stock voted in an election of directors can elect all of the directors then standing for election, subject to any rights of the holders of any preferred stock that may be outstanding in the future. Directors are divided into three classes. Each year the terms of the members of a different class of directors expire and the directors for that class are elected to three-year terms.</w:t>
      </w:r>
    </w:p>
    <w:p>
      <w:pPr>
        <w:spacing w:after="0" w:line="121" w:lineRule="exact"/>
        <w:rPr>
          <w:sz w:val="20"/>
          <w:szCs w:val="20"/>
          <w:color w:val="auto"/>
        </w:rPr>
      </w:pPr>
    </w:p>
    <w:p>
      <w:pPr>
        <w:ind w:right="2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shares of common stock are entitled to receive dividends, if, as and when such dividends are declared by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 of assets legally available therefor, after payment of any dividends required to be paid on shares of preferred stock that may be outstanding in the future.</w:t>
      </w:r>
    </w:p>
    <w:p>
      <w:pPr>
        <w:spacing w:after="0" w:line="5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 up of the affairs of the corporation after payment of our debts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liabilities and making provision for the holders of preferred stock that may be outstanding in the future our remaining assets will be distributed among the holders of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0"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Our Board of Directors has authority to issue preferred stock in one or more series and to establish the rights and restrictions granted to or imposed on any unissued shares of preferred stock and to fix the number of shares constituting any series, without any further vote or action by our stockholders. Our Board of Directors has the authority, without approval of our stockholders, to issue preferred stock that has voting, dividend and conversion rights superior to our common stock, which could have the effect of deterring, delaying or preventing a change in control. We currently have no plans to issue any shares of preferred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SunTrust Bank, Atlanta, Georgia.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an underwriting agreement among the selling stockholders, us and McDonald Investments Inc. and Legg Mason Wood Walker, Incorporated, as representatives of the underwriters named in the agreement, we and the selling stockholders have agreed to sell to each underwriter, and each underwriter has severally agreed to purchase from the selling stockholders and us, the number of shares of common stock set forth opposite its name in the table below.</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Shares of</w:t>
            </w:r>
          </w:p>
        </w:tc>
      </w:tr>
      <w:tr>
        <w:trPr>
          <w:trHeight w:val="178"/>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r>
      <w:tr>
        <w:trPr>
          <w:trHeight w:val="105"/>
        </w:trPr>
        <w:tc>
          <w:tcPr>
            <w:tcW w:w="940" w:type="dxa"/>
            <w:vAlign w:val="bottom"/>
            <w:tcBorders>
              <w:bottom w:val="single" w:sz="8" w:color="auto"/>
            </w:tcBorders>
          </w:tcPr>
          <w:p>
            <w:pPr>
              <w:spacing w:after="0"/>
              <w:rPr>
                <w:sz w:val="9"/>
                <w:szCs w:val="9"/>
                <w:color w:val="auto"/>
              </w:rPr>
            </w:pPr>
          </w:p>
        </w:tc>
        <w:tc>
          <w:tcPr>
            <w:tcW w:w="710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McDonald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37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Legg Mason Wood Walker,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6985</wp:posOffset>
            </wp:positionV>
            <wp:extent cx="6157595" cy="946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195580</wp:posOffset>
            </wp:positionV>
            <wp:extent cx="6157595" cy="946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384175</wp:posOffset>
            </wp:positionV>
            <wp:extent cx="6157595" cy="946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572770</wp:posOffset>
            </wp:positionV>
            <wp:extent cx="6157595" cy="946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762000</wp:posOffset>
            </wp:positionV>
            <wp:extent cx="6157595" cy="946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950595</wp:posOffset>
            </wp:positionV>
            <wp:extent cx="6157595" cy="946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1139190</wp:posOffset>
            </wp:positionV>
            <wp:extent cx="6157595" cy="946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1327785</wp:posOffset>
            </wp:positionV>
            <wp:extent cx="6157595" cy="946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1516380</wp:posOffset>
            </wp:positionV>
            <wp:extent cx="6157595" cy="946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1704975</wp:posOffset>
            </wp:positionV>
            <wp:extent cx="6157595" cy="946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1893570</wp:posOffset>
            </wp:positionV>
            <wp:extent cx="6157595" cy="946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2082165</wp:posOffset>
            </wp:positionV>
            <wp:extent cx="6157595" cy="946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2337435</wp:posOffset>
            </wp:positionV>
            <wp:extent cx="1067435"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674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20" w:type="dxa"/>
            <w:vAlign w:val="bottom"/>
          </w:tcPr>
          <w:p>
            <w:pPr>
              <w:spacing w:after="0"/>
              <w:rPr>
                <w:sz w:val="18"/>
                <w:szCs w:val="18"/>
                <w:color w:val="auto"/>
              </w:rPr>
            </w:pPr>
          </w:p>
        </w:tc>
      </w:tr>
      <w:tr>
        <w:trPr>
          <w:trHeight w:val="105"/>
        </w:trPr>
        <w:tc>
          <w:tcPr>
            <w:tcW w:w="8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8020" w:type="dxa"/>
            <w:vAlign w:val="bottom"/>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Under the terms of the underwriting agreement, the underwriters are committed to purchase all of the shares of common stock if any are purchased. If an underwriter defaults, the underwriting agreement provides that the purchase commitments of the nondefaulting underwriters may be increased or the underwriting agreement may be terminated.</w:t>
      </w:r>
    </w:p>
    <w:p>
      <w:pPr>
        <w:spacing w:after="0" w:line="11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of 1933, as amended, or to contribute to payments the underwriters may be required to make in respect thereof.</w:t>
      </w:r>
    </w:p>
    <w:p>
      <w:pPr>
        <w:spacing w:after="0" w:line="106"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obligations to purchase the shares of common stock depend on the satisfaction of the conditions contained in the underwriting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The conditions contained in the underwriting agreement include the requirement that the representations and warranties made by us and the selling stockholders to the underwriters are true, that there is no material change in the financial markets and that we deliver to the underwriters customary closing documents.</w:t>
      </w:r>
    </w:p>
    <w:p>
      <w:pPr>
        <w:spacing w:after="0" w:line="6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underwriters propose to offer our shares of common stock directly to the public at $ per share and to certain dealers at such price less a concession not in excess of $ per share. The underwriters may allow, and such dealers may reallow, a concession not in excess of $ per share to certain dealers.</w:t>
      </w:r>
    </w:p>
    <w:p>
      <w:pPr>
        <w:spacing w:after="0" w:line="11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 we and the selling stockholders will pay to the underwriters. Such amounts are shown assuming both no exercise and full exercise of the underwriters’ option to purchase 975,000 additional shares of common stock.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Total Without Option</w:t>
            </w:r>
          </w:p>
        </w:tc>
        <w:tc>
          <w:tcPr>
            <w:tcW w:w="28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Total With Option</w:t>
            </w: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300" w:type="dxa"/>
            <w:vAlign w:val="bottom"/>
          </w:tcPr>
          <w:p>
            <w:pPr>
              <w:spacing w:after="0"/>
              <w:rPr>
                <w:sz w:val="15"/>
                <w:szCs w:val="15"/>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80" w:type="dxa"/>
            <w:vAlign w:val="bottom"/>
          </w:tcPr>
          <w:p>
            <w:pPr>
              <w:spacing w:after="0"/>
              <w:rPr>
                <w:sz w:val="15"/>
                <w:szCs w:val="15"/>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54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0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discount(1)</w:t>
            </w:r>
          </w:p>
        </w:tc>
        <w:tc>
          <w:tcPr>
            <w:tcW w:w="408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40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2220" w:type="dxa"/>
            <w:vAlign w:val="bottom"/>
          </w:tcPr>
          <w:p>
            <w:pPr>
              <w:spacing w:after="0"/>
              <w:rPr>
                <w:sz w:val="10"/>
                <w:szCs w:val="10"/>
                <w:color w:val="auto"/>
              </w:rPr>
            </w:pPr>
          </w:p>
        </w:tc>
        <w:tc>
          <w:tcPr>
            <w:tcW w:w="408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5"/>
              </w:rPr>
              <w:t>(1)</w:t>
            </w:r>
          </w:p>
        </w:tc>
        <w:tc>
          <w:tcPr>
            <w:tcW w:w="3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underwriting discount is   %, or $</w:t>
            </w:r>
          </w:p>
        </w:tc>
        <w:tc>
          <w:tcPr>
            <w:tcW w:w="4080" w:type="dxa"/>
            <w:vAlign w:val="bottom"/>
            <w:gridSpan w:val="2"/>
          </w:tcPr>
          <w:p>
            <w:pPr>
              <w:jc w:val="right"/>
              <w:ind w:right="3132"/>
              <w:spacing w:after="0"/>
              <w:rPr>
                <w:sz w:val="20"/>
                <w:szCs w:val="20"/>
                <w:color w:val="auto"/>
              </w:rPr>
            </w:pPr>
            <w:r>
              <w:rPr>
                <w:rFonts w:ascii="Times New Roman" w:cs="Times New Roman" w:eastAsia="Times New Roman" w:hAnsi="Times New Roman"/>
                <w:sz w:val="18"/>
                <w:szCs w:val="18"/>
                <w:color w:val="auto"/>
              </w:rPr>
              <w:t>per share.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-782955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-782955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-782955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-782955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-782955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-782955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-216535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incur expenses of approximately $500,000 in connection with this offering.</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and the selling stockholders have granted the underwriters an option to purchase up to 975,000 additional shares of common stock at the public offering price less the underwriting discount. The underwriters may exercise the option for 30 days from the date of this prospectus solely to cover any over-allotments.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12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Each of our officers and directors, and each of the selling stockholders, has agreed with the underwriters, for a period of 90 days after the date of this prospectus, subject to certain exceptions, not to sell any shares of common stock or any securities convertible into or exchangeable for shares of common stock owned by the holders, without the prior written consent of the underwriters. However, the underwriters may, in their sole discretion and at any time without notice, release all or any portion of the securities subject to these agreements.</w:t>
      </w:r>
    </w:p>
    <w:p>
      <w:pPr>
        <w:spacing w:after="0" w:line="12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Until the distribution of the shares of common stock is completed, Securities and Exchange Commission rules may limit the underwriters and selling group members from bidding for and purchasing our shares of common stock. However, the underwriters may engage in transactions that stabilize the price of the shares of common stock, such as bids or purchases to peg, fix or maintain that price.</w:t>
      </w:r>
    </w:p>
    <w:p>
      <w:pPr>
        <w:spacing w:after="0" w:line="11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If the underwriters create a short position in the shares of common stock in connection with the offering, i.e., if they sell more shares than are listed on the cover of this prospectus, the underwriters may reduce that short position by purchasing shares in the open market. The underwriters may also elect to reduce any short position by exercising all or part of the over-allotment option described above. Purchases of the shares of common stock to stabilize the price or to reduce a short position may cause the price of the shares of common stock to be higher than it might be in the absence of such purchases.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Neither we nor the underwriters makes any representation or prediction as to the effect the transactions described above may have on the price of the shares of common stock. These transactions may occur on the Nasdaq National Market or otherwise. If such transactions are commenced, they may be discontinued without notice at any time.</w:t>
      </w:r>
    </w:p>
    <w:p>
      <w:pPr>
        <w:spacing w:after="0" w:line="11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Royce &amp; Associates, LLC, an affiliate of Legg Mason Wood Walker, Incorporated, manages accounts that beneficially own 911,800 shares of our common stock as of June 4, 2002. In addition, 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Certain legal matters in connection with the common stock offered hereby will be passed upon for us by Blackwell Sanders Peper Martin LLP, Two Pershing Square, 2300 Main Street, Suite 1000, Kansas City, Missouri 64108. Certain legal matters in connection with this offering will be passed upon for the underwriters by Calfee, Halter &amp; Griswold LLP, 1400 McDonald Investment Center, 800 Superior Avenue, Cleveland, Ohio 44114.</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Our consolidated financial statements as of December 31, 2001 and 2000, and for each of the years in the two-year period ended December 31, 2001, have been included and incorporated by reference in this prospectus and the registration statement on Form S-3, and have been so included in reliance on the report of KPMG LLP, independent accountants included and incorporated by reference herein, and upon the authority of said firm as experts in accounting and auditing.</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audit report covering the December 31, 2001 financial statements refers to a change in the Company’s method of accounting for derivative investments and hedging activities.</w:t>
      </w:r>
    </w:p>
    <w:p>
      <w:pPr>
        <w:spacing w:after="0" w:line="118"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of these materials at the SEC’s Public Reference Room, 450 Fifth Street, N.W., Washington, D.C. 20549 and at the SEC’s regional offices in New York, New York and Chicago, Illinois. You may obtain information on the operation of the public reference rooms by calling the SEC at 1-800-SEC-0330. Our SEC filings, including the registration statement, will also be available to you on the SEC’s website. The address of this website is http://www.sec.gov.</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12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23" w:lineRule="exact"/>
        <w:rPr>
          <w:sz w:val="20"/>
          <w:szCs w:val="20"/>
          <w:color w:val="auto"/>
        </w:rPr>
      </w:pPr>
    </w:p>
    <w:p>
      <w:pPr>
        <w:ind w:left="640" w:hanging="18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2001, as amended by Form 10-K/A filed with the SEC on April 1, 2002;</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2002 filed with the SEC on May 10, 2002;</w:t>
      </w:r>
    </w:p>
    <w:p>
      <w:pPr>
        <w:spacing w:after="0" w:line="184"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the registration statement on Form 8-A filed with the SEC on February 28, 1994.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written or telephone request to:</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NN,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Johnson City, Tennessee 37604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(423) 743-9151</w:t>
      </w:r>
    </w:p>
    <w:p>
      <w:pPr>
        <w:spacing w:after="0" w:line="14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455" w:right="2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5340" w:type="dxa"/>
            <w:vAlign w:val="bottom"/>
            <w:gridSpan w:val="7"/>
            <w:vMerge w:val="restart"/>
          </w:tcPr>
          <w:p>
            <w:pPr>
              <w:spacing w:after="0"/>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Report of Independent Auditors for the years ended December 31, 2001 and</w:t>
              </w:r>
            </w:hyperlink>
          </w:p>
        </w:tc>
        <w:tc>
          <w:tcPr>
            <w:tcW w:w="5060" w:type="dxa"/>
            <w:vAlign w:val="bottom"/>
            <w:gridSpan w:val="8"/>
            <w:vMerge w:val="restart"/>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5340" w:type="dxa"/>
            <w:vAlign w:val="bottom"/>
            <w:tcBorders>
              <w:bottom w:val="single" w:sz="8" w:color="0000EE"/>
            </w:tcBorders>
            <w:gridSpan w:val="7"/>
            <w:vMerge w:val="continue"/>
          </w:tcPr>
          <w:p>
            <w:pPr>
              <w:spacing w:after="0"/>
              <w:rPr>
                <w:sz w:val="24"/>
                <w:szCs w:val="24"/>
                <w:color w:val="auto"/>
              </w:rPr>
            </w:pPr>
          </w:p>
        </w:tc>
        <w:tc>
          <w:tcPr>
            <w:tcW w:w="5060" w:type="dxa"/>
            <w:vAlign w:val="bottom"/>
            <w:gridSpan w:val="8"/>
            <w:vMerge w:val="continu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December 31, 2000</w:t>
              </w:r>
            </w:hyperlink>
          </w:p>
        </w:tc>
        <w:tc>
          <w:tcPr>
            <w:tcW w:w="882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Report of Independent Accountants for the year ended December 31, 1999</w:t>
              </w:r>
            </w:hyperlink>
          </w:p>
        </w:tc>
        <w:tc>
          <w:tcPr>
            <w:tcW w:w="5160" w:type="dxa"/>
            <w:vAlign w:val="bottom"/>
            <w:gridSpan w:val="9"/>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64"/>
        </w:trPr>
        <w:tc>
          <w:tcPr>
            <w:tcW w:w="4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Consolidated Balance Sheets at December 31, 2001 and 2000</w:t>
              </w:r>
            </w:hyperlink>
          </w:p>
        </w:tc>
        <w:tc>
          <w:tcPr>
            <w:tcW w:w="6080" w:type="dxa"/>
            <w:vAlign w:val="bottom"/>
            <w:gridSpan w:val="10"/>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64"/>
        </w:trPr>
        <w:tc>
          <w:tcPr>
            <w:tcW w:w="7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Consolidated Statements of Income and Comprehensive Income for the three years ended December 31, 2001</w:t>
              </w:r>
            </w:hyperlink>
          </w:p>
        </w:tc>
        <w:tc>
          <w:tcPr>
            <w:tcW w:w="2680" w:type="dxa"/>
            <w:vAlign w:val="bottom"/>
            <w:gridSpan w:val="3"/>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4"/>
        </w:trPr>
        <w:tc>
          <w:tcPr>
            <w:tcW w:w="10400" w:type="dxa"/>
            <w:vAlign w:val="bottom"/>
            <w:gridSpan w:val="1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Statements of Changes in Stockholders’ Equity for the three years ended December 31, 2001</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64"/>
        </w:trPr>
        <w:tc>
          <w:tcPr>
            <w:tcW w:w="60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Consolidated Statements of Cash Flows for the three years ended December 31, 2001</w:t>
              </w:r>
            </w:hyperlink>
          </w:p>
        </w:tc>
        <w:tc>
          <w:tcPr>
            <w:tcW w:w="1480" w:type="dxa"/>
            <w:vAlign w:val="bottom"/>
            <w:tcBorders>
              <w:top w:val="single" w:sz="8" w:color="0000EE"/>
            </w:tcBorders>
            <w:gridSpan w:val="2"/>
          </w:tcPr>
          <w:p>
            <w:pPr>
              <w:spacing w:after="0"/>
              <w:rPr>
                <w:sz w:val="22"/>
                <w:szCs w:val="22"/>
                <w:color w:val="auto"/>
              </w:rPr>
            </w:pPr>
          </w:p>
        </w:tc>
        <w:tc>
          <w:tcPr>
            <w:tcW w:w="2920" w:type="dxa"/>
            <w:vAlign w:val="bottom"/>
            <w:gridSpan w:val="4"/>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64"/>
        </w:trPr>
        <w:tc>
          <w:tcPr>
            <w:tcW w:w="10400" w:type="dxa"/>
            <w:vAlign w:val="bottom"/>
            <w:gridSpan w:val="1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Notes to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0" w:type="dxa"/>
            <w:vAlign w:val="bottom"/>
            <w:gridSpan w:val="1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Income and Comprehensive Income (Loss) for each of the three month periods ended March 31, 2002 and 2001</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F-30</w:t>
            </w:r>
          </w:p>
        </w:tc>
        <w:tc>
          <w:tcPr>
            <w:tcW w:w="0" w:type="dxa"/>
            <w:vAlign w:val="bottom"/>
          </w:tcPr>
          <w:p>
            <w:pPr>
              <w:spacing w:after="0"/>
              <w:rPr>
                <w:sz w:val="1"/>
                <w:szCs w:val="1"/>
                <w:color w:val="auto"/>
              </w:rPr>
            </w:pPr>
          </w:p>
        </w:tc>
      </w:tr>
      <w:tr>
        <w:trPr>
          <w:trHeight w:val="264"/>
        </w:trPr>
        <w:tc>
          <w:tcPr>
            <w:tcW w:w="61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Condensed Consolidated Balance Sheets as of March 31, 2002 and December 31, 2001</w:t>
              </w:r>
            </w:hyperlink>
          </w:p>
        </w:tc>
        <w:tc>
          <w:tcPr>
            <w:tcW w:w="3700" w:type="dxa"/>
            <w:vAlign w:val="bottom"/>
            <w:tcBorders>
              <w:top w:val="single" w:sz="8" w:color="0000EE"/>
            </w:tcBorders>
            <w:gridSpan w:val="4"/>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F-31</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Consolidated Statements of Changes in Stockholders’ Equity for the three month periods ended March 31, 2001 and 2002</w:t>
              </w:r>
            </w:hyperlink>
          </w:p>
        </w:tc>
        <w:tc>
          <w:tcPr>
            <w:tcW w:w="1840" w:type="dxa"/>
            <w:vAlign w:val="bottom"/>
            <w:gridSpan w:val="2"/>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F-32</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Consolidated Statements of Cash Flows for the three month periods ended March 31,</w:t>
              </w:r>
            </w:hyperlink>
          </w:p>
        </w:tc>
        <w:tc>
          <w:tcPr>
            <w:tcW w:w="4420" w:type="dxa"/>
            <w:vAlign w:val="bottom"/>
            <w:gridSpan w:val="7"/>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78">
              <w:r>
                <w:rPr>
                  <w:rFonts w:ascii="Times New Roman" w:cs="Times New Roman" w:eastAsia="Times New Roman" w:hAnsi="Times New Roman"/>
                  <w:sz w:val="18"/>
                  <w:szCs w:val="18"/>
                  <w:color w:val="0000EE"/>
                  <w:w w:val="95"/>
                </w:rPr>
                <w:t>2001 and 2002</w:t>
              </w:r>
            </w:hyperlink>
          </w:p>
        </w:tc>
        <w:tc>
          <w:tcPr>
            <w:tcW w:w="916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c>
          <w:tcPr>
            <w:tcW w:w="0" w:type="dxa"/>
            <w:vAlign w:val="bottom"/>
          </w:tcPr>
          <w:p>
            <w:pPr>
              <w:spacing w:after="0"/>
              <w:rPr>
                <w:sz w:val="1"/>
                <w:szCs w:val="1"/>
                <w:color w:val="auto"/>
              </w:rPr>
            </w:pPr>
          </w:p>
        </w:tc>
      </w:tr>
      <w:tr>
        <w:trPr>
          <w:trHeight w:val="264"/>
        </w:trPr>
        <w:tc>
          <w:tcPr>
            <w:tcW w:w="10400" w:type="dxa"/>
            <w:vAlign w:val="bottom"/>
            <w:gridSpan w:val="15"/>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Notes to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451"/>
        </w:trPr>
        <w:tc>
          <w:tcPr>
            <w:tcW w:w="2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gridSpan w:val="10"/>
          </w:tcPr>
          <w:p>
            <w:pPr>
              <w:ind w:left="72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-2789555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-2789555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NN, Inc.:</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NN, Inc. as of December 31, 2001 and 2000 and the related consolidated statements of income and comprehensive income, consolidated statements of changes in stockholders’ equity, and consolidated statements of cash flows for the years then ended. These consolidated financial statements are the responsibility of the Company’s management. Our responsibility is to express an opinion on these consolidated financial statements based on our audits.</w:t>
      </w:r>
    </w:p>
    <w:p>
      <w:pPr>
        <w:spacing w:after="0" w:line="1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NN, Inc. as of December 31, 2001 and 2000 and the results of their operations and their cash flows for the years then ended in conformity with accounting principles generally accepted in the United States of America.</w:t>
      </w:r>
    </w:p>
    <w:p>
      <w:pPr>
        <w:spacing w:after="0" w:line="11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changed its method of accounting for derivative instruments and hedging activities in 2001.</w:t>
      </w:r>
    </w:p>
    <w:p>
      <w:pPr>
        <w:spacing w:after="0" w:line="106" w:lineRule="exact"/>
        <w:rPr>
          <w:sz w:val="20"/>
          <w:szCs w:val="20"/>
          <w:color w:val="auto"/>
        </w:rPr>
      </w:pPr>
    </w:p>
    <w:p>
      <w:pPr>
        <w:ind w:left="6180"/>
        <w:spacing w:after="0"/>
        <w:tabs>
          <w:tab w:leader="none" w:pos="6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KPMG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2002</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Accountants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NN, Inc.</w:t>
      </w:r>
    </w:p>
    <w:p>
      <w:pPr>
        <w:spacing w:after="0" w:line="1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opinion, the consolidated statements of income and comprehensive income, of changes in stockholders’ equity and of cash flows for the year ended December 31, 1999, (as listed in the accompanying index) present fairly, in all material respects, the results of operations and cash flows of NN, Inc. (formerly known as NN Ball &amp; Roller, Inc.) for the year ended December 31, 1999,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30" w:lineRule="exact"/>
        <w:rPr>
          <w:sz w:val="20"/>
          <w:szCs w:val="20"/>
          <w:color w:val="auto"/>
        </w:rPr>
      </w:pPr>
    </w:p>
    <w:p>
      <w:pPr>
        <w:ind w:left="6180"/>
        <w:spacing w:after="0"/>
        <w:tabs>
          <w:tab w:leader="none" w:pos="6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PricewaterhouseCoopers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4, 2000</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2001 and 2000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of accumulated amortization of $3,009 in 2001 and $1,297 in 2000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1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overdraft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Payable to affiliates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loans</w:t>
            </w: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 term portion of long term debt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deferred tax liability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20" w:type="dxa"/>
            <w:vAlign w:val="bottom"/>
          </w:tcPr>
          <w:p>
            <w:pPr>
              <w:ind w:left="460"/>
              <w:spacing w:after="0" w:line="201" w:lineRule="exact"/>
              <w:rPr>
                <w:sz w:val="20"/>
                <w:szCs w:val="20"/>
                <w:color w:val="auto"/>
              </w:rPr>
            </w:pPr>
            <w:r>
              <w:rPr>
                <w:rFonts w:ascii="Times New Roman" w:cs="Times New Roman" w:eastAsia="Times New Roman" w:hAnsi="Times New Roman"/>
                <w:sz w:val="18"/>
                <w:szCs w:val="18"/>
                <w:color w:val="auto"/>
              </w:rPr>
              <w:t>Common stock—$0.01 par value, authorized 45,000 shares, issued and outstanding 15,317 shares in 2001 and 15,247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in 2000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120" w:type="dxa"/>
            <w:vAlign w:val="bottom"/>
            <w:vMerge w:val="restart"/>
          </w:tcPr>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120" w:type="dxa"/>
            <w:vAlign w:val="bottom"/>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9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F-4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-7497445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-7497445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-7497445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-7497445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-6383020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-6383020</wp:posOffset>
            </wp:positionV>
            <wp:extent cx="215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-6389370</wp:posOffset>
            </wp:positionV>
            <wp:extent cx="38735"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-6383020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-6383020</wp:posOffset>
            </wp:positionV>
            <wp:extent cx="21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-6389370</wp:posOffset>
            </wp:positionV>
            <wp:extent cx="38735"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-5405120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-5405120</wp:posOffset>
            </wp:positionV>
            <wp:extent cx="215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-5411470</wp:posOffset>
            </wp:positionV>
            <wp:extent cx="38735"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-5405120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-5405120</wp:posOffset>
            </wp:positionV>
            <wp:extent cx="215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-5411470</wp:posOffset>
            </wp:positionV>
            <wp:extent cx="38735"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-5120005</wp:posOffset>
            </wp:positionV>
            <wp:extent cx="2984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-5120005</wp:posOffset>
            </wp:positionV>
            <wp:extent cx="604520"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4520" cy="3873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-3432810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-3432810</wp:posOffset>
            </wp:positionV>
            <wp:extent cx="215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-3439160</wp:posOffset>
            </wp:positionV>
            <wp:extent cx="38735"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-3432810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-3432810</wp:posOffset>
            </wp:positionV>
            <wp:extent cx="215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-3439160</wp:posOffset>
            </wp:positionV>
            <wp:extent cx="38735"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-2454910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-2454910</wp:posOffset>
            </wp:positionV>
            <wp:extent cx="215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-2461260</wp:posOffset>
            </wp:positionV>
            <wp:extent cx="3873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-2454910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-2454910</wp:posOffset>
            </wp:positionV>
            <wp:extent cx="215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-2461260</wp:posOffset>
            </wp:positionV>
            <wp:extent cx="38735"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-2163445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-2163445</wp:posOffset>
            </wp:positionV>
            <wp:extent cx="215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-2169795</wp:posOffset>
            </wp:positionV>
            <wp:extent cx="38735"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-2163445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-2163445</wp:posOffset>
            </wp:positionV>
            <wp:extent cx="215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-2169795</wp:posOffset>
            </wp:positionV>
            <wp:extent cx="38735"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-1185545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-1185545</wp:posOffset>
            </wp:positionV>
            <wp:extent cx="215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-1191895</wp:posOffset>
            </wp:positionV>
            <wp:extent cx="38735"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-1185545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-1185545</wp:posOffset>
            </wp:positionV>
            <wp:extent cx="215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-1191895</wp:posOffset>
            </wp:positionV>
            <wp:extent cx="38735"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-894080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-894080</wp:posOffset>
            </wp:positionV>
            <wp:extent cx="215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-900430</wp:posOffset>
            </wp:positionV>
            <wp:extent cx="38735"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-894080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-894080</wp:posOffset>
            </wp:positionV>
            <wp:extent cx="215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-900430</wp:posOffset>
            </wp:positionV>
            <wp:extent cx="38735"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-608965</wp:posOffset>
            </wp:positionV>
            <wp:extent cx="142748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27480"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15"/>
                <w:szCs w:val="15"/>
                <w:color w:val="auto"/>
              </w:rPr>
            </w:pPr>
          </w:p>
        </w:tc>
      </w:tr>
      <w:tr>
        <w:trPr>
          <w:trHeight w:val="105"/>
        </w:trPr>
        <w:tc>
          <w:tcPr>
            <w:tcW w:w="7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180,151</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85,294</w:t>
            </w:r>
          </w:p>
        </w:tc>
        <w:tc>
          <w:tcPr>
            <w:tcW w:w="100" w:type="dxa"/>
            <w:vAlign w:val="bottom"/>
            <w:shd w:val="clear" w:color="auto" w:fill="CCEEFF"/>
          </w:tcPr>
          <w:p>
            <w:pPr>
              <w:spacing w:after="0"/>
              <w:rPr>
                <w:sz w:val="18"/>
                <w:szCs w:val="18"/>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59,967</w:t>
            </w:r>
          </w:p>
        </w:tc>
        <w:tc>
          <w:tcPr>
            <w:tcW w:w="100" w:type="dxa"/>
            <w:vAlign w:val="bottom"/>
          </w:tcPr>
          <w:p>
            <w:pPr>
              <w:spacing w:after="0"/>
              <w:rPr>
                <w:sz w:val="19"/>
                <w:szCs w:val="19"/>
                <w:color w:val="auto"/>
              </w:rPr>
            </w:pPr>
          </w:p>
        </w:tc>
      </w:tr>
      <w:tr>
        <w:trPr>
          <w:trHeight w:val="106"/>
        </w:trPr>
        <w:tc>
          <w:tcPr>
            <w:tcW w:w="7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shd w:val="clear" w:color="auto" w:fill="CCEEFF"/>
          </w:tcPr>
          <w:p>
            <w:pPr>
              <w:spacing w:after="0"/>
              <w:rPr>
                <w:sz w:val="18"/>
                <w:szCs w:val="18"/>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impairment costs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06"/>
        </w:trPr>
        <w:tc>
          <w:tcPr>
            <w:tcW w:w="7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involuntary conversion</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18"/>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18"/>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2"/>
        </w:trPr>
        <w:tc>
          <w:tcPr>
            <w:tcW w:w="7980" w:type="dxa"/>
            <w:vAlign w:val="bottom"/>
            <w:shd w:val="clear" w:color="auto" w:fill="CCEEFF"/>
          </w:tcPr>
          <w:p>
            <w:pPr>
              <w:ind w:left="400"/>
              <w:spacing w:after="0" w:line="201" w:lineRule="exact"/>
              <w:rPr>
                <w:sz w:val="20"/>
                <w:szCs w:val="20"/>
                <w:color w:val="auto"/>
              </w:rPr>
            </w:pPr>
            <w:r>
              <w:rPr>
                <w:rFonts w:ascii="Times New Roman" w:cs="Times New Roman" w:eastAsia="Times New Roman" w:hAnsi="Times New Roman"/>
                <w:sz w:val="18"/>
                <w:szCs w:val="18"/>
                <w:color w:val="auto"/>
              </w:rPr>
              <w:t>Income before cumulative effect of change in</w:t>
            </w: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accounting principle</w:t>
            </w:r>
          </w:p>
        </w:tc>
        <w:tc>
          <w:tcPr>
            <w:tcW w:w="1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4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CEEFF"/>
          </w:tcPr>
          <w:p>
            <w:pPr>
              <w:spacing w:after="0"/>
              <w:rPr>
                <w:sz w:val="20"/>
                <w:szCs w:val="20"/>
                <w:color w:val="auto"/>
              </w:rPr>
            </w:pPr>
          </w:p>
        </w:tc>
      </w:tr>
      <w:tr>
        <w:trPr>
          <w:trHeight w:val="202"/>
        </w:trPr>
        <w:tc>
          <w:tcPr>
            <w:tcW w:w="798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principle, net of income tax benefit of $112 and related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minority interest impact of $84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minimum pension liability, net of tax of $31</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r>
      <w:tr>
        <w:trPr>
          <w:trHeight w:val="106"/>
        </w:trPr>
        <w:tc>
          <w:tcPr>
            <w:tcW w:w="7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before cumulative effect of change in accounting principle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18"/>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10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before cumulative effect of change in accounting principle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18"/>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0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-6635115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-6635115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-6635115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-6635115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-6635115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-6635115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-6205855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-6205855</wp:posOffset>
            </wp:positionV>
            <wp:extent cx="215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-6212205</wp:posOffset>
            </wp:positionV>
            <wp:extent cx="38735"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-6205855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-6205855</wp:posOffset>
            </wp:positionV>
            <wp:extent cx="215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-6212205</wp:posOffset>
            </wp:positionV>
            <wp:extent cx="38735"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-6205855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-6205855</wp:posOffset>
            </wp:positionV>
            <wp:extent cx="215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-6212205</wp:posOffset>
            </wp:positionV>
            <wp:extent cx="38735"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-5502910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-5502910</wp:posOffset>
            </wp:positionV>
            <wp:extent cx="215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-5509260</wp:posOffset>
            </wp:positionV>
            <wp:extent cx="38735"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-5502910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-5502910</wp:posOffset>
            </wp:positionV>
            <wp:extent cx="215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-5509260</wp:posOffset>
            </wp:positionV>
            <wp:extent cx="38735"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-5502910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-5502910</wp:posOffset>
            </wp:positionV>
            <wp:extent cx="215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-5509260</wp:posOffset>
            </wp:positionV>
            <wp:extent cx="3873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-4662170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-4662170</wp:posOffset>
            </wp:positionV>
            <wp:extent cx="215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-4668520</wp:posOffset>
            </wp:positionV>
            <wp:extent cx="3873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-4662170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-4662170</wp:posOffset>
            </wp:positionV>
            <wp:extent cx="215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-4668520</wp:posOffset>
            </wp:positionV>
            <wp:extent cx="38735"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-4662170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-4662170</wp:posOffset>
            </wp:positionV>
            <wp:extent cx="215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-4668520</wp:posOffset>
            </wp:positionV>
            <wp:extent cx="38735"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-4096385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-4096385</wp:posOffset>
            </wp:positionV>
            <wp:extent cx="215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-4102735</wp:posOffset>
            </wp:positionV>
            <wp:extent cx="38735"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-4096385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-4096385</wp:posOffset>
            </wp:positionV>
            <wp:extent cx="215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-4102735</wp:posOffset>
            </wp:positionV>
            <wp:extent cx="3873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-4096385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-4096385</wp:posOffset>
            </wp:positionV>
            <wp:extent cx="215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-4102735</wp:posOffset>
            </wp:positionV>
            <wp:extent cx="38735"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-3393440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-3393440</wp:posOffset>
            </wp:positionV>
            <wp:extent cx="215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-3399790</wp:posOffset>
            </wp:positionV>
            <wp:extent cx="38735"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-3393440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-3393440</wp:posOffset>
            </wp:positionV>
            <wp:extent cx="215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-3399790</wp:posOffset>
            </wp:positionV>
            <wp:extent cx="38735"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-3393440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-3393440</wp:posOffset>
            </wp:positionV>
            <wp:extent cx="215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-3399790</wp:posOffset>
            </wp:positionV>
            <wp:extent cx="38735"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-2689860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-2689860</wp:posOffset>
            </wp:positionV>
            <wp:extent cx="215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-2696210</wp:posOffset>
            </wp:positionV>
            <wp:extent cx="38735"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-2689860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-2689860</wp:posOffset>
            </wp:positionV>
            <wp:extent cx="215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-2696210</wp:posOffset>
            </wp:positionV>
            <wp:extent cx="38735"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-2689860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-2689860</wp:posOffset>
            </wp:positionV>
            <wp:extent cx="21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-2696210</wp:posOffset>
            </wp:positionV>
            <wp:extent cx="38735"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-2404745</wp:posOffset>
            </wp:positionV>
            <wp:extent cx="214820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48205" cy="387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-1815465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-1815465</wp:posOffset>
            </wp:positionV>
            <wp:extent cx="215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-1821815</wp:posOffset>
            </wp:positionV>
            <wp:extent cx="38735"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-1815465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-1815465</wp:posOffset>
            </wp:positionV>
            <wp:extent cx="215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-1821815</wp:posOffset>
            </wp:positionV>
            <wp:extent cx="38735"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-1815465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-1815465</wp:posOffset>
            </wp:positionV>
            <wp:extent cx="215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-1821815</wp:posOffset>
            </wp:positionV>
            <wp:extent cx="3873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-1529715</wp:posOffset>
            </wp:positionV>
            <wp:extent cx="1393190"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93190"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-1529715</wp:posOffset>
            </wp:positionV>
            <wp:extent cx="2984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-1221105</wp:posOffset>
            </wp:positionV>
            <wp:extent cx="57848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848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-1221105</wp:posOffset>
            </wp:positionV>
            <wp:extent cx="2984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-1221105</wp:posOffset>
            </wp:positionV>
            <wp:extent cx="2984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-631825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-631825</wp:posOffset>
            </wp:positionV>
            <wp:extent cx="215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-638175</wp:posOffset>
            </wp:positionV>
            <wp:extent cx="3873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-631825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-631825</wp:posOffset>
            </wp:positionV>
            <wp:extent cx="215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-638175</wp:posOffset>
            </wp:positionV>
            <wp:extent cx="38735"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-631825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-631825</wp:posOffset>
            </wp:positionV>
            <wp:extent cx="215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-638175</wp:posOffset>
            </wp:positionV>
            <wp:extent cx="38735"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-346710</wp:posOffset>
            </wp:positionV>
            <wp:extent cx="2984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-346710</wp:posOffset>
            </wp:positionV>
            <wp:extent cx="2984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-346710</wp:posOffset>
            </wp:positionV>
            <wp:extent cx="2984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-38100</wp:posOffset>
            </wp:positionV>
            <wp:extent cx="2984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-38100</wp:posOffset>
            </wp:positionV>
            <wp:extent cx="2984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6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50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5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89"/>
              </w:rPr>
              <w:t>Retained</w:t>
            </w:r>
          </w:p>
        </w:tc>
        <w:tc>
          <w:tcPr>
            <w:tcW w:w="14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2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3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Paid-In Capital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120" w:type="dxa"/>
            <w:vAlign w:val="bottom"/>
          </w:tcPr>
          <w:p>
            <w:pPr>
              <w:spacing w:after="0"/>
              <w:rPr>
                <w:sz w:val="15"/>
                <w:szCs w:val="15"/>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1998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$149</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Issued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translation loss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1999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Issued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translation loss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Issued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minimum pension liability</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translation loss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$154</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-3530600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-3530600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-3187065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-3187065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-3187065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-3187065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-3187065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-3187065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-3187065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-3187065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-3187065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-3187065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-3187065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-3187065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-2278380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-2278380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-2278380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-2278380</wp:posOffset>
            </wp:positionV>
            <wp:extent cx="215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-2278380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-2278380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-2278380</wp:posOffset>
            </wp:positionV>
            <wp:extent cx="215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-2278380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-2278380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-2278380</wp:posOffset>
            </wp:positionV>
            <wp:extent cx="215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-2284730</wp:posOffset>
            </wp:positionV>
            <wp:extent cx="38735"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-2278380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-2278380</wp:posOffset>
            </wp:positionV>
            <wp:extent cx="215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-2284730</wp:posOffset>
            </wp:positionV>
            <wp:extent cx="38735"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-2278380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-2278380</wp:posOffset>
            </wp:positionV>
            <wp:extent cx="215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-2284730</wp:posOffset>
            </wp:positionV>
            <wp:extent cx="38735"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-1369060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-1369060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-1369060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-1369060</wp:posOffset>
            </wp:positionV>
            <wp:extent cx="215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-1369060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-1369060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-1369060</wp:posOffset>
            </wp:positionV>
            <wp:extent cx="215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-1369060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-1369060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-1369060</wp:posOffset>
            </wp:positionV>
            <wp:extent cx="215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-1375410</wp:posOffset>
            </wp:positionV>
            <wp:extent cx="38735"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-1369060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-1369060</wp:posOffset>
            </wp:positionV>
            <wp:extent cx="215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-1375410</wp:posOffset>
            </wp:positionV>
            <wp:extent cx="38735"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-1369060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-1369060</wp:posOffset>
            </wp:positionV>
            <wp:extent cx="215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-1375410</wp:posOffset>
            </wp:positionV>
            <wp:extent cx="38735"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-323215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215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215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215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3873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215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-329565</wp:posOffset>
            </wp:positionV>
            <wp:extent cx="38735"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-323215</wp:posOffset>
            </wp:positionV>
            <wp:extent cx="215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-38100</wp:posOffset>
            </wp:positionV>
            <wp:extent cx="47561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75615" cy="3873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-38100</wp:posOffset>
            </wp:positionV>
            <wp:extent cx="2984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8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NNG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on receivable from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Minority interest in consolidated subsidiary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 and impairment costs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8"/>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8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(57,788)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(27,535)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(6,314)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NNG</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(79,310)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(29,883)</w:t>
            </w:r>
          </w:p>
        </w:tc>
        <w:tc>
          <w:tcPr>
            <w:tcW w:w="0" w:type="dxa"/>
            <w:vAlign w:val="bottom"/>
          </w:tcPr>
          <w:p>
            <w:pPr>
              <w:spacing w:after="0"/>
              <w:rPr>
                <w:sz w:val="1"/>
                <w:szCs w:val="1"/>
                <w:color w:val="auto"/>
              </w:rPr>
            </w:pPr>
          </w:p>
        </w:tc>
      </w:tr>
      <w:tr>
        <w:trPr>
          <w:trHeight w:val="118"/>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8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under revolving line of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shareholders contributions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overdrafts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(65,946)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(repayment) of short-term debt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106"/>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20" w:type="dxa"/>
            <w:vAlign w:val="bottom"/>
            <w:vMerge w:val="continue"/>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8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received related to sale of NNG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issued related to acquisition of IMC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20" w:type="dxa"/>
            <w:vAlign w:val="bottom"/>
            <w:vMerge w:val="restart"/>
          </w:tcPr>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20" w:type="dxa"/>
            <w:vAlign w:val="bottom"/>
            <w:vMerge w:val="continue"/>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8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F-7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-8483600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-8483600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-8483600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-8483600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-8483600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-8483600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-5722620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-5722620</wp:posOffset>
            </wp:positionV>
            <wp:extent cx="215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-5728970</wp:posOffset>
            </wp:positionV>
            <wp:extent cx="38735"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-5722620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-5722620</wp:posOffset>
            </wp:positionV>
            <wp:extent cx="215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-5728970</wp:posOffset>
            </wp:positionV>
            <wp:extent cx="38735"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-5722620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-5722620</wp:posOffset>
            </wp:positionV>
            <wp:extent cx="215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-5728970</wp:posOffset>
            </wp:positionV>
            <wp:extent cx="38735"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-5431155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-5431155</wp:posOffset>
            </wp:positionV>
            <wp:extent cx="215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-5437505</wp:posOffset>
            </wp:positionV>
            <wp:extent cx="38735"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-5431155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-5431155</wp:posOffset>
            </wp:positionV>
            <wp:extent cx="215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-5437505</wp:posOffset>
            </wp:positionV>
            <wp:extent cx="38735"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-5431155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-5431155</wp:posOffset>
            </wp:positionV>
            <wp:extent cx="215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-5437505</wp:posOffset>
            </wp:positionV>
            <wp:extent cx="38735"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-4272915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-4272915</wp:posOffset>
            </wp:positionV>
            <wp:extent cx="215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-4279265</wp:posOffset>
            </wp:positionV>
            <wp:extent cx="38735"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-4272915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-4272915</wp:posOffset>
            </wp:positionV>
            <wp:extent cx="215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-4279265</wp:posOffset>
            </wp:positionV>
            <wp:extent cx="38735"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-4272915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-4272915</wp:posOffset>
            </wp:positionV>
            <wp:extent cx="215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-4279265</wp:posOffset>
            </wp:positionV>
            <wp:extent cx="38735"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-3981450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-3981450</wp:posOffset>
            </wp:positionV>
            <wp:extent cx="215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-3987800</wp:posOffset>
            </wp:positionV>
            <wp:extent cx="38735"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-3981450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-3981450</wp:posOffset>
            </wp:positionV>
            <wp:extent cx="215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-3987800</wp:posOffset>
            </wp:positionV>
            <wp:extent cx="38735"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-3981450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-3981450</wp:posOffset>
            </wp:positionV>
            <wp:extent cx="215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-3987800</wp:posOffset>
            </wp:positionV>
            <wp:extent cx="38735"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-2549525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-2549525</wp:posOffset>
            </wp:positionV>
            <wp:extent cx="215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-2555875</wp:posOffset>
            </wp:positionV>
            <wp:extent cx="38735"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-2549525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-2549525</wp:posOffset>
            </wp:positionV>
            <wp:extent cx="215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-2555875</wp:posOffset>
            </wp:positionV>
            <wp:extent cx="38735"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-2549525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-2549525</wp:posOffset>
            </wp:positionV>
            <wp:extent cx="215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-2555875</wp:posOffset>
            </wp:positionV>
            <wp:extent cx="38735"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-2258060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-2258060</wp:posOffset>
            </wp:positionV>
            <wp:extent cx="215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-2264410</wp:posOffset>
            </wp:positionV>
            <wp:extent cx="38735"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-2258060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-2258060</wp:posOffset>
            </wp:positionV>
            <wp:extent cx="215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-2264410</wp:posOffset>
            </wp:positionV>
            <wp:extent cx="38735"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-2258060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-2258060</wp:posOffset>
            </wp:positionV>
            <wp:extent cx="215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-2264410</wp:posOffset>
            </wp:positionV>
            <wp:extent cx="38735"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-1691640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-1691640</wp:posOffset>
            </wp:positionV>
            <wp:extent cx="215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-1697990</wp:posOffset>
            </wp:positionV>
            <wp:extent cx="38735"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-1691640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-1691640</wp:posOffset>
            </wp:positionV>
            <wp:extent cx="215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-1697990</wp:posOffset>
            </wp:positionV>
            <wp:extent cx="38735"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-1691640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-1691640</wp:posOffset>
            </wp:positionV>
            <wp:extent cx="215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-1697990</wp:posOffset>
            </wp:positionV>
            <wp:extent cx="38735"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-1406525</wp:posOffset>
            </wp:positionV>
            <wp:extent cx="2984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-1406525</wp:posOffset>
            </wp:positionV>
            <wp:extent cx="2984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-1406525</wp:posOffset>
            </wp:positionV>
            <wp:extent cx="51879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18795"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-917575</wp:posOffset>
            </wp:positionV>
            <wp:extent cx="2984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-917575</wp:posOffset>
            </wp:positionV>
            <wp:extent cx="2984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-917575</wp:posOffset>
            </wp:positionV>
            <wp:extent cx="2984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-608965</wp:posOffset>
            </wp:positionV>
            <wp:extent cx="2984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-608965</wp:posOffset>
            </wp:positionV>
            <wp:extent cx="50990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0990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-608965</wp:posOffset>
            </wp:positionV>
            <wp:extent cx="2984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5" w:right="239" w:bottom="20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w:t>
      </w:r>
    </w:p>
    <w:p>
      <w:pPr>
        <w:spacing w:after="0" w:line="155"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61" w:lineRule="exact"/>
        <w:rPr>
          <w:rFonts w:ascii="Times New Roman" w:cs="Times New Roman" w:eastAsia="Times New Roman" w:hAnsi="Times New Roman"/>
          <w:sz w:val="18"/>
          <w:szCs w:val="18"/>
          <w:b w:val="1"/>
          <w:bCs w:val="1"/>
          <w:i w:val="1"/>
          <w:iCs w:val="1"/>
          <w:color w:val="auto"/>
        </w:rPr>
      </w:pPr>
    </w:p>
    <w:p>
      <w:pPr>
        <w:ind w:left="900" w:right="2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2) is comprised of manufacturing facilities located in Kilkenny, Ireland, Eltmann, Germany, and Pinerolo, Italy. All of the facilities in the Euroball segment are engaged in the production of precision balls and rollers. The Plastics segment consists of IMC, acquired in July 1999, NN Arté, formed in August 2000 and Delta, acquired in February 2001. IMC has two production facilities in Texas, NN Arté has one production facility in Guadalajara, Mexico and Delta has two production facilities in Connecticut (see Note 2). All of the Company’s segments sell to foreign and domestic customers.</w:t>
      </w:r>
    </w:p>
    <w:p>
      <w:pPr>
        <w:spacing w:after="0" w:line="125"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as cash equivalents.</w:t>
      </w:r>
    </w:p>
    <w:p>
      <w:pPr>
        <w:spacing w:after="0" w:line="153"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p>
      <w:pPr>
        <w:spacing w:after="0" w:line="153"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During the year ended December 31, 2001, the Company incurred an impairment charge of $1,083 to write-down the land and building at the Walterboro, SC production facility to its net realizable value, which was based upon fair market value appraisals. The carrying value of this land and building of $1,692 has been classified as a component of assets held for sale in the accompanying financial statements. During the year ended December 31, 2000, the Company did not incur any impairment charges.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1040" w:right="320"/>
        <w:spacing w:after="0" w:line="275" w:lineRule="auto"/>
        <w:rPr>
          <w:sz w:val="20"/>
          <w:szCs w:val="20"/>
          <w:color w:val="auto"/>
        </w:rPr>
      </w:pPr>
      <w:r>
        <w:rPr>
          <w:rFonts w:ascii="Times New Roman" w:cs="Times New Roman" w:eastAsia="Times New Roman" w:hAnsi="Times New Roman"/>
          <w:sz w:val="18"/>
          <w:szCs w:val="18"/>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02"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1040" w:right="320"/>
        <w:spacing w:after="0" w:line="262" w:lineRule="auto"/>
        <w:rPr>
          <w:sz w:val="20"/>
          <w:szCs w:val="20"/>
          <w:color w:val="auto"/>
        </w:rPr>
      </w:pPr>
      <w:r>
        <w:rPr>
          <w:rFonts w:ascii="Times New Roman" w:cs="Times New Roman" w:eastAsia="Times New Roman" w:hAnsi="Times New Roman"/>
          <w:sz w:val="18"/>
          <w:szCs w:val="18"/>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w:t>
      </w:r>
    </w:p>
    <w:p>
      <w:pPr>
        <w:spacing w:after="0" w:line="115"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1040" w:right="6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1"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62" w:lineRule="exact"/>
        <w:rPr>
          <w:sz w:val="20"/>
          <w:szCs w:val="20"/>
          <w:color w:val="auto"/>
        </w:rPr>
      </w:pPr>
    </w:p>
    <w:p>
      <w:pPr>
        <w:ind w:left="1040" w:right="240"/>
        <w:spacing w:after="0" w:line="275" w:lineRule="auto"/>
        <w:rPr>
          <w:sz w:val="20"/>
          <w:szCs w:val="20"/>
          <w:color w:val="auto"/>
        </w:rPr>
      </w:pPr>
      <w:r>
        <w:rPr>
          <w:rFonts w:ascii="Times New Roman" w:cs="Times New Roman" w:eastAsia="Times New Roman" w:hAnsi="Times New Roman"/>
          <w:sz w:val="18"/>
          <w:szCs w:val="18"/>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02"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Incentive Plan</w:t>
      </w:r>
    </w:p>
    <w:p>
      <w:pPr>
        <w:spacing w:after="0" w:line="162" w:lineRule="exact"/>
        <w:rPr>
          <w:sz w:val="20"/>
          <w:szCs w:val="20"/>
          <w:color w:val="auto"/>
        </w:rPr>
      </w:pPr>
    </w:p>
    <w:p>
      <w:pPr>
        <w:ind w:left="1040"/>
        <w:spacing w:after="0" w:line="289" w:lineRule="auto"/>
        <w:rPr>
          <w:sz w:val="20"/>
          <w:szCs w:val="20"/>
          <w:color w:val="auto"/>
        </w:rPr>
      </w:pPr>
      <w:r>
        <w:rPr>
          <w:rFonts w:ascii="Times New Roman" w:cs="Times New Roman" w:eastAsia="Times New Roman" w:hAnsi="Times New Roman"/>
          <w:sz w:val="16"/>
          <w:szCs w:val="16"/>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Compensation expense is recognized for these awards if the current market price of the underlying stock exceeds $10.50.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60"/>
          </w:cols>
          <w:pgMar w:left="240" w:top="45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7"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1" w:lineRule="exact"/>
        <w:rPr>
          <w:rFonts w:ascii="Times New Roman" w:cs="Times New Roman" w:eastAsia="Times New Roman" w:hAnsi="Times New Roman"/>
          <w:sz w:val="18"/>
          <w:szCs w:val="18"/>
          <w:b w:val="1"/>
          <w:bCs w:val="1"/>
          <w:i w:val="1"/>
          <w:iCs w:val="1"/>
          <w:color w:val="auto"/>
        </w:rPr>
      </w:pPr>
    </w:p>
    <w:p>
      <w:pPr>
        <w:ind w:left="900" w:right="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are reflected as minority interests. Minority interest represents the minority shareholders interest of Euroball and NN Arté.</w:t>
      </w:r>
    </w:p>
    <w:p>
      <w:pPr>
        <w:spacing w:after="0" w:line="121"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61" w:lineRule="exact"/>
        <w:rPr>
          <w:rFonts w:ascii="Times New Roman" w:cs="Times New Roman" w:eastAsia="Times New Roman" w:hAnsi="Times New Roman"/>
          <w:sz w:val="18"/>
          <w:szCs w:val="18"/>
          <w:b w:val="1"/>
          <w:bCs w:val="1"/>
          <w:i w:val="1"/>
          <w:iCs w:val="1"/>
          <w:color w:val="auto"/>
        </w:rPr>
      </w:pPr>
    </w:p>
    <w:p>
      <w:pPr>
        <w:ind w:left="900" w:right="4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02"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61" w:lineRule="exact"/>
        <w:rPr>
          <w:rFonts w:ascii="Times New Roman" w:cs="Times New Roman" w:eastAsia="Times New Roman" w:hAnsi="Times New Roman"/>
          <w:sz w:val="18"/>
          <w:szCs w:val="18"/>
          <w:b w:val="1"/>
          <w:bCs w:val="1"/>
          <w:i w:val="1"/>
          <w:iCs w:val="1"/>
          <w:color w:val="auto"/>
        </w:rPr>
      </w:pPr>
    </w:p>
    <w:p>
      <w:pPr>
        <w:ind w:left="900" w:right="1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Goodwill, which represents the excess of purchase price over the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w:t>
      </w:r>
    </w:p>
    <w:p>
      <w:pPr>
        <w:spacing w:after="0" w:line="121"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 and Long-Lived Assets to Be Disposed Of</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line="29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6"/>
          <w:szCs w:val="16"/>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93"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61" w:lineRule="exact"/>
        <w:rPr>
          <w:rFonts w:ascii="Times New Roman" w:cs="Times New Roman" w:eastAsia="Times New Roman" w:hAnsi="Times New Roman"/>
          <w:sz w:val="18"/>
          <w:szCs w:val="18"/>
          <w:b w:val="1"/>
          <w:bCs w:val="1"/>
          <w:i w:val="1"/>
          <w:iCs w:val="1"/>
          <w:color w:val="auto"/>
        </w:rPr>
      </w:pPr>
    </w:p>
    <w:p>
      <w:pPr>
        <w:jc w:val="both"/>
        <w:ind w:left="900" w:right="300"/>
        <w:spacing w:after="0" w:line="31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7"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Reclassifications</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Certain 2000 and 1999 amounts have been reclassified to conform with the 2001 presentation.</w:t>
      </w:r>
    </w:p>
    <w:p>
      <w:pPr>
        <w:spacing w:after="0" w:line="153"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25" w:lineRule="exact"/>
        <w:rPr>
          <w:rFonts w:ascii="Times New Roman" w:cs="Times New Roman" w:eastAsia="Times New Roman" w:hAnsi="Times New Roman"/>
          <w:sz w:val="18"/>
          <w:szCs w:val="18"/>
          <w:b w:val="1"/>
          <w:bCs w:val="1"/>
          <w:i w:val="1"/>
          <w:iCs w:val="1"/>
          <w:color w:val="auto"/>
        </w:rPr>
      </w:pPr>
    </w:p>
    <w:p>
      <w:pPr>
        <w:ind w:left="900" w:right="2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July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requires that goodwill and intangible assets with indefinite useful lives no longer be amortized, but instead tested for impairment. The effective date of Statement No. 142 is January 1, 2002. As of the date of adoption, the Company expects to have unamortized goodwill of approximately $39.8 million, which will be subject to the provisions of Statement No. 142. Amortization expense related to goodwill was $1.8 million, $0.9 million and $0.4 million for the years ended December 31, 2001, 2000 and 1999, respectively. The Company is currently evaluating the impact of adoption of Statement No. 142.</w:t>
      </w:r>
    </w:p>
    <w:p>
      <w:pPr>
        <w:spacing w:after="0" w:line="129" w:lineRule="exact"/>
        <w:rPr>
          <w:rFonts w:ascii="Times New Roman" w:cs="Times New Roman" w:eastAsia="Times New Roman" w:hAnsi="Times New Roman"/>
          <w:sz w:val="18"/>
          <w:szCs w:val="18"/>
          <w:b w:val="1"/>
          <w:bCs w:val="1"/>
          <w:i w:val="1"/>
          <w:iCs w:val="1"/>
          <w:color w:val="auto"/>
        </w:rPr>
      </w:pPr>
    </w:p>
    <w:p>
      <w:pPr>
        <w:ind w:left="900" w:right="3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122" w:lineRule="exact"/>
        <w:rPr>
          <w:rFonts w:ascii="Times New Roman" w:cs="Times New Roman" w:eastAsia="Times New Roman" w:hAnsi="Times New Roman"/>
          <w:sz w:val="18"/>
          <w:szCs w:val="18"/>
          <w:b w:val="1"/>
          <w:bCs w:val="1"/>
          <w:i w:val="1"/>
          <w:iCs w:val="1"/>
          <w:color w:val="auto"/>
        </w:rPr>
      </w:pPr>
    </w:p>
    <w:p>
      <w:pPr>
        <w:ind w:left="9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80"/>
          </w:cols>
          <w:pgMar w:left="240" w:top="45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7" w:lineRule="exact"/>
        <w:rPr>
          <w:sz w:val="20"/>
          <w:szCs w:val="20"/>
          <w:color w:val="auto"/>
        </w:rPr>
      </w:pPr>
    </w:p>
    <w:p>
      <w:pPr>
        <w:ind w:left="900" w:hanging="446"/>
        <w:spacing w:after="0"/>
        <w:tabs>
          <w:tab w:leader="none" w:pos="900" w:val="left"/>
        </w:tabs>
        <w:numPr>
          <w:ilvl w:val="1"/>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25" w:lineRule="exact"/>
        <w:rPr>
          <w:rFonts w:ascii="Times New Roman" w:cs="Times New Roman" w:eastAsia="Times New Roman" w:hAnsi="Times New Roman"/>
          <w:sz w:val="18"/>
          <w:szCs w:val="18"/>
          <w:b w:val="1"/>
          <w:bCs w:val="1"/>
          <w:i w:val="1"/>
          <w:iCs w:val="1"/>
          <w:color w:val="auto"/>
        </w:rPr>
      </w:pPr>
    </w:p>
    <w:p>
      <w:pPr>
        <w:ind w:left="900" w:right="8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25" w:lineRule="exact"/>
        <w:rPr>
          <w:rFonts w:ascii="Times New Roman" w:cs="Times New Roman" w:eastAsia="Times New Roman" w:hAnsi="Times New Roman"/>
          <w:sz w:val="18"/>
          <w:szCs w:val="18"/>
          <w:b w:val="1"/>
          <w:bCs w:val="1"/>
          <w:i w:val="1"/>
          <w:iCs w:val="1"/>
          <w:color w:val="auto"/>
        </w:rPr>
      </w:pPr>
    </w:p>
    <w:p>
      <w:pPr>
        <w:ind w:left="9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a variable EURIBOR rate debt financing in July 2000 the Company’s 54% owned subsidiary,Euroball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22" w:lineRule="exact"/>
        <w:rPr>
          <w:rFonts w:ascii="Times New Roman" w:cs="Times New Roman" w:eastAsia="Times New Roman" w:hAnsi="Times New Roman"/>
          <w:sz w:val="18"/>
          <w:szCs w:val="18"/>
          <w:b w:val="1"/>
          <w:bCs w:val="1"/>
          <w:i w:val="1"/>
          <w:iCs w:val="1"/>
          <w:color w:val="auto"/>
        </w:rPr>
      </w:pPr>
    </w:p>
    <w:p>
      <w:pPr>
        <w:ind w:left="900" w:right="1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cumulative effect of a change in accounting principles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22" w:lineRule="exact"/>
        <w:rPr>
          <w:rFonts w:ascii="Times New Roman" w:cs="Times New Roman" w:eastAsia="Times New Roman" w:hAnsi="Times New Roman"/>
          <w:sz w:val="18"/>
          <w:szCs w:val="18"/>
          <w:b w:val="1"/>
          <w:bCs w:val="1"/>
          <w:i w:val="1"/>
          <w:iCs w:val="1"/>
          <w:color w:val="auto"/>
        </w:rPr>
      </w:pPr>
    </w:p>
    <w:p>
      <w:pPr>
        <w:ind w:left="900" w:right="20"/>
        <w:spacing w:after="0" w:line="26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December 31, 2001, the fair value of the swap is a before tax loss of approximately $374 which is recorded in other non-current liabilities. The change in fair value during the year ended December 31, 2001 was a loss of approximately $80 which has been included as a component of other (income) expense.</w:t>
      </w:r>
    </w:p>
    <w:p>
      <w:pPr>
        <w:spacing w:after="0" w:line="116"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59" w:lineRule="exact"/>
        <w:rPr>
          <w:rFonts w:ascii="Times New Roman" w:cs="Times New Roman" w:eastAsia="Times New Roman" w:hAnsi="Times New Roman"/>
          <w:sz w:val="18"/>
          <w:szCs w:val="18"/>
          <w:b w:val="1"/>
          <w:bCs w:val="1"/>
          <w:color w:val="auto"/>
        </w:rPr>
      </w:pPr>
    </w:p>
    <w:p>
      <w:pPr>
        <w:ind w:left="460" w:right="2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16, 2001, the Company completed the acquisition of all of the outstanding stock of Delta, a Connecticut corporation for $22,500 in cash, of which $500 was to be held in escrow for one year from the date of closing. Delta provides high quality engineered bearing seals and other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precision-molded rubber products to original equipment manufacturers. The Company plans to continue the operation of the Delta business, which operates a manufacturing facility in Danielson, Connecticut. The excess of the purchase price over the fair value of the net identifiable assets acquired of $14,107 has been recorded as goodwill and is being amortized on a straight-line basis over twenty years.</w:t>
      </w:r>
    </w:p>
    <w:p>
      <w:pPr>
        <w:spacing w:after="0" w:line="119"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8"/>
          <w:szCs w:val="18"/>
          <w:color w:val="auto"/>
        </w:rPr>
        <w:t>Effective July 31, 2000, the Company completed its Euroball transaction. Completion of the transaction required the Company to start a majority owned stand-alone company in Europe, Euroball, for the manufacture and sale of precision steel balls used for ball bearings and other products. The Company owns 54% of the shares of Euroball, AB SKF (SKF), a Swedish Company, and FAG Kugelfischer Georg Schager AG (FAG), a German Company, own 23% each. Euroball subsequently acquired the steel ball manufacturing facilities located in Pinerolo, Italy (previously owned by SKF), Eltmann, Germany (previously owned by FAG) and Kilkenny, Ireland (previously owned by the Company). Euroball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130" w:lineRule="exact"/>
        <w:rPr>
          <w:sz w:val="20"/>
          <w:szCs w:val="20"/>
          <w:color w:val="auto"/>
        </w:rPr>
      </w:pPr>
    </w:p>
    <w:p>
      <w:pPr>
        <w:ind w:left="460" w:right="260"/>
        <w:spacing w:after="0" w:line="262" w:lineRule="auto"/>
        <w:rPr>
          <w:sz w:val="20"/>
          <w:szCs w:val="20"/>
          <w:color w:val="auto"/>
        </w:rPr>
      </w:pPr>
      <w:r>
        <w:rPr>
          <w:rFonts w:ascii="Times New Roman" w:cs="Times New Roman" w:eastAsia="Times New Roman" w:hAnsi="Times New Roman"/>
          <w:sz w:val="18"/>
          <w:szCs w:val="18"/>
          <w:color w:val="auto"/>
        </w:rPr>
        <w:t>Under the terms of a Shareholder Agreement between the Company, SKF and FAG, at any time after December 31, 2002, SKF and FAG can require the Company to purchase their shares of Euroball. The purchase price of the shares is to be calculated using a purchase price formula specified in the Shareholder Agreement.</w:t>
      </w:r>
    </w:p>
    <w:p>
      <w:pPr>
        <w:spacing w:after="0" w:line="119" w:lineRule="exact"/>
        <w:rPr>
          <w:sz w:val="20"/>
          <w:szCs w:val="20"/>
          <w:color w:val="auto"/>
        </w:rPr>
      </w:pPr>
    </w:p>
    <w:p>
      <w:pPr>
        <w:ind w:left="460" w:right="260"/>
        <w:spacing w:after="0" w:line="262" w:lineRule="auto"/>
        <w:rPr>
          <w:sz w:val="20"/>
          <w:szCs w:val="20"/>
          <w:color w:val="auto"/>
        </w:rPr>
      </w:pPr>
      <w:r>
        <w:rPr>
          <w:rFonts w:ascii="Times New Roman" w:cs="Times New Roman" w:eastAsia="Times New Roman" w:hAnsi="Times New Roman"/>
          <w:sz w:val="18"/>
          <w:szCs w:val="18"/>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 December 31,</w:t>
            </w:r>
          </w:p>
        </w:tc>
        <w:tc>
          <w:tcPr>
            <w:tcW w:w="12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(Unaudited) December 31,</w:t>
            </w:r>
          </w:p>
        </w:tc>
      </w:tr>
      <w:tr>
        <w:trPr>
          <w:trHeight w:val="178"/>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2000</w:t>
            </w:r>
          </w:p>
        </w:tc>
      </w:tr>
      <w:tr>
        <w:trPr>
          <w:trHeight w:val="105"/>
        </w:trPr>
        <w:tc>
          <w:tcPr>
            <w:tcW w:w="5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r>
        <w:trPr>
          <w:trHeight w:val="105"/>
        </w:trPr>
        <w:tc>
          <w:tcPr>
            <w:tcW w:w="5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182,700</w:t>
            </w:r>
          </w:p>
        </w:tc>
        <w:tc>
          <w:tcPr>
            <w:tcW w:w="5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-637540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-637540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-637540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-637540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2"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Effective July 4, 1999, the Company acquired substantially all of the assets and assumed certain liabilities of Earsley Capital Corporation, a Nevada corporation and successor to and formerly known as Industrial Molding Group, L.P. (“IMC”). IMC, located in Lubbock, Texas, operates as a premier full-service designer and manufacturer of precision plastic injection molded components. The Company paid consideration of approximately $30,000, consisting of $27,500 in cash and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440 shares of its common stock, for the net assets acquired from IMC. The Company has accounted for the IMC acquisition using the purchase method of accounting and, accordingly, the results of operations of IMC have been included in the Company’s consolidated financial statements from July 4, 1999. The excess of the purchase price over the fair value of the net identifiable assets acquired of $13,200 has been recorded as goodwill, which is being amortized, on a straight-line basis over twenty years.</w:t>
      </w:r>
    </w:p>
    <w:p>
      <w:pPr>
        <w:spacing w:after="0" w:line="123" w:lineRule="exact"/>
        <w:rPr>
          <w:sz w:val="20"/>
          <w:szCs w:val="20"/>
          <w:color w:val="auto"/>
        </w:rPr>
      </w:pPr>
    </w:p>
    <w:p>
      <w:pPr>
        <w:ind w:left="460" w:right="120"/>
        <w:spacing w:after="0" w:line="310" w:lineRule="auto"/>
        <w:rPr>
          <w:sz w:val="20"/>
          <w:szCs w:val="20"/>
          <w:color w:val="auto"/>
        </w:rPr>
      </w:pPr>
      <w:r>
        <w:rPr>
          <w:rFonts w:ascii="Times New Roman" w:cs="Times New Roman" w:eastAsia="Times New Roman" w:hAnsi="Times New Roman"/>
          <w:sz w:val="16"/>
          <w:szCs w:val="16"/>
          <w:color w:val="auto"/>
        </w:rPr>
        <w:t>The following unaudited pro forma summary presents the financial information as if the Company’s acquisition of IMC had occurred on January 1, 1999. This unaudited pro forma summary does not include Euroball or Delta. These proforma results have been prepared for comparative purposes and do not purport to be indicative of what would have occurred had the acquisition been made on January 1, 1999, nor is it indicative of future results.</w:t>
      </w:r>
    </w:p>
    <w:p>
      <w:pPr>
        <w:spacing w:after="0" w:line="6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w w:val="96"/>
              </w:rPr>
              <w:t>(Unaudited)</w:t>
            </w:r>
          </w:p>
        </w:tc>
      </w:tr>
      <w:tr>
        <w:trPr>
          <w:trHeight w:val="149"/>
        </w:trPr>
        <w:tc>
          <w:tcPr>
            <w:tcW w:w="6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78"/>
        </w:trPr>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w w:val="92"/>
              </w:rPr>
              <w:t>1999</w:t>
            </w:r>
          </w:p>
        </w:tc>
      </w:tr>
      <w:tr>
        <w:trPr>
          <w:trHeight w:val="105"/>
        </w:trPr>
        <w:tc>
          <w:tcPr>
            <w:tcW w:w="6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r>
      <w:tr>
        <w:trPr>
          <w:trHeight w:val="105"/>
        </w:trPr>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Dilutive earnings per share</w:t>
            </w:r>
          </w:p>
        </w:tc>
        <w:tc>
          <w:tcPr>
            <w:tcW w:w="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-637540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-637540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Impairment Charges</w:t>
      </w:r>
    </w:p>
    <w:p>
      <w:pPr>
        <w:spacing w:after="0" w:line="159" w:lineRule="exact"/>
        <w:rPr>
          <w:rFonts w:ascii="Times New Roman" w:cs="Times New Roman" w:eastAsia="Times New Roman" w:hAnsi="Times New Roman"/>
          <w:sz w:val="18"/>
          <w:szCs w:val="18"/>
          <w:b w:val="1"/>
          <w:bCs w:val="1"/>
          <w:color w:val="auto"/>
        </w:rPr>
      </w:pPr>
    </w:p>
    <w:p>
      <w:pPr>
        <w:ind w:left="4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10). The closure was substantially completed by December 31, 2001.</w:t>
      </w:r>
    </w:p>
    <w:p>
      <w:pPr>
        <w:spacing w:after="0" w:line="118"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$750 during the year ended December 31, 2001 for the severance payments. Additionally, prior to December 31, 2001, the Company decided to sell the Walterboro land, building and certain machinery. The Company incurred an impairment charge of $1,083 during 2001 to write-down the land and building at the Walterboro facility to its net realizable value of $1,697, which was based upon fair market value appraisals. The amounts the Company will ultimately realize upon disposition of these assets could differ materially from the amounts assumed in arriving at the 2001 impairment loss. The remaining equipment with a historical net book value of $2,656 is also held for sale. The Company anticipates selling the land, building and machinery during 2002. Approximately $290 of the severance payments were paid in 2001 and the remaining is expected to be paid in 2002.</w:t>
      </w:r>
    </w:p>
    <w:p>
      <w:pPr>
        <w:spacing w:after="0" w:line="129" w:lineRule="exact"/>
        <w:rPr>
          <w:rFonts w:ascii="Times New Roman" w:cs="Times New Roman" w:eastAsia="Times New Roman" w:hAnsi="Times New Roman"/>
          <w:sz w:val="18"/>
          <w:szCs w:val="18"/>
          <w:b w:val="1"/>
          <w:bCs w:val="1"/>
          <w:color w:val="auto"/>
        </w:rPr>
      </w:pPr>
    </w:p>
    <w:p>
      <w:pPr>
        <w:ind w:left="460" w:right="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restructuring costs of $460 are included in other current liabilities as of December 31, 2001. The Company has charged expenses for moving machinery, equipment and inventory to</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60"/>
          </w:cols>
          <w:pgMar w:left="240" w:top="455" w:right="2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production facilities and other costs to close the facility, which will benefit future operations in the period they are incurred.</w:t>
      </w:r>
    </w:p>
    <w:p>
      <w:pPr>
        <w:spacing w:after="0" w:line="158"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color w:val="auto"/>
        </w:rPr>
        <w:t>In addition to this restructuring charge, the Company’s Euroball subsidiary incurred restructuring charges of $479 for severance payments as a result of the termination of 15 hourly employees and 3 salaried employees at its Italy production facility. Approximately $426 of the severance payments were paid during 2001 and remaining accrued restructuring costs of $53 are included in other current liabilities as of December 31, 2001.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2001 restructurings: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4"/>
              </w:rPr>
              <w:t>Paid in</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20" w:type="dxa"/>
            <w:vAlign w:val="bottom"/>
          </w:tcPr>
          <w:p>
            <w:pPr>
              <w:spacing w:after="0"/>
              <w:rPr>
                <w:sz w:val="13"/>
                <w:szCs w:val="13"/>
                <w:color w:val="auto"/>
              </w:rPr>
            </w:pPr>
          </w:p>
        </w:tc>
      </w:tr>
      <w:tr>
        <w:trPr>
          <w:trHeight w:val="178"/>
        </w:trPr>
        <w:tc>
          <w:tcPr>
            <w:tcW w:w="4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Charges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Writedowns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at 12/31/01</w:t>
            </w:r>
          </w:p>
        </w:tc>
        <w:tc>
          <w:tcPr>
            <w:tcW w:w="20" w:type="dxa"/>
            <w:vAlign w:val="bottom"/>
          </w:tcPr>
          <w:p>
            <w:pPr>
              <w:spacing w:after="0"/>
              <w:rPr>
                <w:sz w:val="15"/>
                <w:szCs w:val="15"/>
                <w:color w:val="auto"/>
              </w:rPr>
            </w:pPr>
          </w:p>
        </w:tc>
      </w:tr>
      <w:tr>
        <w:trPr>
          <w:trHeight w:val="105"/>
        </w:trPr>
        <w:tc>
          <w:tcPr>
            <w:tcW w:w="40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9"/>
                <w:szCs w:val="19"/>
                <w:color w:val="auto"/>
              </w:rPr>
            </w:pPr>
          </w:p>
        </w:tc>
      </w:tr>
      <w:tr>
        <w:trPr>
          <w:trHeight w:val="106"/>
        </w:trPr>
        <w:tc>
          <w:tcPr>
            <w:tcW w:w="40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r>
      <w:tr>
        <w:trPr>
          <w:trHeight w:val="105"/>
        </w:trPr>
        <w:tc>
          <w:tcPr>
            <w:tcW w:w="4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000" w:type="dxa"/>
            <w:vAlign w:val="bottom"/>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-751840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-751840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-751840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-751840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-751840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-751840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-751840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-323215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-323215</wp:posOffset>
            </wp:positionV>
            <wp:extent cx="215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-323215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-323215</wp:posOffset>
            </wp:positionV>
            <wp:extent cx="215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215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215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-38100</wp:posOffset>
            </wp:positionV>
            <wp:extent cx="40703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07035" cy="38735"/>
                    </a:xfrm>
                    <a:prstGeom prst="rect">
                      <a:avLst/>
                    </a:prstGeom>
                    <a:noFill/>
                  </pic:spPr>
                </pic:pic>
              </a:graphicData>
            </a:graphic>
          </wp:anchor>
        </w:drawing>
      </w:r>
    </w:p>
    <w:p>
      <w:pPr>
        <w:spacing w:after="0" w:line="219" w:lineRule="exact"/>
        <w:rPr>
          <w:sz w:val="20"/>
          <w:szCs w:val="20"/>
          <w:color w:val="auto"/>
        </w:rPr>
      </w:pPr>
    </w:p>
    <w:p>
      <w:pPr>
        <w:ind w:left="460"/>
        <w:spacing w:after="0" w:line="293" w:lineRule="auto"/>
        <w:rPr>
          <w:sz w:val="20"/>
          <w:szCs w:val="20"/>
          <w:color w:val="auto"/>
        </w:rPr>
      </w:pPr>
      <w:r>
        <w:rPr>
          <w:rFonts w:ascii="Times New Roman" w:cs="Times New Roman" w:eastAsia="Times New Roman" w:hAnsi="Times New Roman"/>
          <w:sz w:val="16"/>
          <w:szCs w:val="16"/>
          <w:color w:val="auto"/>
        </w:rPr>
        <w:t>Investments in affiliated companies at December 31, 2000 consist of 50% of the member interest of NN General, LLC. 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 2020. Accrued interest income on this note is $159 at December 31, 2000 and is included in other current assets in the accompanying consolidated balance sheet.</w:t>
      </w:r>
    </w:p>
    <w:p>
      <w:pPr>
        <w:spacing w:after="0" w:line="97"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of LIBOR (1.88% at December 31, 2001) plus 1.5%. In 2001, the Company recorded a non-cash loss on the sale of its investment in this joint venture of $144.</w:t>
      </w:r>
    </w:p>
    <w:p>
      <w:pPr>
        <w:spacing w:after="0" w:line="1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(5)</w:t>
        <w:tab/>
        <w:t>Accounts Receivable</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34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w:t>
            </w:r>
          </w:p>
        </w:tc>
        <w:tc>
          <w:tcPr>
            <w:tcW w:w="2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20" w:type="dxa"/>
            <w:vAlign w:val="bottom"/>
          </w:tcPr>
          <w:p>
            <w:pPr>
              <w:spacing w:after="0"/>
              <w:rPr>
                <w:sz w:val="18"/>
                <w:szCs w:val="18"/>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Pr>
          <w:p>
            <w:pPr>
              <w:spacing w:after="0"/>
              <w:rPr>
                <w:sz w:val="19"/>
                <w:szCs w:val="19"/>
                <w:color w:val="auto"/>
              </w:rPr>
            </w:pPr>
          </w:p>
        </w:tc>
      </w:tr>
      <w:tr>
        <w:trPr>
          <w:trHeight w:val="106"/>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34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30,325</w:t>
            </w:r>
          </w:p>
        </w:tc>
        <w:tc>
          <w:tcPr>
            <w:tcW w:w="20" w:type="dxa"/>
            <w:vAlign w:val="bottom"/>
          </w:tcPr>
          <w:p>
            <w:pPr>
              <w:spacing w:after="0"/>
              <w:rPr>
                <w:sz w:val="18"/>
                <w:szCs w:val="18"/>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Less—Allowance for doubtful accounts</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9"/>
                <w:szCs w:val="19"/>
                <w:color w:val="auto"/>
              </w:rPr>
            </w:pPr>
          </w:p>
        </w:tc>
      </w:tr>
      <w:tr>
        <w:trPr>
          <w:trHeight w:val="106"/>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34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20" w:type="dxa"/>
            <w:vAlign w:val="bottom"/>
          </w:tcPr>
          <w:p>
            <w:pPr>
              <w:spacing w:after="0"/>
              <w:rPr>
                <w:sz w:val="18"/>
                <w:szCs w:val="18"/>
                <w:color w:val="auto"/>
              </w:rPr>
            </w:pPr>
          </w:p>
        </w:tc>
      </w:tr>
      <w:tr>
        <w:trPr>
          <w:trHeight w:val="105"/>
        </w:trPr>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3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r>
        <w:trPr>
          <w:trHeight w:val="535"/>
        </w:trPr>
        <w:tc>
          <w:tcPr>
            <w:tcW w:w="3460" w:type="dxa"/>
            <w:vAlign w:val="bottom"/>
          </w:tcPr>
          <w:p>
            <w:pPr>
              <w:spacing w:after="0"/>
              <w:rPr>
                <w:sz w:val="24"/>
                <w:szCs w:val="24"/>
                <w:color w:val="auto"/>
              </w:rPr>
            </w:pPr>
          </w:p>
        </w:tc>
        <w:tc>
          <w:tcPr>
            <w:tcW w:w="230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F-15</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-1769110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-1769110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-1520190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-1520190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-1520190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-1520190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-1091565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-1091565</wp:posOffset>
            </wp:positionV>
            <wp:extent cx="215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-1091565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-1091565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-1091565</wp:posOffset>
            </wp:positionV>
            <wp:extent cx="215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-1091565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-662940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-662940</wp:posOffset>
            </wp:positionV>
            <wp:extent cx="215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-662940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-662940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-662940</wp:posOffset>
            </wp:positionV>
            <wp:extent cx="215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Allowance for doubtful accounts is as follows: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Balance at beginning of</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Write-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 w:type="dxa"/>
            <w:vAlign w:val="bottom"/>
          </w:tcPr>
          <w:p>
            <w:pPr>
              <w:spacing w:after="0"/>
              <w:rPr>
                <w:sz w:val="15"/>
                <w:szCs w:val="15"/>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2"/>
              </w:rPr>
              <w:t>Additions</w:t>
            </w:r>
          </w:p>
        </w:tc>
        <w:tc>
          <w:tcPr>
            <w:tcW w:w="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offs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1999</w:t>
            </w:r>
          </w:p>
        </w:tc>
        <w:tc>
          <w:tcPr>
            <w:tcW w:w="3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1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2000</w:t>
            </w:r>
          </w:p>
        </w:tc>
        <w:tc>
          <w:tcPr>
            <w:tcW w:w="3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1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2001</w:t>
            </w:r>
          </w:p>
        </w:tc>
        <w:tc>
          <w:tcPr>
            <w:tcW w:w="3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1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6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-1351915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-1351915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-1351915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-1351915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-1351915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-1351915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-1351915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-1351915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-1351915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-1351915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-929640</wp:posOffset>
            </wp:positionV>
            <wp:extent cx="732790"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32790" cy="3873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-483870</wp:posOffset>
            </wp:positionV>
            <wp:extent cx="364490"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64490" cy="3873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-483870</wp:posOffset>
            </wp:positionV>
            <wp:extent cx="732790"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32790" cy="3873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-38100</wp:posOffset>
            </wp:positionV>
            <wp:extent cx="364490"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64490" cy="38735"/>
                    </a:xfrm>
                    <a:prstGeom prst="rect">
                      <a:avLst/>
                    </a:prstGeom>
                    <a:noFill/>
                  </pic:spPr>
                </pic:pic>
              </a:graphicData>
            </a:graphic>
          </wp:anchor>
        </w:drawing>
      </w:r>
    </w:p>
    <w:p>
      <w:pPr>
        <w:spacing w:after="0" w:line="21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On November 6, 2001, a customer of IMC filed for voluntary Chapter 7 bankruptcy. As of December 31, 2001, the Company had a trade accounts receivable balance of approximately $829 with this customer. For the year ended December 31, 2001, the Company recorded sales of approximately $1,900 to this customer. As of December 31, 2001, the Company has increased its allowance for doubtful accounts by approximately $829 as a result of this bankruptcy filing.</w:t>
      </w:r>
    </w:p>
    <w:p>
      <w:pPr>
        <w:spacing w:after="0" w:line="121"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5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65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55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66"/>
        </w:trPr>
        <w:tc>
          <w:tcPr>
            <w:tcW w:w="5540" w:type="dxa"/>
            <w:vAlign w:val="bottom"/>
          </w:tcPr>
          <w:p>
            <w:pPr>
              <w:spacing w:after="0"/>
              <w:rPr>
                <w:sz w:val="23"/>
                <w:szCs w:val="23"/>
                <w:color w:val="auto"/>
              </w:rPr>
            </w:pPr>
          </w:p>
        </w:tc>
        <w:tc>
          <w:tcPr>
            <w:tcW w:w="170" w:type="dxa"/>
            <w:vAlign w:val="bottom"/>
          </w:tcPr>
          <w:p>
            <w:pPr>
              <w:spacing w:after="0"/>
              <w:rPr>
                <w:sz w:val="23"/>
                <w:szCs w:val="23"/>
                <w:color w:val="auto"/>
              </w:rPr>
            </w:pPr>
          </w:p>
        </w:tc>
        <w:tc>
          <w:tcPr>
            <w:tcW w:w="105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2001</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2000</w:t>
            </w:r>
          </w:p>
        </w:tc>
        <w:tc>
          <w:tcPr>
            <w:tcW w:w="140" w:type="dxa"/>
            <w:vAlign w:val="bottom"/>
          </w:tcPr>
          <w:p>
            <w:pPr>
              <w:spacing w:after="0"/>
              <w:rPr>
                <w:sz w:val="23"/>
                <w:szCs w:val="23"/>
                <w:color w:val="auto"/>
              </w:rPr>
            </w:pPr>
          </w:p>
        </w:tc>
      </w:tr>
      <w:tr>
        <w:trPr>
          <w:trHeight w:val="105"/>
        </w:trPr>
        <w:tc>
          <w:tcPr>
            <w:tcW w:w="55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5540" w:type="dxa"/>
            <w:vAlign w:val="bottom"/>
          </w:tcPr>
          <w:p>
            <w:pPr>
              <w:spacing w:after="0"/>
              <w:rPr>
                <w:sz w:val="9"/>
                <w:szCs w:val="9"/>
                <w:color w:val="auto"/>
              </w:rPr>
            </w:pPr>
          </w:p>
        </w:tc>
        <w:tc>
          <w:tcPr>
            <w:tcW w:w="170" w:type="dxa"/>
            <w:vAlign w:val="bottom"/>
          </w:tcPr>
          <w:p>
            <w:pPr>
              <w:spacing w:after="0"/>
              <w:rPr>
                <w:sz w:val="9"/>
                <w:szCs w:val="9"/>
                <w:color w:val="auto"/>
              </w:rPr>
            </w:pPr>
          </w:p>
        </w:tc>
        <w:tc>
          <w:tcPr>
            <w:tcW w:w="105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7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140" w:type="dxa"/>
            <w:vAlign w:val="bottom"/>
            <w:shd w:val="clear" w:color="auto" w:fill="CCEEFF"/>
          </w:tcPr>
          <w:p>
            <w:pPr>
              <w:spacing w:after="0"/>
              <w:rPr>
                <w:sz w:val="18"/>
                <w:szCs w:val="18"/>
                <w:color w:val="auto"/>
              </w:rPr>
            </w:pP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Less-inventory reserve</w:t>
            </w:r>
          </w:p>
        </w:tc>
        <w:tc>
          <w:tcPr>
            <w:tcW w:w="170" w:type="dxa"/>
            <w:vAlign w:val="bottom"/>
          </w:tcPr>
          <w:p>
            <w:pPr>
              <w:spacing w:after="0"/>
              <w:rPr>
                <w:sz w:val="19"/>
                <w:szCs w:val="19"/>
                <w:color w:val="auto"/>
              </w:rPr>
            </w:pPr>
          </w:p>
        </w:tc>
        <w:tc>
          <w:tcPr>
            <w:tcW w:w="143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r>
      <w:tr>
        <w:trPr>
          <w:trHeight w:val="106"/>
        </w:trPr>
        <w:tc>
          <w:tcPr>
            <w:tcW w:w="55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5540" w:type="dxa"/>
            <w:vAlign w:val="bottom"/>
          </w:tcPr>
          <w:p>
            <w:pPr>
              <w:spacing w:after="0"/>
              <w:rPr>
                <w:sz w:val="9"/>
                <w:szCs w:val="9"/>
                <w:color w:val="auto"/>
              </w:rPr>
            </w:pPr>
          </w:p>
        </w:tc>
        <w:tc>
          <w:tcPr>
            <w:tcW w:w="170" w:type="dxa"/>
            <w:vAlign w:val="bottom"/>
          </w:tcPr>
          <w:p>
            <w:pPr>
              <w:spacing w:after="0"/>
              <w:rPr>
                <w:sz w:val="9"/>
                <w:szCs w:val="9"/>
                <w:color w:val="auto"/>
              </w:rPr>
            </w:pPr>
          </w:p>
        </w:tc>
        <w:tc>
          <w:tcPr>
            <w:tcW w:w="105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540" w:type="dxa"/>
            <w:vAlign w:val="bottom"/>
            <w:shd w:val="clear" w:color="auto" w:fill="CCEEFF"/>
          </w:tcPr>
          <w:p>
            <w:pPr>
              <w:spacing w:after="0"/>
              <w:rPr>
                <w:sz w:val="18"/>
                <w:szCs w:val="18"/>
                <w:color w:val="auto"/>
              </w:rPr>
            </w:pPr>
          </w:p>
        </w:tc>
        <w:tc>
          <w:tcPr>
            <w:tcW w:w="17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 w:type="dxa"/>
            <w:vAlign w:val="bottom"/>
            <w:shd w:val="clear" w:color="auto" w:fill="CCEEFF"/>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170" w:type="dxa"/>
            <w:vAlign w:val="bottom"/>
          </w:tcPr>
          <w:p>
            <w:pPr>
              <w:spacing w:after="0"/>
              <w:rPr>
                <w:sz w:val="9"/>
                <w:szCs w:val="9"/>
                <w:color w:val="auto"/>
              </w:rPr>
            </w:pPr>
          </w:p>
        </w:tc>
        <w:tc>
          <w:tcPr>
            <w:tcW w:w="105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170" w:type="dxa"/>
            <w:vAlign w:val="bottom"/>
            <w:shd w:val="clear" w:color="auto" w:fill="000000"/>
          </w:tcPr>
          <w:p>
            <w:pPr>
              <w:spacing w:after="0"/>
              <w:rPr>
                <w:sz w:val="5"/>
                <w:szCs w:val="5"/>
                <w:color w:val="auto"/>
              </w:rPr>
            </w:pPr>
          </w:p>
        </w:tc>
        <w:tc>
          <w:tcPr>
            <w:tcW w:w="105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-1275080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-1275080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-1026160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-1026160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-1026160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-1026160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215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-329565</wp:posOffset>
            </wp:positionV>
            <wp:extent cx="38735"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215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38735"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-38100</wp:posOffset>
            </wp:positionV>
            <wp:extent cx="2984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-38100</wp:posOffset>
            </wp:positionV>
            <wp:extent cx="2984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on consignment at December 31, 2001 and 2000 was approximately $ 2,908 and $4,083, respectively.</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(7)</w:t>
        <w:tab/>
        <w:t>Property, Plant and Equipment</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560" w:type="dxa"/>
            <w:vAlign w:val="bottom"/>
            <w:gridSpan w:val="3"/>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7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2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10-25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3-10 years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82,770</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5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560" w:type="dxa"/>
            <w:vAlign w:val="bottom"/>
            <w:gridSpan w:val="3"/>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00" w:type="dxa"/>
            <w:vAlign w:val="bottom"/>
            <w:gridSpan w:val="4"/>
          </w:tcPr>
          <w:p>
            <w:pPr>
              <w:jc w:val="right"/>
              <w:ind w:right="2180"/>
              <w:spacing w:after="0"/>
              <w:rPr>
                <w:sz w:val="20"/>
                <w:szCs w:val="20"/>
                <w:color w:val="auto"/>
              </w:rPr>
            </w:pPr>
            <w:r>
              <w:rPr>
                <w:rFonts w:ascii="Times New Roman" w:cs="Times New Roman" w:eastAsia="Times New Roman" w:hAnsi="Times New Roman"/>
                <w:sz w:val="18"/>
                <w:szCs w:val="18"/>
                <w:color w:val="auto"/>
              </w:rPr>
              <w:t>F-16</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-1794510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-1794510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-2043430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-2043430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-1794510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-1794510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-1794510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-1794510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-1091565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-1091565</wp:posOffset>
            </wp:positionV>
            <wp:extent cx="215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-1091565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-1091565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-1091565</wp:posOffset>
            </wp:positionV>
            <wp:extent cx="215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-1091565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-662940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-662940</wp:posOffset>
            </wp:positionV>
            <wp:extent cx="215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-662940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-662940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-662940</wp:posOffset>
            </wp:positionV>
            <wp:extent cx="215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-662940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jc w:val="both"/>
        <w:ind w:left="460" w:right="120"/>
        <w:spacing w:after="0" w:line="262" w:lineRule="auto"/>
        <w:rPr>
          <w:sz w:val="20"/>
          <w:szCs w:val="20"/>
          <w:color w:val="auto"/>
        </w:rPr>
      </w:pPr>
      <w:r>
        <w:rPr>
          <w:rFonts w:ascii="Times New Roman" w:cs="Times New Roman" w:eastAsia="Times New Roman" w:hAnsi="Times New Roman"/>
          <w:sz w:val="18"/>
          <w:szCs w:val="18"/>
          <w:color w:val="auto"/>
        </w:rPr>
        <w:t>On September 11, 2001, the Company announced the closing of its Walterboro, South Carolina ball manufacturing facility effective December 2001. As a result of that closing land and building with a carrying value of $1,692 and certain machinery and equipment with a carrying value of $2,656 are held for sale as of December 31, 2001.</w:t>
      </w:r>
    </w:p>
    <w:p>
      <w:pPr>
        <w:spacing w:after="0" w:line="117"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55"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Short Term</w:t>
      </w:r>
    </w:p>
    <w:p>
      <w:pPr>
        <w:spacing w:after="0" w:line="161" w:lineRule="exact"/>
        <w:rPr>
          <w:rFonts w:ascii="Times New Roman" w:cs="Times New Roman" w:eastAsia="Times New Roman" w:hAnsi="Times New Roman"/>
          <w:sz w:val="18"/>
          <w:szCs w:val="18"/>
          <w:b w:val="1"/>
          <w:bCs w:val="1"/>
          <w:i w:val="1"/>
          <w:iCs w:val="1"/>
          <w:color w:val="auto"/>
        </w:rPr>
      </w:pPr>
    </w:p>
    <w:p>
      <w:pPr>
        <w:ind w:left="900" w:right="20"/>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December 31, 2000, the Company had outstanding $2,000 of unsecured notes payable to banks bearing interest at 7.29%. These notes were repaid during 2001.</w:t>
      </w:r>
    </w:p>
    <w:p>
      <w:pPr>
        <w:spacing w:after="0" w:line="102" w:lineRule="exact"/>
        <w:rPr>
          <w:rFonts w:ascii="Times New Roman" w:cs="Times New Roman" w:eastAsia="Times New Roman" w:hAnsi="Times New Roman"/>
          <w:sz w:val="18"/>
          <w:szCs w:val="18"/>
          <w:b w:val="1"/>
          <w:bCs w:val="1"/>
          <w:i w:val="1"/>
          <w:iCs w:val="1"/>
          <w:color w:val="auto"/>
        </w:rPr>
      </w:pPr>
    </w:p>
    <w:p>
      <w:pPr>
        <w:ind w:left="900" w:hanging="446"/>
        <w:spacing w:after="0"/>
        <w:tabs>
          <w:tab w:leader="none" w:pos="900" w:val="left"/>
        </w:tabs>
        <w:numPr>
          <w:ilvl w:val="1"/>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w:t>
      </w:r>
    </w:p>
    <w:p>
      <w:pPr>
        <w:spacing w:after="0" w:line="161" w:lineRule="exact"/>
        <w:rPr>
          <w:rFonts w:ascii="Times New Roman" w:cs="Times New Roman" w:eastAsia="Times New Roman" w:hAnsi="Times New Roman"/>
          <w:sz w:val="18"/>
          <w:szCs w:val="18"/>
          <w:b w:val="1"/>
          <w:bCs w:val="1"/>
          <w:i w:val="1"/>
          <w:iCs w:val="1"/>
          <w:color w:val="auto"/>
        </w:rPr>
      </w:pPr>
    </w:p>
    <w:p>
      <w:pPr>
        <w:ind w:left="9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Long-term debt at December 31, 2001 and 2000 consists of the following:</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99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Pr>
          <w:p>
            <w:pPr>
              <w:spacing w:after="0"/>
              <w:rPr>
                <w:sz w:val="9"/>
                <w:szCs w:val="9"/>
                <w:color w:val="auto"/>
              </w:rPr>
            </w:pPr>
          </w:p>
        </w:tc>
        <w:tc>
          <w:tcPr>
            <w:tcW w:w="9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Borrowings under a revolving credit facility bearing interest at variable rates (3.24%-4.75% at</w:t>
            </w:r>
          </w:p>
        </w:tc>
        <w:tc>
          <w:tcPr>
            <w:tcW w:w="22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99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2001) due July 25, 2003</w:t>
            </w:r>
          </w:p>
        </w:tc>
        <w:tc>
          <w:tcPr>
            <w:tcW w:w="39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a revolving credit facility bearing interest a variable rates (7.29% at</w:t>
            </w:r>
          </w:p>
        </w:tc>
        <w:tc>
          <w:tcPr>
            <w:tcW w:w="220" w:type="dxa"/>
            <w:vAlign w:val="bottom"/>
          </w:tcPr>
          <w:p>
            <w:pPr>
              <w:spacing w:after="0"/>
              <w:rPr>
                <w:sz w:val="23"/>
                <w:szCs w:val="23"/>
                <w:color w:val="auto"/>
              </w:rPr>
            </w:pPr>
          </w:p>
        </w:tc>
        <w:tc>
          <w:tcPr>
            <w:tcW w:w="17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2000) due July 25, 2003. Repaid in July 2001</w:t>
            </w:r>
          </w:p>
        </w:tc>
        <w:tc>
          <w:tcPr>
            <w:tcW w:w="2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0" w:type="dxa"/>
            <w:vAlign w:val="bottom"/>
          </w:tcPr>
          <w:p>
            <w:pPr>
              <w:spacing w:after="0"/>
              <w:rPr>
                <w:sz w:val="6"/>
                <w:szCs w:val="6"/>
                <w:color w:val="auto"/>
              </w:rPr>
            </w:pPr>
          </w:p>
        </w:tc>
        <w:tc>
          <w:tcPr>
            <w:tcW w:w="99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Term loan bearing interest at variable rates (3.24% at December 31, 2001) payable in quarterly</w:t>
            </w:r>
          </w:p>
        </w:tc>
        <w:tc>
          <w:tcPr>
            <w:tcW w:w="22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99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installments of $1,750 beginning September 19, 2001 through July 1, 2006</w:t>
            </w:r>
          </w:p>
        </w:tc>
        <w:tc>
          <w:tcPr>
            <w:tcW w:w="220" w:type="dxa"/>
            <w:vAlign w:val="bottom"/>
            <w:shd w:val="clear" w:color="auto" w:fill="CCEEFF"/>
          </w:tcPr>
          <w:p>
            <w:pPr>
              <w:spacing w:after="0"/>
              <w:rPr>
                <w:sz w:val="20"/>
                <w:szCs w:val="20"/>
                <w:color w:val="auto"/>
              </w:rPr>
            </w:pPr>
          </w:p>
        </w:tc>
        <w:tc>
          <w:tcPr>
            <w:tcW w:w="170" w:type="dxa"/>
            <w:vAlign w:val="bottom"/>
            <w:shd w:val="clear" w:color="auto" w:fill="CCEEFF"/>
          </w:tcPr>
          <w:p>
            <w:pPr>
              <w:spacing w:after="0"/>
              <w:rPr>
                <w:sz w:val="20"/>
                <w:szCs w:val="20"/>
                <w:color w:val="auto"/>
              </w:rPr>
            </w:pP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a Euro revolving credit facility bearing interest at variable rates (4.55% at</w:t>
            </w:r>
          </w:p>
        </w:tc>
        <w:tc>
          <w:tcPr>
            <w:tcW w:w="220" w:type="dxa"/>
            <w:vAlign w:val="bottom"/>
          </w:tcPr>
          <w:p>
            <w:pPr>
              <w:spacing w:after="0"/>
              <w:rPr>
                <w:sz w:val="23"/>
                <w:szCs w:val="23"/>
                <w:color w:val="auto"/>
              </w:rPr>
            </w:pPr>
          </w:p>
        </w:tc>
        <w:tc>
          <w:tcPr>
            <w:tcW w:w="170" w:type="dxa"/>
            <w:vAlign w:val="bottom"/>
          </w:tcPr>
          <w:p>
            <w:pPr>
              <w:spacing w:after="0"/>
              <w:rPr>
                <w:sz w:val="23"/>
                <w:szCs w:val="23"/>
                <w:color w:val="auto"/>
              </w:rPr>
            </w:pPr>
          </w:p>
        </w:tc>
        <w:tc>
          <w:tcPr>
            <w:tcW w:w="99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2001 and 6.63% at December 31, 2000) due July 15, 2006</w:t>
            </w:r>
          </w:p>
        </w:tc>
        <w:tc>
          <w:tcPr>
            <w:tcW w:w="2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0" w:type="dxa"/>
            <w:vAlign w:val="bottom"/>
          </w:tcPr>
          <w:p>
            <w:pPr>
              <w:spacing w:after="0"/>
              <w:rPr>
                <w:sz w:val="6"/>
                <w:szCs w:val="6"/>
                <w:color w:val="auto"/>
              </w:rPr>
            </w:pPr>
          </w:p>
        </w:tc>
        <w:tc>
          <w:tcPr>
            <w:tcW w:w="99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Euro term loans bearing interest at variable rates (4.55% at December 31, 2001 and 6.63% at</w:t>
            </w:r>
          </w:p>
        </w:tc>
        <w:tc>
          <w:tcPr>
            <w:tcW w:w="22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99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2000) payable in quarterly installments of $1,781 beginning March 15, 2002</w:t>
            </w:r>
          </w:p>
        </w:tc>
        <w:tc>
          <w:tcPr>
            <w:tcW w:w="2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through June 15, 2006</w:t>
            </w:r>
          </w:p>
        </w:tc>
        <w:tc>
          <w:tcPr>
            <w:tcW w:w="220" w:type="dxa"/>
            <w:vAlign w:val="bottom"/>
            <w:shd w:val="clear" w:color="auto" w:fill="CCEEFF"/>
          </w:tcPr>
          <w:p>
            <w:pPr>
              <w:spacing w:after="0"/>
              <w:rPr>
                <w:sz w:val="20"/>
                <w:szCs w:val="20"/>
                <w:color w:val="auto"/>
              </w:rPr>
            </w:pPr>
          </w:p>
        </w:tc>
        <w:tc>
          <w:tcPr>
            <w:tcW w:w="170" w:type="dxa"/>
            <w:vAlign w:val="bottom"/>
            <w:shd w:val="clear" w:color="auto" w:fill="CCEEFF"/>
          </w:tcPr>
          <w:p>
            <w:pPr>
              <w:spacing w:after="0"/>
              <w:rPr>
                <w:sz w:val="20"/>
                <w:szCs w:val="20"/>
                <w:color w:val="auto"/>
              </w:rPr>
            </w:pP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 w:type="dxa"/>
            <w:vAlign w:val="bottom"/>
            <w:tcBorders>
              <w:bottom w:val="single" w:sz="8" w:color="auto"/>
            </w:tcBorders>
          </w:tcPr>
          <w:p>
            <w:pPr>
              <w:spacing w:after="0"/>
              <w:rPr>
                <w:sz w:val="10"/>
                <w:szCs w:val="10"/>
                <w:color w:val="auto"/>
              </w:rPr>
            </w:pPr>
          </w:p>
        </w:tc>
        <w:tc>
          <w:tcPr>
            <w:tcW w:w="99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Pr>
          <w:p>
            <w:pPr>
              <w:spacing w:after="0"/>
              <w:rPr>
                <w:sz w:val="9"/>
                <w:szCs w:val="9"/>
                <w:color w:val="auto"/>
              </w:rPr>
            </w:pPr>
          </w:p>
        </w:tc>
        <w:tc>
          <w:tcPr>
            <w:tcW w:w="9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Pr>
          <w:p>
            <w:pPr>
              <w:spacing w:after="0"/>
              <w:rPr>
                <w:sz w:val="9"/>
                <w:szCs w:val="9"/>
                <w:color w:val="auto"/>
              </w:rPr>
            </w:pPr>
          </w:p>
        </w:tc>
        <w:tc>
          <w:tcPr>
            <w:tcW w:w="9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excluding current installments</w:t>
            </w:r>
          </w:p>
        </w:tc>
        <w:tc>
          <w:tcPr>
            <w:tcW w:w="39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 w:type="dxa"/>
            <w:vAlign w:val="bottom"/>
          </w:tcPr>
          <w:p>
            <w:pPr>
              <w:spacing w:after="0"/>
              <w:rPr>
                <w:sz w:val="9"/>
                <w:szCs w:val="9"/>
                <w:color w:val="auto"/>
              </w:rPr>
            </w:pPr>
          </w:p>
        </w:tc>
        <w:tc>
          <w:tcPr>
            <w:tcW w:w="9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 w:type="dxa"/>
            <w:vAlign w:val="bottom"/>
            <w:shd w:val="clear" w:color="auto" w:fill="000000"/>
          </w:tcPr>
          <w:p>
            <w:pPr>
              <w:spacing w:after="0"/>
              <w:rPr>
                <w:sz w:val="5"/>
                <w:szCs w:val="5"/>
                <w:color w:val="auto"/>
              </w:rPr>
            </w:pPr>
          </w:p>
        </w:tc>
        <w:tc>
          <w:tcPr>
            <w:tcW w:w="99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-2586990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-2586990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-2586990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-2586990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-751840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-751840</wp:posOffset>
            </wp:positionV>
            <wp:extent cx="215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-751840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-751840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215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-751840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215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215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On July 20, 2001, the Company entered into a syndicated loan agreement with AmSouth Bank (“AmSouth”) as the administrative agent for the</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lenders, for a senior non-secured revolving credit facility of up to $25,000, expiring on July 25, 2003 and a senior non-secured term loan for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$35,000 expiring on July 1, 2006. These facilities include certain negative pledges. This credit facility replaces the $25,000 revolving credit facility</w:t>
      </w:r>
    </w:p>
    <w:p>
      <w:pPr>
        <w:spacing w:after="0" w:line="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that was temporarily extended and restated in February 2001 to $50,000 and the additional $2,000 of availability extended in March of 2001.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Amounts outstanding under the revolving facility and term loan facility bear interest at a floating rate equal to LIBOR (1.88% at December 31,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2001) plus an applicable margin of 0.75% to 2.00% based upon calculated financial ratios.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0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9"/>
              </w:rPr>
              <w:t>The loan agreement contains restrictive covenants which specify, among other things, restrictions on the incurrence of indebtedness, payment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capital expenditures,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the maintenance of certain financial ratios. The Company, as of December 31, 2001, was in compliance with all such covenants.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4"/>
                <w:szCs w:val="24"/>
                <w:color w:val="auto"/>
              </w:rPr>
            </w:pPr>
          </w:p>
        </w:tc>
        <w:tc>
          <w:tcPr>
            <w:tcW w:w="10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7"/>
              </w:rPr>
              <w:t>In connection with the Euroball transaction (see Note 2) the Company and Euroball, entered into a Facility Agreement with a bank to provide up to</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9"/>
              </w:rPr>
              <w:t>Euro 36,000 in Term Loans and Euro 5,000 in revolving credit loans. The Company borrowed Euro 30,500 ($28,755) under the term loan facility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and Euro 1,000 ($943) under the revolving credit facility. Amounts outstanding under the Facility Agreement are secured by inventory and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accounts receivable and bear interest at EURIBOR (3.30% at December 31, 2001) plus an applicable margin between 1.125% and 2.25% based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upon financial ratios. The shareholders of Euroball have provided guarantees for the Facility Agreement. The Facility Agreement contains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restrictive covenants, which specify, among other things, restrictions on the incurrence of indebtedness and the maintenance of certain financial</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ratios. Euroball was in compliance with all such covenants at December 31, 2001.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10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aggregate maturities of long-term debt for each of the five years subsequent to December 31, 2001 are as follows: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0160" w:type="dxa"/>
            <w:vAlign w:val="bottom"/>
            <w:gridSpan w:val="2"/>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8"/>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38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38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160" w:type="dxa"/>
            <w:vAlign w:val="bottom"/>
            <w:gridSpan w:val="2"/>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3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-323215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-323215</wp:posOffset>
            </wp:positionV>
            <wp:extent cx="215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Interest paid during 2001, 2000 and 1999 was $3,596, $1,917 and $519, respectively.</w:t>
      </w:r>
    </w:p>
    <w:p>
      <w:pPr>
        <w:spacing w:after="0" w:line="156"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59" w:lineRule="exact"/>
        <w:rPr>
          <w:rFonts w:ascii="Times New Roman" w:cs="Times New Roman" w:eastAsia="Times New Roman" w:hAnsi="Times New Roman"/>
          <w:sz w:val="18"/>
          <w:szCs w:val="18"/>
          <w:b w:val="1"/>
          <w:bCs w:val="1"/>
          <w:color w:val="auto"/>
        </w:rPr>
      </w:pPr>
    </w:p>
    <w:p>
      <w:pPr>
        <w:ind w:left="4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$152, $106 and $120 in 2001, 2000 and 1999, respectively.</w:t>
      </w:r>
    </w:p>
    <w:p>
      <w:pPr>
        <w:spacing w:after="0" w:line="125" w:lineRule="exact"/>
        <w:rPr>
          <w:rFonts w:ascii="Times New Roman" w:cs="Times New Roman" w:eastAsia="Times New Roman" w:hAnsi="Times New Roman"/>
          <w:sz w:val="18"/>
          <w:szCs w:val="18"/>
          <w:b w:val="1"/>
          <w:bCs w:val="1"/>
          <w:color w:val="auto"/>
        </w:rPr>
      </w:pPr>
    </w:p>
    <w:p>
      <w:pPr>
        <w:ind w:left="460" w:right="2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color w:val="auto"/>
        </w:rPr>
        <w:t>Revenue Code. The Company matches 25% of the first 6% of each employee’s contribution to the plan and provides for a discretionary contribution at the end of each plan year. The contributions by the Company for IMC plan since acquisition in July 1999 were $58 in 2001, $70 in 2000 and $196 in 1999. Vesting occurs in equal increments over a period of five years.</w:t>
      </w:r>
    </w:p>
    <w:p>
      <w:pPr>
        <w:spacing w:after="0" w:line="119"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since acquisition in February 2001 were $67. Vesting occurs in equal increments over a period of five years.</w:t>
      </w:r>
    </w:p>
    <w:p>
      <w:pPr>
        <w:spacing w:after="0" w:line="125" w:lineRule="exact"/>
        <w:rPr>
          <w:sz w:val="20"/>
          <w:szCs w:val="20"/>
          <w:color w:val="auto"/>
        </w:rPr>
      </w:pPr>
    </w:p>
    <w:p>
      <w:pPr>
        <w:ind w:left="460" w:right="260"/>
        <w:spacing w:after="0" w:line="257" w:lineRule="auto"/>
        <w:rPr>
          <w:sz w:val="20"/>
          <w:szCs w:val="20"/>
          <w:color w:val="auto"/>
        </w:rPr>
      </w:pPr>
      <w:r>
        <w:rPr>
          <w:rFonts w:ascii="Times New Roman" w:cs="Times New Roman" w:eastAsia="Times New Roman" w:hAnsi="Times New Roman"/>
          <w:sz w:val="18"/>
          <w:szCs w:val="18"/>
          <w:color w:val="auto"/>
        </w:rPr>
        <w:t>The Company has a defined benefit pension plan covering its Eltmann, Germany facility employees (a Euroball division). The benefits are based on the expected years of service including the rate of compensation increase. The plan is unfunded.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is a summary of the changes in the projected benefit obligation for the defined benefit pension plan during 2001 and 2000:</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424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2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 cost</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cost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Benefits paid</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9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Actuarial loss</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32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 w:type="dxa"/>
            <w:vAlign w:val="bottom"/>
            <w:shd w:val="clear" w:color="auto" w:fill="000000"/>
          </w:tcPr>
          <w:p>
            <w:pPr>
              <w:spacing w:after="0"/>
              <w:rPr>
                <w:sz w:val="5"/>
                <w:szCs w:val="5"/>
                <w:color w:val="auto"/>
              </w:rPr>
            </w:pPr>
          </w:p>
        </w:tc>
        <w:tc>
          <w:tcPr>
            <w:tcW w:w="65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assumptions as of December 31:</w:t>
            </w:r>
          </w:p>
        </w:tc>
        <w:tc>
          <w:tcPr>
            <w:tcW w:w="2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424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Discount rate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1.5%-2.1%</w:t>
            </w:r>
          </w:p>
        </w:tc>
        <w:tc>
          <w:tcPr>
            <w:tcW w:w="1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9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5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424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 cost</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8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 w:type="dxa"/>
            <w:vAlign w:val="bottom"/>
            <w:shd w:val="clear" w:color="auto" w:fill="000000"/>
          </w:tcPr>
          <w:p>
            <w:pPr>
              <w:spacing w:after="0"/>
              <w:rPr>
                <w:sz w:val="5"/>
                <w:szCs w:val="5"/>
                <w:color w:val="auto"/>
              </w:rPr>
            </w:pPr>
          </w:p>
        </w:tc>
        <w:tc>
          <w:tcPr>
            <w:tcW w:w="65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8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color w:val="auto"/>
              </w:rPr>
              <w:t>F-19</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-3698240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-3698240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-3698240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-3698240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-2583815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-2583815</wp:posOffset>
            </wp:positionV>
            <wp:extent cx="215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-2590165</wp:posOffset>
            </wp:positionV>
            <wp:extent cx="38735"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-2583815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-2583815</wp:posOffset>
            </wp:positionV>
            <wp:extent cx="215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-2590165</wp:posOffset>
            </wp:positionV>
            <wp:extent cx="38735"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-2298700</wp:posOffset>
            </wp:positionV>
            <wp:extent cx="2984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-2298700</wp:posOffset>
            </wp:positionV>
            <wp:extent cx="2984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-1957705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-1957705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-1957705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-1957705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-1228725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-1228725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-1228725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-1228725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-662940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-662940</wp:posOffset>
            </wp:positionV>
            <wp:extent cx="215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-669290</wp:posOffset>
            </wp:positionV>
            <wp:extent cx="38735"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-662940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-662940</wp:posOffset>
            </wp:positionV>
            <wp:extent cx="215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-669290</wp:posOffset>
            </wp:positionV>
            <wp:extent cx="38735"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-377190</wp:posOffset>
            </wp:positionV>
            <wp:extent cx="2984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-377190</wp:posOffset>
            </wp:positionV>
            <wp:extent cx="2984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p>
      <w:pPr>
        <w:spacing w:after="0" w:line="263"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 w:type="dxa"/>
            <w:vAlign w:val="bottom"/>
          </w:tcPr>
          <w:p>
            <w:pPr>
              <w:spacing w:after="0"/>
              <w:rPr>
                <w:sz w:val="15"/>
                <w:szCs w:val="15"/>
                <w:color w:val="auto"/>
              </w:rPr>
            </w:pPr>
          </w:p>
        </w:tc>
        <w:tc>
          <w:tcPr>
            <w:tcW w:w="105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15"/>
                <w:szCs w:val="15"/>
                <w:color w:val="auto"/>
              </w:rPr>
            </w:pPr>
          </w:p>
        </w:tc>
      </w:tr>
      <w:tr>
        <w:trPr>
          <w:trHeight w:val="105"/>
        </w:trPr>
        <w:tc>
          <w:tcPr>
            <w:tcW w:w="5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5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8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00" w:type="dxa"/>
            <w:vAlign w:val="bottom"/>
            <w:shd w:val="clear" w:color="auto" w:fill="CCEEFF"/>
          </w:tcPr>
          <w:p>
            <w:pPr>
              <w:spacing w:after="0"/>
              <w:rPr>
                <w:sz w:val="18"/>
                <w:szCs w:val="18"/>
                <w:color w:val="auto"/>
              </w:rPr>
            </w:pPr>
          </w:p>
        </w:tc>
        <w:tc>
          <w:tcPr>
            <w:tcW w:w="23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Pr>
          <w:p>
            <w:pPr>
              <w:spacing w:after="0"/>
              <w:rPr>
                <w:sz w:val="18"/>
                <w:szCs w:val="18"/>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8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23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106"/>
        </w:trPr>
        <w:tc>
          <w:tcPr>
            <w:tcW w:w="5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5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8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400" w:type="dxa"/>
            <w:vAlign w:val="bottom"/>
            <w:shd w:val="clear" w:color="auto" w:fill="CCEEFF"/>
          </w:tcPr>
          <w:p>
            <w:pPr>
              <w:spacing w:after="0"/>
              <w:rPr>
                <w:sz w:val="18"/>
                <w:szCs w:val="18"/>
                <w:color w:val="auto"/>
              </w:rPr>
            </w:pPr>
          </w:p>
        </w:tc>
        <w:tc>
          <w:tcPr>
            <w:tcW w:w="23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Pr>
          <w:p>
            <w:pPr>
              <w:spacing w:after="0"/>
              <w:rPr>
                <w:sz w:val="18"/>
                <w:szCs w:val="18"/>
                <w:color w:val="auto"/>
              </w:rPr>
            </w:pPr>
          </w:p>
        </w:tc>
      </w:tr>
      <w:tr>
        <w:trPr>
          <w:trHeight w:val="105"/>
        </w:trPr>
        <w:tc>
          <w:tcPr>
            <w:tcW w:w="5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5620" w:type="dxa"/>
            <w:vAlign w:val="bottom"/>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10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-751840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-751840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-751840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215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-329565</wp:posOffset>
            </wp:positionV>
            <wp:extent cx="38735"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215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-38100</wp:posOffset>
            </wp:positionV>
            <wp:extent cx="2984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w:t>
      </w:r>
    </w:p>
    <w:p>
      <w:pPr>
        <w:spacing w:after="0" w:line="159"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March 2, 1994, the Company adopted the NN, Inc. Stock Incentive Plan under which 1,125 shares of the Company’s Common Stock were reserved for issuance to officers and key employees of the Company. During 1999 and 2000,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26"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A summary of the status of the Company’s stock option plan as described above as of December 31, 2001, 2000 and 1999, and changes during the years ending on those dates is presented below:</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2000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2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year-end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-1667510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-1667510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-1667510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-1667510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-1667510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-1667510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-1229995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-1229995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-1229995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-1229995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-1229995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-1229995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-1229995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-1229995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-1229995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-1229995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-1229995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-1229995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-527050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-533400</wp:posOffset>
            </wp:positionV>
            <wp:extent cx="38735"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-527050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-533400</wp:posOffset>
            </wp:positionV>
            <wp:extent cx="38735"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-527050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-533400</wp:posOffset>
            </wp:positionV>
            <wp:extent cx="38735" cy="215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-241300</wp:posOffset>
            </wp:positionV>
            <wp:extent cx="2984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-241300</wp:posOffset>
            </wp:positionV>
            <wp:extent cx="2984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-241300</wp:posOffset>
            </wp:positionV>
            <wp:extent cx="2984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2001:</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Options outstanding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Range of exercise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2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 exercise</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 at</w:t>
            </w:r>
          </w:p>
        </w:tc>
        <w:tc>
          <w:tcPr>
            <w:tcW w:w="3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 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prices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12/31/2001</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contractual life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3"/>
              </w:rPr>
              <w:t>12/31/2001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$5.94 – $6.50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years</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$7.63 – $8.09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years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-894715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-894715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-894715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-894715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-363220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-363220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-363220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-363220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-363220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-363220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-363220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-363220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-363220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-363220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-363220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-363220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00"/>
          </w:cols>
          <w:pgMar w:left="24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right="60"/>
        <w:spacing w:after="0" w:line="290" w:lineRule="auto"/>
        <w:rPr>
          <w:sz w:val="20"/>
          <w:szCs w:val="20"/>
          <w:color w:val="auto"/>
        </w:rPr>
      </w:pPr>
      <w:r>
        <w:rPr>
          <w:rFonts w:ascii="Times New Roman" w:cs="Times New Roman" w:eastAsia="Times New Roman" w:hAnsi="Times New Roman"/>
          <w:sz w:val="16"/>
          <w:szCs w:val="16"/>
          <w:color w:val="auto"/>
        </w:rPr>
        <w:t>On December 7, 1998, the Company granted a total of 20 options to the members of its Board of Directors. These options carry an exercise price equal to the market price on the date of issuance and vest equally over a period of three years, beginning one year from date of grant. The maximum term of these options is 10 years. On July 4, 1999, the Company granted an additional 20 options to the members of its Board of Directors. These options carry an exercise price equal to the market price on the date of issuance and vest six months from the date of grant. The maximum term of these options is 10 years. On October 10, 2000, the Company granted an additional 15 options to the members of its Board of Directors. These options carry an exercise price equal to the market price on the date of issuance and vest 100% one year from date of grant. The maximum term of these options is 10 years. On September 17, 2001, the Company granted an additional 50 options to the members of the Board of Directors. These options carry an exercise price equal to the market price on the date of issuance and vest 100% one year from date of grant. The maximum term of these options is 10 years.</w:t>
      </w:r>
    </w:p>
    <w:p>
      <w:pPr>
        <w:spacing w:after="0" w:line="99" w:lineRule="exact"/>
        <w:rPr>
          <w:sz w:val="20"/>
          <w:szCs w:val="20"/>
          <w:color w:val="auto"/>
        </w:rPr>
      </w:pPr>
    </w:p>
    <w:p>
      <w:pPr>
        <w:ind w:left="460" w:right="40"/>
        <w:spacing w:after="0" w:line="310" w:lineRule="auto"/>
        <w:rPr>
          <w:sz w:val="20"/>
          <w:szCs w:val="20"/>
          <w:color w:val="auto"/>
        </w:rPr>
      </w:pPr>
      <w:r>
        <w:rPr>
          <w:rFonts w:ascii="Times New Roman" w:cs="Times New Roman" w:eastAsia="Times New Roman" w:hAnsi="Times New Roman"/>
          <w:sz w:val="16"/>
          <w:szCs w:val="16"/>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2001.</w:t>
      </w:r>
    </w:p>
    <w:p>
      <w:pPr>
        <w:spacing w:after="0" w:line="84" w:lineRule="exact"/>
        <w:rPr>
          <w:sz w:val="20"/>
          <w:szCs w:val="20"/>
          <w:color w:val="auto"/>
        </w:rPr>
      </w:pPr>
    </w:p>
    <w:p>
      <w:pPr>
        <w:ind w:left="460"/>
        <w:spacing w:after="0" w:line="290" w:lineRule="auto"/>
        <w:rPr>
          <w:sz w:val="20"/>
          <w:szCs w:val="20"/>
          <w:color w:val="auto"/>
        </w:rPr>
      </w:pPr>
      <w:r>
        <w:rPr>
          <w:rFonts w:ascii="Times New Roman" w:cs="Times New Roman" w:eastAsia="Times New Roman" w:hAnsi="Times New Roman"/>
          <w:sz w:val="16"/>
          <w:szCs w:val="16"/>
          <w:color w:val="auto"/>
        </w:rPr>
        <w:t>All options granted in the period January 1, 1999 through December 31, 2001, except those granted to the Company’s Board of Directors as described above,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compensation expense of $108 during 2001 related to these options.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The Company has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under APB Opinion No. 25 and, accordingly, has not recorded compensation expense for each of the three years ended December 31, 2001,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2000</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As reported</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4,662</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9,987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Proforma</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4,347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9,804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As reported</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0.31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Proforma</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share—assuming dilution</w:t>
            </w:r>
          </w:p>
        </w:tc>
        <w:tc>
          <w:tcPr>
            <w:tcW w:w="2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As reported</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0.30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Proforma</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-1160780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-1160780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-911860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-911860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-911860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-911860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-911860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-911860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2" w:lineRule="exact"/>
        <w:rPr>
          <w:sz w:val="20"/>
          <w:szCs w:val="20"/>
          <w:color w:val="auto"/>
        </w:rPr>
      </w:pPr>
    </w:p>
    <w:p>
      <w:pPr>
        <w:ind w:left="460" w:right="520"/>
        <w:spacing w:after="0" w:line="275" w:lineRule="auto"/>
        <w:rPr>
          <w:sz w:val="20"/>
          <w:szCs w:val="20"/>
          <w:color w:val="auto"/>
        </w:rPr>
      </w:pPr>
      <w:r>
        <w:rPr>
          <w:rFonts w:ascii="Times New Roman" w:cs="Times New Roman" w:eastAsia="Times New Roman" w:hAnsi="Times New Roman"/>
          <w:sz w:val="18"/>
          <w:szCs w:val="18"/>
          <w:color w:val="auto"/>
        </w:rPr>
        <w:t>The fair value of each option grant was estimated based on actual information available through December 31, 2001, 2000 and 1999 using the Black Scholes option-pricing model with the following assumptions: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5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Vesting period</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4.75%,</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 and 6.5% for 2001, 2000 and 1999, respectively</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7"/>
              </w:rPr>
              <w:t>2.8%, 3.6%, and 4.4% annually for 2001, 2000 and 1999, respectively</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40.7%,</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39.5% and 39.5% for 2001, 2000 and 1999, respectively</w:t>
            </w:r>
          </w:p>
        </w:tc>
      </w:tr>
    </w:tbl>
    <w:p>
      <w:pPr>
        <w:spacing w:after="0" w:line="134"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59"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compromised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right="560" w:hanging="6"/>
        <w:spacing w:after="0" w:line="339" w:lineRule="auto"/>
        <w:tabs>
          <w:tab w:leader="none" w:pos="75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Arté business. IMC and NN Arté manufacture plastic products for the bearing, automotive, instrumentation, fiber optic and consumer hardware markets. Delta manufactures engineered bearing seals used principally in automotive, industrial, agricultural, mining and aerospace applications.</w:t>
      </w:r>
    </w:p>
    <w:p>
      <w:pPr>
        <w:spacing w:after="0" w:line="6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2001, 2000 or 1999.</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2000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6"/>
              </w:rPr>
              <w:t>Domestic Ball</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6"/>
              </w:rPr>
              <w:t>Domestic Ball</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Domestic Ball</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and Roller</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Euroball</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Plastics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Roller</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Euroball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Plastics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and Roller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Plastics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3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52,692</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$ 86,719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$40,740</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67,637</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$ 33,988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$30,504</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67,736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1,574</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&amp; amortization</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4,439</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5,426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4,284</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profit (loss)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9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8,314</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Segment assets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62,978</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68,288</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55,721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62,574</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91,392</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33,842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58,557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Expenditures for long-lived assets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3,537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9,319</w:t>
            </w: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-1083945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-1083945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-1083945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-1083945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-1083945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-1083945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-741045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-741045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-741045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-741045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-741045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-741045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-741045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-741045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-741045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-741045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-741045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-741045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-741045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-741045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-741045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-741045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to external customers and long-lived assets utilized by the Company were concentrated in the following geographical regions: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December 31, 2001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December 31, 2000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Long-lived assets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Long-lived assets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Long-lived assets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59,813</w:t>
            </w:r>
          </w:p>
        </w:tc>
        <w:tc>
          <w:tcPr>
            <w:tcW w:w="44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62,094</w:t>
            </w:r>
          </w:p>
        </w:tc>
        <w:tc>
          <w:tcPr>
            <w:tcW w:w="44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44,137</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$ 52,907</w:t>
            </w:r>
          </w:p>
        </w:tc>
        <w:tc>
          <w:tcPr>
            <w:tcW w:w="4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Latin/S.America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export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foreign countries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120,338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47,556</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180,151</w:t>
            </w:r>
          </w:p>
        </w:tc>
        <w:tc>
          <w:tcPr>
            <w:tcW w:w="44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132,129</w:t>
            </w:r>
          </w:p>
        </w:tc>
        <w:tc>
          <w:tcPr>
            <w:tcW w:w="44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91,693</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$ 85,294</w:t>
            </w:r>
          </w:p>
        </w:tc>
        <w:tc>
          <w:tcPr>
            <w:tcW w:w="4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-1703705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-1703705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-1703705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-1703705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-1703705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-1703705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-1454785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-1454785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-1454785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-1454785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-1454785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-1454785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-1454785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-1454785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-1454785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-1454785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-1454785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-1454785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-614680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-614680</wp:posOffset>
            </wp:positionV>
            <wp:extent cx="215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-614680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-614680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-614680</wp:posOffset>
            </wp:positionV>
            <wp:extent cx="215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-614680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-614680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-614680</wp:posOffset>
            </wp:positionV>
            <wp:extent cx="215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-614680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-614680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-614680</wp:posOffset>
            </wp:positionV>
            <wp:extent cx="215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-614680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-614680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-614680</wp:posOffset>
            </wp:positionV>
            <wp:extent cx="215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-614680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-614680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-614680</wp:posOffset>
            </wp:positionV>
            <wp:extent cx="215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-614680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-323215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-323215</wp:posOffset>
            </wp:positionV>
            <wp:extent cx="215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-323215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-323215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-323215</wp:posOffset>
            </wp:positionV>
            <wp:extent cx="215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-323215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-323215</wp:posOffset>
            </wp:positionV>
            <wp:extent cx="215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215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215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215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-38100</wp:posOffset>
            </wp:positionV>
            <wp:extent cx="3331845" cy="387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331845" cy="38735"/>
                    </a:xfrm>
                    <a:prstGeom prst="rect">
                      <a:avLst/>
                    </a:prstGeom>
                    <a:noFill/>
                  </pic:spPr>
                </pic:pic>
              </a:graphicData>
            </a:graphic>
          </wp:anchor>
        </w:drawing>
      </w:r>
    </w:p>
    <w:p>
      <w:pPr>
        <w:spacing w:after="0" w:line="21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Two customers comprised 49%, 49% and 46% of the Domestic Ball and Roller segments sales during the years ended December 31, 2001, 2000, and 1999, respectively (see Note 18). Two customers comprised 76% of the Euroball segments sales during the year ended December 31, 2001. One customer comprised 5% and 20% of IMC’s sales for the years ended December 31, 2001 and 2000, respectively. Accounts receivable concentrations as of December 31, 2001 are generally reflective of sales concentrations during 2001.</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9"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5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income taxes (benefits) for the years ended December 31, 2001, 2000, and 1999 are allocated as follows: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170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67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30" w:type="dxa"/>
            <w:vAlign w:val="bottom"/>
          </w:tcPr>
          <w:p>
            <w:pPr>
              <w:spacing w:after="0"/>
              <w:rPr>
                <w:sz w:val="18"/>
                <w:szCs w:val="18"/>
                <w:color w:val="auto"/>
              </w:rPr>
            </w:pPr>
          </w:p>
        </w:tc>
        <w:tc>
          <w:tcPr>
            <w:tcW w:w="89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2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attributable to income from continuing operations consists of:</w:t>
            </w: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00" w:type="dxa"/>
            <w:vAlign w:val="bottom"/>
            <w:gridSpan w:val="2"/>
            <w:vMerge w:val="continue"/>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6900" w:type="dxa"/>
            <w:vAlign w:val="bottom"/>
            <w:gridSpan w:val="2"/>
            <w:vMerge w:val="continue"/>
          </w:tcPr>
          <w:p>
            <w:pPr>
              <w:spacing w:after="0"/>
              <w:rPr>
                <w:sz w:val="24"/>
                <w:szCs w:val="24"/>
                <w:color w:val="auto"/>
              </w:rPr>
            </w:pPr>
          </w:p>
        </w:tc>
        <w:tc>
          <w:tcPr>
            <w:tcW w:w="13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67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Current:</w:t>
            </w: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6900" w:type="dxa"/>
            <w:vAlign w:val="bottom"/>
            <w:gridSpan w:val="2"/>
            <w:vMerge w:val="continue"/>
          </w:tcPr>
          <w:p>
            <w:pPr>
              <w:spacing w:after="0"/>
              <w:rPr>
                <w:sz w:val="24"/>
                <w:szCs w:val="24"/>
                <w:color w:val="auto"/>
              </w:rPr>
            </w:pPr>
          </w:p>
        </w:tc>
        <w:tc>
          <w:tcPr>
            <w:tcW w:w="13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Federal</w:t>
            </w:r>
          </w:p>
        </w:tc>
        <w:tc>
          <w:tcPr>
            <w:tcW w:w="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Non-U.S.</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67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Borders>
              <w:top w:val="single" w:sz="8" w:color="auto"/>
            </w:tcBorders>
          </w:tcPr>
          <w:p>
            <w:pPr>
              <w:spacing w:after="0"/>
              <w:rPr>
                <w:sz w:val="9"/>
                <w:szCs w:val="9"/>
                <w:color w:val="auto"/>
              </w:rPr>
            </w:pPr>
          </w:p>
        </w:tc>
        <w:tc>
          <w:tcPr>
            <w:tcW w:w="67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Deferred:</w:t>
            </w:r>
          </w:p>
        </w:tc>
        <w:tc>
          <w:tcPr>
            <w:tcW w:w="13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900" w:type="dxa"/>
            <w:vAlign w:val="bottom"/>
            <w:gridSpan w:val="2"/>
            <w:vMerge w:val="continue"/>
          </w:tcPr>
          <w:p>
            <w:pPr>
              <w:spacing w:after="0"/>
              <w:rPr>
                <w:sz w:val="24"/>
                <w:szCs w:val="24"/>
                <w:color w:val="auto"/>
              </w:rPr>
            </w:pPr>
          </w:p>
        </w:tc>
        <w:tc>
          <w:tcPr>
            <w:tcW w:w="13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Federal</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Non-U.S.</w:t>
            </w:r>
          </w:p>
        </w:tc>
        <w:tc>
          <w:tcPr>
            <w:tcW w:w="13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deferred expense</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2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6480" w:type="dxa"/>
            <w:vAlign w:val="bottom"/>
            <w:tcBorders>
              <w:right w:val="single" w:sz="8" w:color="auto"/>
            </w:tcBorders>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-4259580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-4259580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-4010660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-4010660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-4010660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-4010660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-4010660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-4010660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-3444875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-3444875</wp:posOffset>
            </wp:positionV>
            <wp:extent cx="215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-3451225</wp:posOffset>
            </wp:positionV>
            <wp:extent cx="38735"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-3444875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-3444875</wp:posOffset>
            </wp:positionV>
            <wp:extent cx="215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-3444875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-3444875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-3444875</wp:posOffset>
            </wp:positionV>
            <wp:extent cx="215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-3444875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-3159125</wp:posOffset>
            </wp:positionV>
            <wp:extent cx="29845" cy="3873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-3159125</wp:posOffset>
            </wp:positionV>
            <wp:extent cx="544195" cy="3873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544195" cy="3873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-2561590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-2561590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-2312670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-2312670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-2312670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-2312670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-2312670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-2312670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-1609090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-1609090</wp:posOffset>
            </wp:positionV>
            <wp:extent cx="215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-1615440</wp:posOffset>
            </wp:positionV>
            <wp:extent cx="38735"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-1609090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-1609090</wp:posOffset>
            </wp:positionV>
            <wp:extent cx="215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-1609090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-1609090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-1609090</wp:posOffset>
            </wp:positionV>
            <wp:extent cx="215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-1615440</wp:posOffset>
            </wp:positionV>
            <wp:extent cx="38735"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-1317625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-1317625</wp:posOffset>
            </wp:positionV>
            <wp:extent cx="215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-1323975</wp:posOffset>
            </wp:positionV>
            <wp:extent cx="38735"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-1317625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-1317625</wp:posOffset>
            </wp:positionV>
            <wp:extent cx="215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-1317625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-1317625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-1317625</wp:posOffset>
            </wp:positionV>
            <wp:extent cx="215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-1323975</wp:posOffset>
            </wp:positionV>
            <wp:extent cx="38735"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-614680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-614680</wp:posOffset>
            </wp:positionV>
            <wp:extent cx="215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-621030</wp:posOffset>
            </wp:positionV>
            <wp:extent cx="38735"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-614680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-614680</wp:posOffset>
            </wp:positionV>
            <wp:extent cx="215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-614680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-614680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-614680</wp:posOffset>
            </wp:positionV>
            <wp:extent cx="215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-621030</wp:posOffset>
            </wp:positionV>
            <wp:extent cx="3873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215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-329565</wp:posOffset>
            </wp:positionV>
            <wp:extent cx="38735"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215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215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-329565</wp:posOffset>
            </wp:positionV>
            <wp:extent cx="38735"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-38100</wp:posOffset>
            </wp:positionV>
            <wp:extent cx="2984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-38100</wp:posOffset>
            </wp:positionV>
            <wp:extent cx="544195" cy="387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44195" cy="3873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reconciliation of taxes based on the U.S. federal statutory rate of 34% for the years ended December 31, 2001, 2000 and 1999 is summarized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2000</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sales corporation benefit, net of liability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Non-US earnings taxed at different rates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-1412240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-1412240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-1163320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-1163320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-1163320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-1163320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-1163320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-1163320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215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-329565</wp:posOffset>
            </wp:positionV>
            <wp:extent cx="38735"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215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38735"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215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-329565</wp:posOffset>
            </wp:positionV>
            <wp:extent cx="38735"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-38100</wp:posOffset>
            </wp:positionV>
            <wp:extent cx="2984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-38100</wp:posOffset>
            </wp:positionV>
            <wp:extent cx="527050"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-38100</wp:posOffset>
            </wp:positionV>
            <wp:extent cx="2984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F-24</w:t>
      </w:r>
    </w:p>
    <w:p>
      <w:pPr>
        <w:sectPr>
          <w:pgSz w:w="11900" w:h="16838" w:orient="portrait"/>
          <w:cols w:equalWidth="0" w:num="1">
            <w:col w:w="11340"/>
          </w:cols>
          <w:pgMar w:left="240" w:top="455" w:right="31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effects of the temporary differences are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0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3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in excess of book depreciation</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Duty drawback receivable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deferred income tax liability</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3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bad debts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Vacation accrual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Health insurance accrual</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working capital accruals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Euroball net operating loss carryforward</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-3110230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-3110230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-2861310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-2861310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-2861310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-2861310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-2021205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-2021205</wp:posOffset>
            </wp:positionV>
            <wp:extent cx="215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-2021205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-2021205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-2021205</wp:posOffset>
            </wp:positionV>
            <wp:extent cx="215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-2021205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-1729740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-1729740</wp:posOffset>
            </wp:positionV>
            <wp:extent cx="215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-1729740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-1729740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215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-1729740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-614680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-614680</wp:posOffset>
            </wp:positionV>
            <wp:extent cx="215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-614680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-614680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-614680</wp:posOffset>
            </wp:positionV>
            <wp:extent cx="215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-614680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215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215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-38100</wp:posOffset>
            </wp:positionV>
            <wp:extent cx="638810" cy="3873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38810" cy="3873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 expense differs from the change in the net deferred income tax liability due to the following:</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55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0" w:type="dxa"/>
            <w:vAlign w:val="bottom"/>
          </w:tcPr>
          <w:p>
            <w:pPr>
              <w:spacing w:after="0"/>
              <w:rPr>
                <w:sz w:val="9"/>
                <w:szCs w:val="9"/>
                <w:color w:val="auto"/>
              </w:rPr>
            </w:pPr>
          </w:p>
        </w:tc>
        <w:tc>
          <w:tcPr>
            <w:tcW w:w="5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deferred income tax liability</w:t>
            </w:r>
          </w:p>
        </w:tc>
        <w:tc>
          <w:tcPr>
            <w:tcW w:w="111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5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adjustment</w:t>
            </w:r>
          </w:p>
        </w:tc>
        <w:tc>
          <w:tcPr>
            <w:tcW w:w="94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94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deferred tax asset (liability) recorded under purchase accounting</w:t>
            </w:r>
          </w:p>
        </w:tc>
        <w:tc>
          <w:tcPr>
            <w:tcW w:w="94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94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0" w:type="dxa"/>
            <w:vAlign w:val="bottom"/>
          </w:tcPr>
          <w:p>
            <w:pPr>
              <w:spacing w:after="0"/>
              <w:rPr>
                <w:sz w:val="9"/>
                <w:szCs w:val="9"/>
                <w:color w:val="auto"/>
              </w:rPr>
            </w:pPr>
          </w:p>
        </w:tc>
        <w:tc>
          <w:tcPr>
            <w:tcW w:w="5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11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5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0" w:type="dxa"/>
            <w:vAlign w:val="bottom"/>
          </w:tcPr>
          <w:p>
            <w:pPr>
              <w:spacing w:after="0"/>
              <w:rPr>
                <w:sz w:val="9"/>
                <w:szCs w:val="9"/>
                <w:color w:val="auto"/>
              </w:rPr>
            </w:pPr>
          </w:p>
        </w:tc>
        <w:tc>
          <w:tcPr>
            <w:tcW w:w="5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0" w:type="dxa"/>
            <w:vAlign w:val="bottom"/>
            <w:shd w:val="clear" w:color="auto" w:fill="000000"/>
          </w:tcPr>
          <w:p>
            <w:pPr>
              <w:spacing w:after="0"/>
              <w:rPr>
                <w:sz w:val="5"/>
                <w:szCs w:val="5"/>
                <w:color w:val="auto"/>
              </w:rPr>
            </w:pPr>
          </w:p>
        </w:tc>
        <w:tc>
          <w:tcPr>
            <w:tcW w:w="550" w:type="dxa"/>
            <w:vAlign w:val="bottom"/>
            <w:tcBorders>
              <w:right w:val="single" w:sz="8" w:color="auto"/>
            </w:tcBorders>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-1163320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-1163320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-1163320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-1163320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215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38735"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215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-329565</wp:posOffset>
            </wp:positionV>
            <wp:extent cx="38735"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-38100</wp:posOffset>
            </wp:positionV>
            <wp:extent cx="922020"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922020" cy="38735"/>
                    </a:xfrm>
                    <a:prstGeom prst="rect">
                      <a:avLst/>
                    </a:prstGeom>
                    <a:noFill/>
                  </pic:spPr>
                </pic:pic>
              </a:graphicData>
            </a:graphic>
          </wp:anchor>
        </w:drawing>
      </w:r>
    </w:p>
    <w:p>
      <w:pPr>
        <w:spacing w:after="0" w:line="219" w:lineRule="exact"/>
        <w:rPr>
          <w:sz w:val="20"/>
          <w:szCs w:val="20"/>
          <w:color w:val="auto"/>
        </w:rPr>
      </w:pPr>
    </w:p>
    <w:p>
      <w:pPr>
        <w:ind w:left="460" w:right="440"/>
        <w:spacing w:after="0" w:line="275" w:lineRule="auto"/>
        <w:rPr>
          <w:sz w:val="20"/>
          <w:szCs w:val="20"/>
          <w:color w:val="auto"/>
        </w:rPr>
      </w:pPr>
      <w:r>
        <w:rPr>
          <w:rFonts w:ascii="Times New Roman" w:cs="Times New Roman" w:eastAsia="Times New Roman" w:hAnsi="Times New Roman"/>
          <w:sz w:val="18"/>
          <w:szCs w:val="18"/>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106"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right="40"/>
        <w:spacing w:after="0" w:line="275" w:lineRule="auto"/>
        <w:rPr>
          <w:sz w:val="20"/>
          <w:szCs w:val="20"/>
          <w:color w:val="auto"/>
        </w:rPr>
      </w:pPr>
      <w:r>
        <w:rPr>
          <w:rFonts w:ascii="Times New Roman" w:cs="Times New Roman" w:eastAsia="Times New Roman" w:hAnsi="Times New Roman"/>
          <w:sz w:val="18"/>
          <w:szCs w:val="18"/>
          <w:color w:val="auto"/>
        </w:rPr>
        <w:t>At December 31, 2001, the Company has net operating loss carryforwards for foreign income tax purposes of approximately $1,500, which are available to offset future foreign taxable income indefinitely.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payments were approximately $2,845, $5,207 and $3,123 in 2001, 2000, 1999, respectively.</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Reconciliation of Net Income Per Share</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2000</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of dilutive stock options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-1583690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-1583690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-1334770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-1334770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-1334770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-1334770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-1334770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-1334770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-768985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-768985</wp:posOffset>
            </wp:positionV>
            <wp:extent cx="215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-768985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-768985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-768985</wp:posOffset>
            </wp:positionV>
            <wp:extent cx="215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-768985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-768985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215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-768985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-346710</wp:posOffset>
            </wp:positionV>
            <wp:extent cx="655955" cy="387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55955" cy="3873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-38100</wp:posOffset>
            </wp:positionV>
            <wp:extent cx="147891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478915" cy="38735"/>
                    </a:xfrm>
                    <a:prstGeom prst="rect">
                      <a:avLst/>
                    </a:prstGeom>
                    <a:noFill/>
                  </pic:spPr>
                </pic:pic>
              </a:graphicData>
            </a:graphic>
          </wp:anchor>
        </w:drawing>
      </w:r>
    </w:p>
    <w:p>
      <w:pPr>
        <w:spacing w:after="0" w:line="219"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Excluded from the shares outstanding for the years ended December 31, 2001, 2000 and 1999 were 0, 10 and 525 antidilutive options, respectively, which had exercise prices ranging from $9.75 to $11.50, during 2000 and $6.38 to $15.50 during 1999.</w:t>
      </w:r>
    </w:p>
    <w:p>
      <w:pPr>
        <w:spacing w:after="0" w:line="106" w:lineRule="exact"/>
        <w:rPr>
          <w:sz w:val="20"/>
          <w:szCs w:val="20"/>
          <w:color w:val="auto"/>
        </w:rPr>
      </w:pPr>
    </w:p>
    <w:p>
      <w:pPr>
        <w:ind w:left="460" w:right="5040"/>
        <w:spacing w:after="0" w:line="275" w:lineRule="auto"/>
        <w:rPr>
          <w:sz w:val="20"/>
          <w:szCs w:val="20"/>
          <w:color w:val="auto"/>
        </w:rPr>
      </w:pPr>
      <w:r>
        <w:rPr>
          <w:rFonts w:ascii="Times New Roman" w:cs="Times New Roman" w:eastAsia="Times New Roman" w:hAnsi="Times New Roman"/>
          <w:sz w:val="18"/>
          <w:szCs w:val="18"/>
          <w:color w:val="auto"/>
        </w:rPr>
        <w:t>The Company has declared a dividend of $ 0.32 per share in each of the years ended December 31, 2001, 2000 and 1999.</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160" w:lineRule="exact"/>
        <w:rPr>
          <w:sz w:val="20"/>
          <w:szCs w:val="20"/>
          <w:color w:val="auto"/>
        </w:rPr>
      </w:pPr>
    </w:p>
    <w:p>
      <w:pPr>
        <w:ind w:left="460" w:right="240"/>
        <w:spacing w:after="0" w:line="262" w:lineRule="auto"/>
        <w:rPr>
          <w:sz w:val="20"/>
          <w:szCs w:val="20"/>
          <w:color w:val="auto"/>
        </w:rPr>
      </w:pPr>
      <w:r>
        <w:rPr>
          <w:rFonts w:ascii="Times New Roman" w:cs="Times New Roman" w:eastAsia="Times New Roman" w:hAnsi="Times New Roman"/>
          <w:sz w:val="18"/>
          <w:szCs w:val="18"/>
          <w:color w:val="auto"/>
        </w:rPr>
        <w:t>The Company has operating lease commitments for machinery, office equipment, manufacturing and office space which expire on varying dates. Rent expense for 2001, 2000 and 1999 was $1,650, $767 and $376, respectively. The following is a schedule by year of future minimum lease payments as of December 31, 2001 under operating leases that have initial or remaining noncancelable lease terms in excess of one year.</w:t>
      </w:r>
    </w:p>
    <w:p>
      <w:pPr>
        <w:spacing w:after="0" w:line="117" w:lineRule="exact"/>
        <w:rPr>
          <w:sz w:val="20"/>
          <w:szCs w:val="20"/>
          <w:color w:val="auto"/>
        </w:rPr>
      </w:pPr>
    </w:p>
    <w:tbl>
      <w:tblPr>
        <w:tblLayout w:type="fixed"/>
        <w:tblInd w:w="2860" w:type="dxa"/>
        <w:tblCellMar>
          <w:top w:w="0" w:type="dxa"/>
          <w:left w:w="0" w:type="dxa"/>
          <w:bottom w:w="0" w:type="dxa"/>
          <w:right w:w="0" w:type="dxa"/>
        </w:tblCellMar>
      </w:tblPr>
      <w:tr>
        <w:trPr>
          <w:trHeight w:val="178"/>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267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 w:type="dxa"/>
            <w:vAlign w:val="bottom"/>
          </w:tcPr>
          <w:p>
            <w:pPr>
              <w:spacing w:after="0"/>
              <w:rPr>
                <w:sz w:val="9"/>
                <w:szCs w:val="9"/>
                <w:color w:val="auto"/>
              </w:rPr>
            </w:pPr>
          </w:p>
        </w:tc>
        <w:tc>
          <w:tcPr>
            <w:tcW w:w="26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 w:type="dxa"/>
            <w:vAlign w:val="bottom"/>
          </w:tcPr>
          <w:p>
            <w:pPr>
              <w:spacing w:after="0"/>
              <w:rPr>
                <w:sz w:val="9"/>
                <w:szCs w:val="9"/>
                <w:color w:val="auto"/>
              </w:rPr>
            </w:pPr>
          </w:p>
        </w:tc>
        <w:tc>
          <w:tcPr>
            <w:tcW w:w="26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c>
          <w:tcPr>
            <w:tcW w:w="48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2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2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2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67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 w:type="dxa"/>
            <w:vAlign w:val="bottom"/>
          </w:tcPr>
          <w:p>
            <w:pPr>
              <w:spacing w:after="0"/>
              <w:rPr>
                <w:sz w:val="9"/>
                <w:szCs w:val="9"/>
                <w:color w:val="auto"/>
              </w:rPr>
            </w:pPr>
          </w:p>
        </w:tc>
        <w:tc>
          <w:tcPr>
            <w:tcW w:w="26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1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 w:type="dxa"/>
            <w:vAlign w:val="bottom"/>
          </w:tcPr>
          <w:p>
            <w:pPr>
              <w:spacing w:after="0"/>
              <w:rPr>
                <w:sz w:val="9"/>
                <w:szCs w:val="9"/>
                <w:color w:val="auto"/>
              </w:rPr>
            </w:pPr>
          </w:p>
        </w:tc>
        <w:tc>
          <w:tcPr>
            <w:tcW w:w="26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 w:type="dxa"/>
            <w:vAlign w:val="bottom"/>
            <w:shd w:val="clear" w:color="auto" w:fill="000000"/>
          </w:tcPr>
          <w:p>
            <w:pPr>
              <w:spacing w:after="0"/>
              <w:rPr>
                <w:sz w:val="5"/>
                <w:szCs w:val="5"/>
                <w:color w:val="auto"/>
              </w:rPr>
            </w:pPr>
          </w:p>
        </w:tc>
        <w:tc>
          <w:tcPr>
            <w:tcW w:w="267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-1300480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-1300480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-323215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-323215</wp:posOffset>
            </wp:positionV>
            <wp:extent cx="215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The Kilkenny operation of the Euroball segment has received certain grants from the Ireland government. These grants are based upon the Kilkenny facility hiring and retaining certain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employment levels. At December 31, 2001, actual employment levels are less than those required by certain grant covenants. As of December 31, 2001, the Company anticipates the grant agreement and employment level thresholds will be adjusted.</w:t>
      </w:r>
    </w:p>
    <w:p>
      <w:pPr>
        <w:spacing w:after="0" w:line="106" w:lineRule="exact"/>
        <w:rPr>
          <w:sz w:val="20"/>
          <w:szCs w:val="20"/>
          <w:color w:val="auto"/>
        </w:rPr>
      </w:pPr>
    </w:p>
    <w:p>
      <w:pPr>
        <w:ind w:left="460" w:right="540"/>
        <w:spacing w:after="0" w:line="275" w:lineRule="auto"/>
        <w:rPr>
          <w:sz w:val="20"/>
          <w:szCs w:val="20"/>
          <w:color w:val="auto"/>
        </w:rPr>
      </w:pPr>
      <w:r>
        <w:rPr>
          <w:rFonts w:ascii="Times New Roman" w:cs="Times New Roman" w:eastAsia="Times New Roman" w:hAnsi="Times New Roman"/>
          <w:sz w:val="18"/>
          <w:szCs w:val="18"/>
          <w:color w:val="auto"/>
        </w:rPr>
        <w:t>The Euroball segment has entered into certain consignment arrangements with Ascometals for the purchase of steel for ball production, whereby the Euroball Kilkenny operation maintains steel on a consignment basis for a period of up to three months.</w:t>
      </w:r>
    </w:p>
    <w:p>
      <w:pPr>
        <w:spacing w:after="0" w:line="106"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 using Euroball’s historical cash flow, the exact amount of the put cannot be determined until the put right is exercised.</w:t>
      </w:r>
    </w:p>
    <w:p>
      <w:pPr>
        <w:spacing w:after="0" w:line="121"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Results of Operations (Unaudited)</w:t>
      </w:r>
    </w:p>
    <w:p>
      <w:pPr>
        <w:spacing w:after="0" w:line="15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the unaudited quarterly results of operations for the years ended December 31, 2001 and 2000.</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Year ended December 31, 2001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6"/>
              </w:rPr>
              <w:t>March 31</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net income (loss) per share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number of shares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number of shares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Year ended December 31, 2000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6"/>
              </w:rPr>
              <w:t>March 31</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net income per share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number of shares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number of shares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F-27</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-4290060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-4290060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-4041775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-4041775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-4041775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-4041775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-4041775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-4041775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-4041775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-4041775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-2789555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-2789555</wp:posOffset>
            </wp:positionV>
            <wp:extent cx="215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-2789555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-2789555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-2789555</wp:posOffset>
            </wp:positionV>
            <wp:extent cx="215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-2789555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-2789555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-2789555</wp:posOffset>
            </wp:positionV>
            <wp:extent cx="215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-2789555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-2789555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-2789555</wp:posOffset>
            </wp:positionV>
            <wp:extent cx="215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-2795905</wp:posOffset>
            </wp:positionV>
            <wp:extent cx="38735"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-2504440</wp:posOffset>
            </wp:positionV>
            <wp:extent cx="570230"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70230" cy="3873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-2504440</wp:posOffset>
            </wp:positionV>
            <wp:extent cx="29845" cy="3873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-2163445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-2163445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-1914525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-1914525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-1914525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-1914525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-1914525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-1914525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-1914525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-1914525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-662940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-662940</wp:posOffset>
            </wp:positionV>
            <wp:extent cx="215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-662940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-662940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-662940</wp:posOffset>
            </wp:positionV>
            <wp:extent cx="215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-662940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-662940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-662940</wp:posOffset>
            </wp:positionV>
            <wp:extent cx="215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-662940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-662940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-662940</wp:posOffset>
            </wp:positionV>
            <wp:extent cx="215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-669290</wp:posOffset>
            </wp:positionV>
            <wp:extent cx="38735" cy="215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-377190</wp:posOffset>
            </wp:positionV>
            <wp:extent cx="2070735" cy="3873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2070735" cy="3873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-377190</wp:posOffset>
            </wp:positionV>
            <wp:extent cx="29845" cy="3873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right="160"/>
        <w:spacing w:after="0" w:line="262" w:lineRule="auto"/>
        <w:rPr>
          <w:sz w:val="20"/>
          <w:szCs w:val="20"/>
          <w:color w:val="auto"/>
        </w:rPr>
      </w:pPr>
      <w:r>
        <w:rPr>
          <w:rFonts w:ascii="Times New Roman" w:cs="Times New Roman" w:eastAsia="Times New Roman" w:hAnsi="Times New Roman"/>
          <w:sz w:val="18"/>
          <w:szCs w:val="18"/>
          <w:color w:val="auto"/>
        </w:rPr>
        <w:t>Fourth quarter results in 2001 include pre-tax charges of $1,405 ($913 after-tax) related to $1,086 of asset write downs on the Company’s Walterboro, SC production facility and $319 of NN Arté minority interest losses absorbed by the Company. Without these nonrecurring charges, the fourth quarter 2001 loss per share would have been ($.01) rather than ($.07).</w:t>
      </w:r>
    </w:p>
    <w:p>
      <w:pPr>
        <w:spacing w:after="0" w:line="117"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59" w:lineRule="exact"/>
        <w:rPr>
          <w:rFonts w:ascii="Times New Roman" w:cs="Times New Roman" w:eastAsia="Times New Roman" w:hAnsi="Times New Roman"/>
          <w:sz w:val="18"/>
          <w:szCs w:val="18"/>
          <w:b w:val="1"/>
          <w:bCs w:val="1"/>
          <w:color w:val="auto"/>
        </w:rPr>
      </w:pPr>
    </w:p>
    <w:p>
      <w:pPr>
        <w:ind w:left="4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the fair value of financial instruments approximate their carrying value due to the short maturity of these instruments or in the case of the Company’s notes receivable and debt, due to the variable interest rates. The following table presents the carrying amounts and estimated fair values of the Company’s financial instruments at December 31, 2001 and 2000:</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23"/>
                <w:szCs w:val="23"/>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3,024</w:t>
            </w:r>
          </w:p>
        </w:tc>
        <w:tc>
          <w:tcPr>
            <w:tcW w:w="6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bank overdraft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Short-term loan</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-1838960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-1838960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-1838960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-1838960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-1590040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-1590040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-1590040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-1590040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-1590040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-1590040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-1590040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-1590040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2"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Involuntary Conversion</w:t>
      </w:r>
    </w:p>
    <w:p>
      <w:pPr>
        <w:spacing w:after="0" w:line="159" w:lineRule="exact"/>
        <w:rPr>
          <w:rFonts w:ascii="Times New Roman" w:cs="Times New Roman" w:eastAsia="Times New Roman" w:hAnsi="Times New Roman"/>
          <w:sz w:val="18"/>
          <w:szCs w:val="18"/>
          <w:b w:val="1"/>
          <w:bCs w:val="1"/>
          <w:color w:val="auto"/>
        </w:rPr>
      </w:pPr>
    </w:p>
    <w:p>
      <w:pPr>
        <w:ind w:left="4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2001 and 2000, the net gain on involuntary conversion of $3,901 and $728, respectively, represents insurance proceeds received in excess of costs incurred.</w:t>
      </w:r>
    </w:p>
    <w:p>
      <w:pPr>
        <w:spacing w:after="0" w:line="12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59" w:lineRule="exact"/>
        <w:rPr>
          <w:rFonts w:ascii="Times New Roman" w:cs="Times New Roman" w:eastAsia="Times New Roman" w:hAnsi="Times New Roman"/>
          <w:sz w:val="18"/>
          <w:szCs w:val="18"/>
          <w:b w:val="1"/>
          <w:bCs w:val="1"/>
          <w:color w:val="auto"/>
        </w:rPr>
      </w:pPr>
    </w:p>
    <w:p>
      <w:pPr>
        <w:ind w:left="4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minority shareholders of Euroball, SKF and FAG, are significant customers of the Company. For the years ended December 31, 2001 and 2000, combined sales to SKF and FAG amounted to $97,270 and $64,064, respectively. At December 31, 2001 and 2000, accounts receivable from SKF and FAG amounted to $11,360 and $4,983, respectively.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Years Ended December 31, 2001, 2000 and 1999</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In connection with the Euroball transaction described in note 2, SKF and FAG provided administrative services to Euroball. Charges for these services amounted to approximately $2,262 and $1,150 for the years ended December 31, 2001 and 2000, respectively. At December 31, 2001 and 2000, amounts payable to SKF and FAG amounted to $1,277 and $1,762, respectively.</w:t>
      </w:r>
    </w:p>
    <w:p>
      <w:pPr>
        <w:spacing w:after="0" w:line="119"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Certain sales agreements are in effect with SKF and FAG, which provide for minimum purchase quantities and specified, annual sales price adjustments that may be modified up or down for changes in material costs. These agreements expire during 2006.</w:t>
      </w:r>
    </w:p>
    <w:p>
      <w:pPr>
        <w:spacing w:after="0" w:line="106"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The Company leases the Eltmann, Germany facility of the Euroball division, from FAG. Annual minimum lease payments are Euro 944 ($885). The lease expires in 2020.</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80"/>
          </w:cols>
          <w:pgMar w:left="240" w:top="455" w:right="3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 (Loss)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60" w:type="dxa"/>
            <w:vAlign w:val="bottom"/>
          </w:tcPr>
          <w:p>
            <w:pPr>
              <w:spacing w:after="0"/>
              <w:rPr>
                <w:sz w:val="15"/>
                <w:szCs w:val="15"/>
                <w:color w:val="auto"/>
              </w:rPr>
            </w:pPr>
          </w:p>
        </w:tc>
        <w:tc>
          <w:tcPr>
            <w:tcW w:w="20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impairment costs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06"/>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cumulative effect of change in accounting principle</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principle, net of income tax benefit of $112 and related minority interest impact of</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9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9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before cumulative effect of change in accounting principle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before cumulative effect of change in accounting principle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vMerge w:val="restart"/>
          </w:tcPr>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9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-7283450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-7283450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-7034530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-7034530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-7034530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-7034530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-6605905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-6605905</wp:posOffset>
            </wp:positionV>
            <wp:extent cx="215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-6612255</wp:posOffset>
            </wp:positionV>
            <wp:extent cx="38735"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-6605905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-6605905</wp:posOffset>
            </wp:positionV>
            <wp:extent cx="215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-6612255</wp:posOffset>
            </wp:positionV>
            <wp:extent cx="38735"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-5902325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-5902325</wp:posOffset>
            </wp:positionV>
            <wp:extent cx="215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-5908675</wp:posOffset>
            </wp:positionV>
            <wp:extent cx="38735"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-5902325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-5902325</wp:posOffset>
            </wp:positionV>
            <wp:extent cx="215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-5908675</wp:posOffset>
            </wp:positionV>
            <wp:extent cx="38735"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-5199380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-5199380</wp:posOffset>
            </wp:positionV>
            <wp:extent cx="215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-5205730</wp:posOffset>
            </wp:positionV>
            <wp:extent cx="38735"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-5199380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-5199380</wp:posOffset>
            </wp:positionV>
            <wp:extent cx="215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-5205730</wp:posOffset>
            </wp:positionV>
            <wp:extent cx="38735"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-4633595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-4633595</wp:posOffset>
            </wp:positionV>
            <wp:extent cx="215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-4639945</wp:posOffset>
            </wp:positionV>
            <wp:extent cx="38735"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-4633595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-4633595</wp:posOffset>
            </wp:positionV>
            <wp:extent cx="215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-4639945</wp:posOffset>
            </wp:positionV>
            <wp:extent cx="38735"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-4067175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-4067175</wp:posOffset>
            </wp:positionV>
            <wp:extent cx="215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-4073525</wp:posOffset>
            </wp:positionV>
            <wp:extent cx="38735"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-4067175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-4067175</wp:posOffset>
            </wp:positionV>
            <wp:extent cx="215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-4073525</wp:posOffset>
            </wp:positionV>
            <wp:extent cx="38735"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-3458210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-3458210</wp:posOffset>
            </wp:positionV>
            <wp:extent cx="215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-3464560</wp:posOffset>
            </wp:positionV>
            <wp:extent cx="38735"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-3458210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-3458210</wp:posOffset>
            </wp:positionV>
            <wp:extent cx="215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-3464560</wp:posOffset>
            </wp:positionV>
            <wp:extent cx="38735" cy="215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-3173095</wp:posOffset>
            </wp:positionV>
            <wp:extent cx="518795" cy="3873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51879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-3173095</wp:posOffset>
            </wp:positionV>
            <wp:extent cx="29845" cy="3873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-2540635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-2540635</wp:posOffset>
            </wp:positionV>
            <wp:extent cx="215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-2546985</wp:posOffset>
            </wp:positionV>
            <wp:extent cx="38735"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-2540635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-2540635</wp:posOffset>
            </wp:positionV>
            <wp:extent cx="215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-2546985</wp:posOffset>
            </wp:positionV>
            <wp:extent cx="38735"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-2255520</wp:posOffset>
            </wp:positionV>
            <wp:extent cx="518795" cy="3873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51879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-2255520</wp:posOffset>
            </wp:positionV>
            <wp:extent cx="29845" cy="3873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-1946910</wp:posOffset>
            </wp:positionV>
            <wp:extent cx="1299210" cy="3873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99210" cy="3873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-1494790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-1494790</wp:posOffset>
            </wp:positionV>
            <wp:extent cx="215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-1501140</wp:posOffset>
            </wp:positionV>
            <wp:extent cx="38735"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-1494790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-1494790</wp:posOffset>
            </wp:positionV>
            <wp:extent cx="215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-1501140</wp:posOffset>
            </wp:positionV>
            <wp:extent cx="38735"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-1202690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-1202690</wp:posOffset>
            </wp:positionV>
            <wp:extent cx="215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-1209040</wp:posOffset>
            </wp:positionV>
            <wp:extent cx="38735" cy="215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-1202690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-1202690</wp:posOffset>
            </wp:positionV>
            <wp:extent cx="215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-1209040</wp:posOffset>
            </wp:positionV>
            <wp:extent cx="38735" cy="215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-917575</wp:posOffset>
            </wp:positionV>
            <wp:extent cx="29845" cy="3873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-917575</wp:posOffset>
            </wp:positionV>
            <wp:extent cx="29845" cy="3873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-608965</wp:posOffset>
            </wp:positionV>
            <wp:extent cx="518795" cy="3873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51879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-608965</wp:posOffset>
            </wp:positionV>
            <wp:extent cx="29845" cy="3873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March 31, 2002</w:t>
            </w:r>
          </w:p>
        </w:tc>
        <w:tc>
          <w:tcPr>
            <w:tcW w:w="320" w:type="dxa"/>
            <w:vAlign w:val="bottom"/>
          </w:tcPr>
          <w:p>
            <w:pPr>
              <w:spacing w:after="0"/>
              <w:rPr>
                <w:sz w:val="15"/>
                <w:szCs w:val="15"/>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December 31, 2001</w:t>
            </w: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3"/>
              </w:rPr>
              <w:t>(Unaudited)</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189,420</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0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98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overdraft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Payable to affiliates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portion of long-term notes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62,039</w:t>
            </w:r>
          </w:p>
        </w:tc>
        <w:tc>
          <w:tcPr>
            <w:tcW w:w="0" w:type="dxa"/>
            <w:vAlign w:val="bottom"/>
          </w:tcPr>
          <w:p>
            <w:pPr>
              <w:spacing w:after="0"/>
              <w:rPr>
                <w:sz w:val="1"/>
                <w:szCs w:val="1"/>
                <w:color w:val="auto"/>
              </w:rPr>
            </w:pPr>
          </w:p>
        </w:tc>
      </w:tr>
      <w:tr>
        <w:trPr>
          <w:trHeight w:val="120"/>
        </w:trPr>
        <w:tc>
          <w:tcPr>
            <w:tcW w:w="9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189,420</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020" w:type="dxa"/>
            <w:vAlign w:val="bottom"/>
            <w:vMerge w:val="restart"/>
          </w:tcPr>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020" w:type="dxa"/>
            <w:vAlign w:val="bottom"/>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9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-6116955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-6116955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-6116955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-6116955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-5045075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-5045075</wp:posOffset>
            </wp:positionV>
            <wp:extent cx="215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-5045075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-5045075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-5045075</wp:posOffset>
            </wp:positionV>
            <wp:extent cx="215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-5045075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-4204335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-4204335</wp:posOffset>
            </wp:positionV>
            <wp:extent cx="215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-4204335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-4204335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-4204335</wp:posOffset>
            </wp:positionV>
            <wp:extent cx="215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-4204335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-2437765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-2437765</wp:posOffset>
            </wp:positionV>
            <wp:extent cx="215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-2437765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-2437765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-2437765</wp:posOffset>
            </wp:positionV>
            <wp:extent cx="215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-2437765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-1460500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-1460500</wp:posOffset>
            </wp:positionV>
            <wp:extent cx="215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-1460500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-1460500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-1460500</wp:posOffset>
            </wp:positionV>
            <wp:extent cx="215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-1460500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-962660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-962660</wp:posOffset>
            </wp:positionV>
            <wp:extent cx="215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-962660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-962660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-962660</wp:posOffset>
            </wp:positionV>
            <wp:extent cx="215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-962660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-608965</wp:posOffset>
            </wp:positionV>
            <wp:extent cx="1530350" cy="3873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530350"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20" w:type="dxa"/>
            <w:vAlign w:val="bottom"/>
            <w:gridSpan w:val="2"/>
            <w:vMerge w:val="restart"/>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7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Retained</w:t>
            </w:r>
          </w:p>
        </w:tc>
        <w:tc>
          <w:tcPr>
            <w:tcW w:w="138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170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$ 153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(1,685)</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8"/>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(3,386)</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$ 153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(5,071)</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$ 154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(5,095)</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issued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$ 154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(5,175)</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4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-2518410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-2518410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-2175510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-2175510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-2175510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-2175510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-2175510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-2175510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-2175510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-2175510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-2175510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-2175510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-2175510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-2175510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-2175510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-1471930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-1471930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-1471930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-1471930</wp:posOffset>
            </wp:positionV>
            <wp:extent cx="215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-1471930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-1471930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-1471930</wp:posOffset>
            </wp:positionV>
            <wp:extent cx="215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-1471930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-1471930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-1471930</wp:posOffset>
            </wp:positionV>
            <wp:extent cx="215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-1478280</wp:posOffset>
            </wp:positionV>
            <wp:extent cx="38735" cy="215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-1471930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-1471930</wp:posOffset>
            </wp:positionV>
            <wp:extent cx="215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-1478280</wp:posOffset>
            </wp:positionV>
            <wp:extent cx="38735" cy="215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-1471930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-1471930</wp:posOffset>
            </wp:positionV>
            <wp:extent cx="215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-1478280</wp:posOffset>
            </wp:positionV>
            <wp:extent cx="38735" cy="215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-1186815</wp:posOffset>
            </wp:positionV>
            <wp:extent cx="2868295" cy="3873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2868295" cy="3873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-323215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-323215</wp:posOffset>
            </wp:positionV>
            <wp:extent cx="215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215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215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38735" cy="215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215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-329565</wp:posOffset>
            </wp:positionV>
            <wp:extent cx="38735" cy="215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-323215</wp:posOffset>
            </wp:positionV>
            <wp:extent cx="215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-38100</wp:posOffset>
            </wp:positionV>
            <wp:extent cx="252730" cy="3873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252730" cy="3873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-38100</wp:posOffset>
            </wp:positionV>
            <wp:extent cx="1530350" cy="3873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530350" cy="387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9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700" w:type="dxa"/>
            <w:vAlign w:val="bottom"/>
            <w:tcBorders>
              <w:bottom w:val="single" w:sz="8" w:color="auto"/>
            </w:tcBorders>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Equity in earnings of unconsolidated affiliate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8"/>
                <w:szCs w:val="18"/>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 on receivable from unconsolidated affiliates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Restructuring costs and impairment costs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(5,996)</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0" w:type="dxa"/>
            <w:vAlign w:val="bottom"/>
          </w:tcPr>
          <w:p>
            <w:pPr>
              <w:spacing w:after="0"/>
              <w:rPr>
                <w:sz w:val="1"/>
                <w:szCs w:val="1"/>
                <w:color w:val="auto"/>
              </w:rPr>
            </w:pPr>
          </w:p>
        </w:tc>
      </w:tr>
      <w:tr>
        <w:trPr>
          <w:trHeight w:val="216"/>
        </w:trPr>
        <w:tc>
          <w:tcPr>
            <w:tcW w:w="8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(558)</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(1,371)</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8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Acquisition of Delta Rubber Company, net of cash acquired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8"/>
                <w:szCs w:val="18"/>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(849)</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(849)</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w:t>
            </w: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proceeds under revolving line of credit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Bank overdrafts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(2,132)</w:t>
            </w: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 w:type="dxa"/>
            <w:vAlign w:val="bottom"/>
          </w:tcPr>
          <w:p>
            <w:pPr>
              <w:spacing w:after="0"/>
              <w:rPr>
                <w:sz w:val="18"/>
                <w:szCs w:val="18"/>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Dividends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(1,227)</w:t>
            </w:r>
          </w:p>
        </w:tc>
        <w:tc>
          <w:tcPr>
            <w:tcW w:w="90" w:type="dxa"/>
            <w:vAlign w:val="bottom"/>
          </w:tcPr>
          <w:p>
            <w:pPr>
              <w:spacing w:after="0"/>
              <w:rPr>
                <w:sz w:val="19"/>
                <w:szCs w:val="19"/>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(1,006)</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(820)</w:t>
            </w:r>
          </w:p>
        </w:tc>
        <w:tc>
          <w:tcPr>
            <w:tcW w:w="90" w:type="dxa"/>
            <w:vAlign w:val="bottom"/>
          </w:tcPr>
          <w:p>
            <w:pPr>
              <w:spacing w:after="0"/>
              <w:rPr>
                <w:sz w:val="18"/>
                <w:szCs w:val="18"/>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6920" w:type="dxa"/>
            <w:vAlign w:val="bottom"/>
            <w:vMerge w:val="restart"/>
          </w:tcPr>
          <w:p>
            <w:pPr>
              <w:jc w:val="center"/>
              <w:ind w:left="1012"/>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69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9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69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9"/>
              </w:rPr>
              <w:t>F-33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-6888480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-6888480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-6640195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-6640195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-6640195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-6640195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-6640195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-6640195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-4152900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-4152900</wp:posOffset>
            </wp:positionV>
            <wp:extent cx="215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-4159250</wp:posOffset>
            </wp:positionV>
            <wp:extent cx="38735" cy="215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-4152900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-4152900</wp:posOffset>
            </wp:positionV>
            <wp:extent cx="215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-4159250</wp:posOffset>
            </wp:positionV>
            <wp:extent cx="38735"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-3861435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-3861435</wp:posOffset>
            </wp:positionV>
            <wp:extent cx="215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-3867785</wp:posOffset>
            </wp:positionV>
            <wp:extent cx="38735" cy="215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-3861435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-3861435</wp:posOffset>
            </wp:positionV>
            <wp:extent cx="215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-3867785</wp:posOffset>
            </wp:positionV>
            <wp:extent cx="38735" cy="215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-3295650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-3295650</wp:posOffset>
            </wp:positionV>
            <wp:extent cx="215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-3302000</wp:posOffset>
            </wp:positionV>
            <wp:extent cx="38735" cy="215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-3295650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-3295650</wp:posOffset>
            </wp:positionV>
            <wp:extent cx="215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-3302000</wp:posOffset>
            </wp:positionV>
            <wp:extent cx="38735" cy="215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-3004185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-3004185</wp:posOffset>
            </wp:positionV>
            <wp:extent cx="215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-3010535</wp:posOffset>
            </wp:positionV>
            <wp:extent cx="38735" cy="215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-3004185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-3004185</wp:posOffset>
            </wp:positionV>
            <wp:extent cx="215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-3010535</wp:posOffset>
            </wp:positionV>
            <wp:extent cx="38735" cy="215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-1751965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-1751965</wp:posOffset>
            </wp:positionV>
            <wp:extent cx="215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-1758315</wp:posOffset>
            </wp:positionV>
            <wp:extent cx="38735" cy="215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-1751965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-1751965</wp:posOffset>
            </wp:positionV>
            <wp:extent cx="215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-1758315</wp:posOffset>
            </wp:positionV>
            <wp:extent cx="38735" cy="215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-1460500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-1460500</wp:posOffset>
            </wp:positionV>
            <wp:extent cx="215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-1466850</wp:posOffset>
            </wp:positionV>
            <wp:extent cx="38735" cy="215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-1460500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-1460500</wp:posOffset>
            </wp:positionV>
            <wp:extent cx="215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-1466850</wp:posOffset>
            </wp:positionV>
            <wp:extent cx="38735" cy="215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-894080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-894080</wp:posOffset>
            </wp:positionV>
            <wp:extent cx="215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-900430</wp:posOffset>
            </wp:positionV>
            <wp:extent cx="38735" cy="215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-894080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-894080</wp:posOffset>
            </wp:positionV>
            <wp:extent cx="215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-900430</wp:posOffset>
            </wp:positionV>
            <wp:extent cx="38735" cy="215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-608965</wp:posOffset>
            </wp:positionV>
            <wp:extent cx="475615" cy="3873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47561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-608965</wp:posOffset>
            </wp:positionV>
            <wp:extent cx="29845" cy="3873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Interim Financial Statements</w:t>
      </w:r>
    </w:p>
    <w:p>
      <w:pPr>
        <w:spacing w:after="0" w:line="16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of NN, Inc. (the “Company”) have not been audited by independent accountants, except that the balance sheet at December 31, 2001 is derived from the Company’s audited financial statements. In the opinion of the Company’s management, the financial statements reflect all adjustments necessary to present fairly the results of operations for the three month periods ended March 31, 2002 and 2001, the Company’s financial position at March 31, 2002 and December 31, 2001, and the cash flows for the three month periods ended March 31, 2002 and 2001. These adjustments are of a normal recurring nature and are, in the opinion of management, necessary for fair presentation of the financial position and operating results for the interim periods.</w:t>
      </w:r>
    </w:p>
    <w:p>
      <w:pPr>
        <w:spacing w:after="0" w:line="12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106" w:lineRule="exact"/>
        <w:rPr>
          <w:sz w:val="20"/>
          <w:szCs w:val="20"/>
          <w:color w:val="auto"/>
        </w:rPr>
      </w:pPr>
    </w:p>
    <w:p>
      <w:pPr>
        <w:ind w:right="5380"/>
        <w:spacing w:after="0" w:line="422" w:lineRule="auto"/>
        <w:rPr>
          <w:sz w:val="20"/>
          <w:szCs w:val="20"/>
          <w:color w:val="auto"/>
        </w:rPr>
      </w:pPr>
      <w:r>
        <w:rPr>
          <w:rFonts w:ascii="Times New Roman" w:cs="Times New Roman" w:eastAsia="Times New Roman" w:hAnsi="Times New Roman"/>
          <w:sz w:val="18"/>
          <w:szCs w:val="18"/>
          <w:color w:val="auto"/>
        </w:rPr>
        <w:t xml:space="preserve">The results for the first quarter of 2002 are not necessarily indicative of future results. Certain 2001 amounts have been reclassified to conform with the 2002 presentation. </w:t>
      </w:r>
      <w:r>
        <w:rPr>
          <w:rFonts w:ascii="Times New Roman" w:cs="Times New Roman" w:eastAsia="Times New Roman" w:hAnsi="Times New Roman"/>
          <w:sz w:val="18"/>
          <w:szCs w:val="18"/>
          <w:b w:val="1"/>
          <w:bCs w:val="1"/>
          <w:color w:val="auto"/>
        </w:rPr>
        <w:t>Note 2. Derivate Financial Instruments</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a variable Euribor rate debt financing in July 2000 the Company’s 54% owned subsidiary, Euroball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12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of March 31, 2002, the fair value of the swap is a loss of approximately $312, which is recorded in other non-current liabilities. The change in fair value during the three month period ended March 31, 2002 and 2001 was a gain of approximately $56 and a loss of approximately $48, respectively, which have been included as a component of other income.</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6"/>
          <w:szCs w:val="16"/>
          <w:b w:val="1"/>
          <w:bCs w:val="1"/>
          <w:color w:val="auto"/>
        </w:rPr>
        <w:t>Inventories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being determined using the first-in, first-out method.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 w:type="dxa"/>
            <w:vAlign w:val="bottom"/>
          </w:tcPr>
          <w:p>
            <w:pPr>
              <w:spacing w:after="0"/>
              <w:rPr>
                <w:sz w:val="13"/>
                <w:szCs w:val="13"/>
                <w:color w:val="auto"/>
              </w:rPr>
            </w:pPr>
          </w:p>
        </w:tc>
        <w:tc>
          <w:tcPr>
            <w:tcW w:w="147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2002</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147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 31, 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3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5,083</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7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 w:type="dxa"/>
            <w:vAlign w:val="bottom"/>
            <w:shd w:val="clear" w:color="auto" w:fill="CCEEFF"/>
          </w:tcPr>
          <w:p>
            <w:pPr>
              <w:spacing w:after="0"/>
              <w:rPr>
                <w:sz w:val="18"/>
                <w:szCs w:val="18"/>
                <w:color w:val="auto"/>
              </w:rPr>
            </w:pPr>
          </w:p>
        </w:tc>
        <w:tc>
          <w:tcPr>
            <w:tcW w:w="14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12,373</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Less inventory reserves</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5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33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21,720</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8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47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07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207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50" w:type="dxa"/>
            <w:vAlign w:val="bottom"/>
          </w:tcPr>
          <w:p>
            <w:pPr>
              <w:spacing w:after="0"/>
              <w:rPr>
                <w:sz w:val="23"/>
                <w:szCs w:val="23"/>
                <w:color w:val="auto"/>
              </w:rPr>
            </w:pPr>
          </w:p>
        </w:tc>
        <w:tc>
          <w:tcPr>
            <w:tcW w:w="1230" w:type="dxa"/>
            <w:vAlign w:val="bottom"/>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net income</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47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15,340,806</w:t>
            </w:r>
          </w:p>
        </w:tc>
        <w:tc>
          <w:tcPr>
            <w:tcW w:w="2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2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393,904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8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15,734,710</w:t>
            </w:r>
          </w:p>
        </w:tc>
        <w:tc>
          <w:tcPr>
            <w:tcW w:w="2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 w:type="dxa"/>
            <w:vAlign w:val="bottom"/>
            <w:shd w:val="clear" w:color="auto" w:fill="CCEEFF"/>
          </w:tcPr>
          <w:p>
            <w:pPr>
              <w:spacing w:after="0"/>
              <w:rPr>
                <w:sz w:val="18"/>
                <w:szCs w:val="18"/>
                <w:color w:val="auto"/>
              </w:rPr>
            </w:pPr>
          </w:p>
        </w:tc>
        <w:tc>
          <w:tcPr>
            <w:tcW w:w="123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 w:type="dxa"/>
            <w:vAlign w:val="bottom"/>
          </w:tcPr>
          <w:p>
            <w:pPr>
              <w:spacing w:after="0"/>
              <w:rPr>
                <w:sz w:val="9"/>
                <w:szCs w:val="9"/>
                <w:color w:val="auto"/>
              </w:rPr>
            </w:pPr>
          </w:p>
        </w:tc>
        <w:tc>
          <w:tcPr>
            <w:tcW w:w="123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50" w:type="dxa"/>
            <w:vAlign w:val="bottom"/>
            <w:shd w:val="clear" w:color="auto" w:fill="000000"/>
          </w:tcPr>
          <w:p>
            <w:pPr>
              <w:spacing w:after="0"/>
              <w:rPr>
                <w:sz w:val="5"/>
                <w:szCs w:val="5"/>
                <w:color w:val="auto"/>
              </w:rPr>
            </w:pPr>
          </w:p>
        </w:tc>
        <w:tc>
          <w:tcPr>
            <w:tcW w:w="123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-4053205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-4053205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-4053205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-4053205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-3350260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-3350260</wp:posOffset>
            </wp:positionV>
            <wp:extent cx="215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-3356610</wp:posOffset>
            </wp:positionV>
            <wp:extent cx="38735" cy="215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-3350260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-3350260</wp:posOffset>
            </wp:positionV>
            <wp:extent cx="215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-3356610</wp:posOffset>
            </wp:positionV>
            <wp:extent cx="38735" cy="215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-3065145</wp:posOffset>
            </wp:positionV>
            <wp:extent cx="29845" cy="3873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-3065145</wp:posOffset>
            </wp:positionV>
            <wp:extent cx="29845" cy="3873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-2372360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-2372360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-2124075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-2124075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-2124075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-2124075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-1695450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-1695450</wp:posOffset>
            </wp:positionV>
            <wp:extent cx="215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-1695450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-1695450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-1695450</wp:posOffset>
            </wp:positionV>
            <wp:extent cx="215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-1695450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Excluded from the shares outstanding for each of the three month periods ended March 31, 2002 and 2001 were 0 and 10,750 antidilutive options, respectively, which had exercise prices ranging from $9.75 to $11.50 as of March 31, 2001.</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During 2002 and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 are engaged in the production of precision balls and rollers used primarily in the bearing industry. The Plastics segment is comprised of the IMC business, located in Lubbock, Texas, which was acquired in July 1999, NN Arté formed in August of 2000, located in Guadalajara, Mexico and Delta, located in Danielson, Connecticut, which was acquired in February 2001. IMC and NN Arté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240" w:top="455" w:right="3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described in the summary of significant accounting policies in the December 31, 2001 Form 10-K/A including those policies as discussed in Note 8. 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month periods ended March 31, 2002 and 2001.</w:t>
      </w:r>
    </w:p>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1"/>
        </w:trPr>
        <w:tc>
          <w:tcPr>
            <w:tcW w:w="5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66"/>
        </w:trPr>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5360" w:type="dxa"/>
            <w:vAlign w:val="bottom"/>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37"/>
        </w:trPr>
        <w:tc>
          <w:tcPr>
            <w:tcW w:w="53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Domestic Ball &amp;</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Ball &amp;</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8"/>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Roller</w:t>
            </w:r>
          </w:p>
        </w:tc>
        <w:tc>
          <w:tcPr>
            <w:tcW w:w="3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Euroball</w:t>
            </w:r>
          </w:p>
        </w:tc>
        <w:tc>
          <w:tcPr>
            <w:tcW w:w="26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Plastics</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Roller</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Euroball</w:t>
            </w:r>
          </w:p>
        </w:tc>
        <w:tc>
          <w:tcPr>
            <w:tcW w:w="3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Plastics</w:t>
            </w:r>
          </w:p>
        </w:tc>
      </w:tr>
      <w:tr>
        <w:trPr>
          <w:trHeight w:val="105"/>
        </w:trPr>
        <w:tc>
          <w:tcPr>
            <w:tcW w:w="5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$21,725</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15,799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$ 9,091</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pretax profit (loss)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2,351</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65,982</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66,412</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62,468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-1083945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-1083945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-835660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-835660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-835660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-835660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-492760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-492760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-492760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-492760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-492760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-492760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-492760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-492760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-492760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-492760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-492760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-492760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Acquisitions and Joint Ventures</w:t>
      </w:r>
    </w:p>
    <w:p>
      <w:pPr>
        <w:spacing w:after="0" w:line="16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On February 16, 2001, the Company completed the acquisition of all of the outstanding stock of Delta, a Connecticut corporation for $22.5 million in cash. Delta manufactures and sells high quality engineered bearing seals to original equipment manufacturers and operates a manufacturing facility in Danielson, Connecticut. The Company has accounted for this acquisition using the purchase method of accounting.</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Restructuring Charges</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Prior to December 31, 2001, production capacity and certain machinery and equipment were transferred from the Walterboro facility to the Company’s two domestic ball facilities in Erwin, Tennessee and Mountain City, Tennessee. The Company has recorded restructuring costs of $62 for additional severance payments during the quarter ended March 31, 2002. Additionally, prior to December 31, 2001, the Company decided to sell the Walterboro land, building and certain machinery and incurred an impairment charge of approximately $1.1 million during 2001 to write down the land and building to its net realizable value of approximately $1.7 million, which was based upon fair market appraisals less costs to sell. The amounts the Company will ultimately realize upon disposition of these assets could differ materially from the amounts assumed in arriving at the 2001 impairment loss. The remaining equipment recorded at a historical net book value of $2.2 million is also held for sale. The Company anticipates selling the land, building and machinery during 2002.</w:t>
      </w:r>
    </w:p>
    <w:p>
      <w:pPr>
        <w:spacing w:after="0" w:line="12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Accrued restructuring costs of $114 are included in other current liabilities as of March 31, 2002. The Company has charged expenses for moving machinery, equipment and inventory to other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facilities and other costs to close the facility which will benefit future operations in the period they are incurred.</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Euroball subsidiary incurred restructuring charges of $16 for the quarter ended March 31, 2002 for additional severance payments as a result of the termination of 15 hourly employees and 3 salaried employees at its Italy production facility. Approximately $69 of the severance payments were paid during the quarter ended March 31, 2002 and there are no remaining accrued restructuring costs included in other current liabilities as of March 31, 2002 related to Euroball.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2002 activity related to the restructurings: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Accrual Balance at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34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Accrual Balance at</w:t>
            </w:r>
          </w:p>
        </w:tc>
        <w:tc>
          <w:tcPr>
            <w:tcW w:w="0" w:type="dxa"/>
            <w:vAlign w:val="bottom"/>
          </w:tcPr>
          <w:p>
            <w:pPr>
              <w:spacing w:after="0"/>
              <w:rPr>
                <w:sz w:val="1"/>
                <w:szCs w:val="1"/>
                <w:color w:val="auto"/>
              </w:rPr>
            </w:pPr>
          </w:p>
        </w:tc>
      </w:tr>
      <w:tr>
        <w:trPr>
          <w:trHeight w:val="178"/>
        </w:trPr>
        <w:tc>
          <w:tcPr>
            <w:tcW w:w="7080" w:type="dxa"/>
            <w:vAlign w:val="bottom"/>
          </w:tcPr>
          <w:p>
            <w:pPr>
              <w:spacing w:after="0"/>
              <w:rPr>
                <w:sz w:val="15"/>
                <w:szCs w:val="15"/>
                <w:color w:val="auto"/>
              </w:rPr>
            </w:pPr>
          </w:p>
        </w:tc>
        <w:tc>
          <w:tcPr>
            <w:tcW w:w="290" w:type="dxa"/>
            <w:vAlign w:val="bottom"/>
          </w:tcPr>
          <w:p>
            <w:pPr>
              <w:spacing w:after="0"/>
              <w:rPr>
                <w:sz w:val="15"/>
                <w:szCs w:val="15"/>
                <w:color w:val="auto"/>
              </w:rPr>
            </w:pPr>
          </w:p>
        </w:tc>
        <w:tc>
          <w:tcPr>
            <w:tcW w:w="93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12/31/01</w:t>
            </w:r>
          </w:p>
        </w:tc>
        <w:tc>
          <w:tcPr>
            <w:tcW w:w="34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Charges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3/31/02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2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29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w w:val="74"/>
              </w:rPr>
              <w:t>$</w:t>
            </w:r>
          </w:p>
        </w:tc>
        <w:tc>
          <w:tcPr>
            <w:tcW w:w="9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80" w:type="dxa"/>
            <w:vAlign w:val="bottom"/>
          </w:tcPr>
          <w:p>
            <w:pPr>
              <w:spacing w:after="0"/>
              <w:rPr>
                <w:sz w:val="10"/>
                <w:szCs w:val="10"/>
                <w:color w:val="auto"/>
              </w:rPr>
            </w:pPr>
          </w:p>
        </w:tc>
        <w:tc>
          <w:tcPr>
            <w:tcW w:w="29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2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w w:val="74"/>
              </w:rPr>
              <w:t>$</w:t>
            </w:r>
          </w:p>
        </w:tc>
        <w:tc>
          <w:tcPr>
            <w:tcW w:w="9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2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80" w:type="dxa"/>
            <w:vAlign w:val="bottom"/>
            <w:tcBorders>
              <w:right w:val="single" w:sz="8" w:color="auto"/>
            </w:tcBorders>
          </w:tcPr>
          <w:p>
            <w:pPr>
              <w:spacing w:after="0"/>
              <w:rPr>
                <w:sz w:val="5"/>
                <w:szCs w:val="5"/>
                <w:color w:val="auto"/>
              </w:rPr>
            </w:pPr>
          </w:p>
        </w:tc>
        <w:tc>
          <w:tcPr>
            <w:tcW w:w="290" w:type="dxa"/>
            <w:vAlign w:val="bottom"/>
            <w:shd w:val="clear" w:color="auto" w:fill="000000"/>
          </w:tcPr>
          <w:p>
            <w:pPr>
              <w:spacing w:after="0"/>
              <w:rPr>
                <w:sz w:val="5"/>
                <w:szCs w:val="5"/>
                <w:color w:val="auto"/>
              </w:rPr>
            </w:pPr>
          </w:p>
        </w:tc>
        <w:tc>
          <w:tcPr>
            <w:tcW w:w="93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-614680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-614680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-614680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-614680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-614680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-614680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-614680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215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215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215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-323215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-323215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215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New Accounting Pronouncements</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2001, the Financial Accounting Standards Board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$39.8 million, which is subject to the provisions of Statement No. 142.</w:t>
      </w:r>
    </w:p>
    <w:p>
      <w:pPr>
        <w:spacing w:after="0" w:line="12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As a result of adopting these standards in the first quarter of 2002, the Company no longer amortizes goodwill. The Company estimates that amortization expense for goodwill would have been approximately $2.1 million (or $1.2 million net of tax and minority interest) for the year ended December 31, 2002.</w:t>
      </w:r>
    </w:p>
    <w:p>
      <w:pPr>
        <w:spacing w:after="0" w:line="10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As a result of adopting these new standards, the Company’s accounting policies for goodwill and other intangibles changed on January 1, 2002, as described below:</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Company recognizes the excess of the purchase price of an acquired entity over the fair value of the net identifiable assets as goodwill.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5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Other Acquired Intangibles: </w:t>
      </w:r>
      <w:r>
        <w:rPr>
          <w:rFonts w:ascii="Times New Roman" w:cs="Times New Roman" w:eastAsia="Times New Roman" w:hAnsi="Times New Roman"/>
          <w:sz w:val="16"/>
          <w:szCs w:val="16"/>
          <w:color w:val="auto"/>
        </w:rPr>
        <w:t>The Company recognizes an acquired intangible asset apart from goodwill whenever the asset arises from contractual or other legal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Company is currently evaluating the impact of adoption of Statement No. 142 related to the transitional goodwill impairment review required by the new standards during the first six months after adoption.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impact of the amortization of goodwill for the three months ended March 31, 2002 and 2001:</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540" w:type="dxa"/>
            <w:vAlign w:val="bottom"/>
          </w:tcPr>
          <w:p>
            <w:pPr>
              <w:spacing w:after="0"/>
              <w:rPr>
                <w:sz w:val="15"/>
                <w:szCs w:val="15"/>
                <w:color w:val="auto"/>
              </w:rPr>
            </w:pPr>
          </w:p>
        </w:tc>
        <w:tc>
          <w:tcPr>
            <w:tcW w:w="265" w:type="dxa"/>
            <w:vAlign w:val="bottom"/>
          </w:tcPr>
          <w:p>
            <w:pPr>
              <w:spacing w:after="0"/>
              <w:rPr>
                <w:sz w:val="15"/>
                <w:szCs w:val="15"/>
                <w:color w:val="auto"/>
              </w:rPr>
            </w:pPr>
          </w:p>
        </w:tc>
        <w:tc>
          <w:tcPr>
            <w:tcW w:w="2275"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5"/>
        </w:trPr>
        <w:tc>
          <w:tcPr>
            <w:tcW w:w="5540" w:type="dxa"/>
            <w:vAlign w:val="bottom"/>
          </w:tcPr>
          <w:p>
            <w:pPr>
              <w:spacing w:after="0"/>
              <w:rPr>
                <w:sz w:val="9"/>
                <w:szCs w:val="9"/>
                <w:color w:val="auto"/>
              </w:rPr>
            </w:pPr>
          </w:p>
        </w:tc>
        <w:tc>
          <w:tcPr>
            <w:tcW w:w="265" w:type="dxa"/>
            <w:vAlign w:val="bottom"/>
            <w:tcBorders>
              <w:bottom w:val="single" w:sz="8" w:color="auto"/>
            </w:tcBorders>
          </w:tcPr>
          <w:p>
            <w:pPr>
              <w:spacing w:after="0"/>
              <w:rPr>
                <w:sz w:val="9"/>
                <w:szCs w:val="9"/>
                <w:color w:val="auto"/>
              </w:rPr>
            </w:pPr>
          </w:p>
        </w:tc>
        <w:tc>
          <w:tcPr>
            <w:tcW w:w="615"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55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4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05"/>
        </w:trPr>
        <w:tc>
          <w:tcPr>
            <w:tcW w:w="5540" w:type="dxa"/>
            <w:vAlign w:val="bottom"/>
          </w:tcPr>
          <w:p>
            <w:pPr>
              <w:spacing w:after="0"/>
              <w:rPr>
                <w:sz w:val="9"/>
                <w:szCs w:val="9"/>
                <w:color w:val="auto"/>
              </w:rPr>
            </w:pPr>
          </w:p>
        </w:tc>
        <w:tc>
          <w:tcPr>
            <w:tcW w:w="265" w:type="dxa"/>
            <w:vAlign w:val="bottom"/>
            <w:tcBorders>
              <w:bottom w:val="single" w:sz="8" w:color="auto"/>
            </w:tcBorders>
          </w:tcPr>
          <w:p>
            <w:pPr>
              <w:spacing w:after="0"/>
              <w:rPr>
                <w:sz w:val="9"/>
                <w:szCs w:val="9"/>
                <w:color w:val="auto"/>
              </w:rPr>
            </w:pPr>
          </w:p>
        </w:tc>
        <w:tc>
          <w:tcPr>
            <w:tcW w:w="615"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265"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 back: Goodwill amortization, net of tax</w:t>
            </w:r>
          </w:p>
        </w:tc>
        <w:tc>
          <w:tcPr>
            <w:tcW w:w="265" w:type="dxa"/>
            <w:vAlign w:val="bottom"/>
          </w:tcPr>
          <w:p>
            <w:pPr>
              <w:spacing w:after="0"/>
              <w:rPr>
                <w:sz w:val="19"/>
                <w:szCs w:val="19"/>
                <w:color w:val="auto"/>
              </w:rPr>
            </w:pPr>
          </w:p>
        </w:tc>
        <w:tc>
          <w:tcPr>
            <w:tcW w:w="615"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r>
      <w:tr>
        <w:trPr>
          <w:trHeight w:val="106"/>
        </w:trPr>
        <w:tc>
          <w:tcPr>
            <w:tcW w:w="5540" w:type="dxa"/>
            <w:vAlign w:val="bottom"/>
          </w:tcPr>
          <w:p>
            <w:pPr>
              <w:spacing w:after="0"/>
              <w:rPr>
                <w:sz w:val="9"/>
                <w:szCs w:val="9"/>
                <w:color w:val="auto"/>
              </w:rPr>
            </w:pPr>
          </w:p>
        </w:tc>
        <w:tc>
          <w:tcPr>
            <w:tcW w:w="265" w:type="dxa"/>
            <w:vAlign w:val="bottom"/>
            <w:tcBorders>
              <w:bottom w:val="single" w:sz="8" w:color="auto"/>
            </w:tcBorders>
          </w:tcPr>
          <w:p>
            <w:pPr>
              <w:spacing w:after="0"/>
              <w:rPr>
                <w:sz w:val="9"/>
                <w:szCs w:val="9"/>
                <w:color w:val="auto"/>
              </w:rPr>
            </w:pPr>
          </w:p>
        </w:tc>
        <w:tc>
          <w:tcPr>
            <w:tcW w:w="615"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Pro-forma net income</w:t>
            </w:r>
          </w:p>
        </w:tc>
        <w:tc>
          <w:tcPr>
            <w:tcW w:w="265"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265" w:type="dxa"/>
            <w:vAlign w:val="bottom"/>
            <w:shd w:val="clear" w:color="auto" w:fill="000000"/>
          </w:tcPr>
          <w:p>
            <w:pPr>
              <w:spacing w:after="0"/>
              <w:rPr>
                <w:sz w:val="5"/>
                <w:szCs w:val="5"/>
                <w:color w:val="auto"/>
              </w:rPr>
            </w:pPr>
          </w:p>
        </w:tc>
        <w:tc>
          <w:tcPr>
            <w:tcW w:w="615"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r>
        <w:trPr>
          <w:trHeight w:val="132"/>
        </w:trPr>
        <w:tc>
          <w:tcPr>
            <w:tcW w:w="5540" w:type="dxa"/>
            <w:vAlign w:val="bottom"/>
          </w:tcPr>
          <w:p>
            <w:pPr>
              <w:spacing w:after="0"/>
              <w:rPr>
                <w:sz w:val="11"/>
                <w:szCs w:val="11"/>
                <w:color w:val="auto"/>
              </w:rPr>
            </w:pPr>
          </w:p>
        </w:tc>
        <w:tc>
          <w:tcPr>
            <w:tcW w:w="265" w:type="dxa"/>
            <w:vAlign w:val="bottom"/>
          </w:tcPr>
          <w:p>
            <w:pPr>
              <w:spacing w:after="0"/>
              <w:rPr>
                <w:sz w:val="11"/>
                <w:szCs w:val="11"/>
                <w:color w:val="auto"/>
              </w:rPr>
            </w:pPr>
          </w:p>
        </w:tc>
        <w:tc>
          <w:tcPr>
            <w:tcW w:w="615"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5" w:type="dxa"/>
            <w:vAlign w:val="bottom"/>
            <w:shd w:val="clear" w:color="auto" w:fill="CCEEFF"/>
          </w:tcPr>
          <w:p>
            <w:pPr>
              <w:spacing w:after="0"/>
              <w:rPr>
                <w:sz w:val="18"/>
                <w:szCs w:val="18"/>
                <w:color w:val="auto"/>
              </w:rPr>
            </w:pP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Reported net income</w:t>
            </w:r>
          </w:p>
        </w:tc>
        <w:tc>
          <w:tcPr>
            <w:tcW w:w="265"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 amortization</w:t>
            </w:r>
          </w:p>
        </w:tc>
        <w:tc>
          <w:tcPr>
            <w:tcW w:w="265" w:type="dxa"/>
            <w:vAlign w:val="bottom"/>
            <w:shd w:val="clear" w:color="auto" w:fill="CCEEFF"/>
          </w:tcPr>
          <w:p>
            <w:pPr>
              <w:spacing w:after="0"/>
              <w:rPr>
                <w:sz w:val="18"/>
                <w:szCs w:val="18"/>
                <w:color w:val="auto"/>
              </w:rPr>
            </w:pP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r>
      <w:tr>
        <w:trPr>
          <w:trHeight w:val="118"/>
        </w:trPr>
        <w:tc>
          <w:tcPr>
            <w:tcW w:w="5540" w:type="dxa"/>
            <w:vAlign w:val="bottom"/>
          </w:tcPr>
          <w:p>
            <w:pPr>
              <w:spacing w:after="0"/>
              <w:rPr>
                <w:sz w:val="10"/>
                <w:szCs w:val="10"/>
                <w:color w:val="auto"/>
              </w:rPr>
            </w:pPr>
          </w:p>
        </w:tc>
        <w:tc>
          <w:tcPr>
            <w:tcW w:w="265" w:type="dxa"/>
            <w:vAlign w:val="bottom"/>
            <w:tcBorders>
              <w:bottom w:val="single" w:sz="8" w:color="auto"/>
            </w:tcBorders>
          </w:tcPr>
          <w:p>
            <w:pPr>
              <w:spacing w:after="0"/>
              <w:rPr>
                <w:sz w:val="10"/>
                <w:szCs w:val="10"/>
                <w:color w:val="auto"/>
              </w:rPr>
            </w:pPr>
          </w:p>
        </w:tc>
        <w:tc>
          <w:tcPr>
            <w:tcW w:w="615"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Pro-forma net income</w:t>
            </w:r>
          </w:p>
        </w:tc>
        <w:tc>
          <w:tcPr>
            <w:tcW w:w="265"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265" w:type="dxa"/>
            <w:vAlign w:val="bottom"/>
            <w:shd w:val="clear" w:color="auto" w:fill="000000"/>
          </w:tcPr>
          <w:p>
            <w:pPr>
              <w:spacing w:after="0"/>
              <w:rPr>
                <w:sz w:val="5"/>
                <w:szCs w:val="5"/>
                <w:color w:val="auto"/>
              </w:rPr>
            </w:pPr>
          </w:p>
        </w:tc>
        <w:tc>
          <w:tcPr>
            <w:tcW w:w="615"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r>
        <w:trPr>
          <w:trHeight w:val="132"/>
        </w:trPr>
        <w:tc>
          <w:tcPr>
            <w:tcW w:w="5540" w:type="dxa"/>
            <w:vAlign w:val="bottom"/>
          </w:tcPr>
          <w:p>
            <w:pPr>
              <w:spacing w:after="0"/>
              <w:rPr>
                <w:sz w:val="11"/>
                <w:szCs w:val="11"/>
                <w:color w:val="auto"/>
              </w:rPr>
            </w:pPr>
          </w:p>
        </w:tc>
        <w:tc>
          <w:tcPr>
            <w:tcW w:w="265" w:type="dxa"/>
            <w:vAlign w:val="bottom"/>
          </w:tcPr>
          <w:p>
            <w:pPr>
              <w:spacing w:after="0"/>
              <w:rPr>
                <w:sz w:val="11"/>
                <w:szCs w:val="11"/>
                <w:color w:val="auto"/>
              </w:rPr>
            </w:pPr>
          </w:p>
        </w:tc>
        <w:tc>
          <w:tcPr>
            <w:tcW w:w="615"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5" w:type="dxa"/>
            <w:vAlign w:val="bottom"/>
            <w:shd w:val="clear" w:color="auto" w:fill="CCEEFF"/>
          </w:tcPr>
          <w:p>
            <w:pPr>
              <w:spacing w:after="0"/>
              <w:rPr>
                <w:sz w:val="18"/>
                <w:szCs w:val="18"/>
                <w:color w:val="auto"/>
              </w:rPr>
            </w:pP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Reported net income</w:t>
            </w:r>
          </w:p>
        </w:tc>
        <w:tc>
          <w:tcPr>
            <w:tcW w:w="265"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 amortization</w:t>
            </w:r>
          </w:p>
        </w:tc>
        <w:tc>
          <w:tcPr>
            <w:tcW w:w="265" w:type="dxa"/>
            <w:vAlign w:val="bottom"/>
            <w:shd w:val="clear" w:color="auto" w:fill="CCEEFF"/>
          </w:tcPr>
          <w:p>
            <w:pPr>
              <w:spacing w:after="0"/>
              <w:rPr>
                <w:sz w:val="18"/>
                <w:szCs w:val="18"/>
                <w:color w:val="auto"/>
              </w:rPr>
            </w:pP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r>
      <w:tr>
        <w:trPr>
          <w:trHeight w:val="118"/>
        </w:trPr>
        <w:tc>
          <w:tcPr>
            <w:tcW w:w="5540" w:type="dxa"/>
            <w:vAlign w:val="bottom"/>
          </w:tcPr>
          <w:p>
            <w:pPr>
              <w:spacing w:after="0"/>
              <w:rPr>
                <w:sz w:val="10"/>
                <w:szCs w:val="10"/>
                <w:color w:val="auto"/>
              </w:rPr>
            </w:pPr>
          </w:p>
        </w:tc>
        <w:tc>
          <w:tcPr>
            <w:tcW w:w="265" w:type="dxa"/>
            <w:vAlign w:val="bottom"/>
            <w:tcBorders>
              <w:bottom w:val="single" w:sz="8" w:color="auto"/>
            </w:tcBorders>
          </w:tcPr>
          <w:p>
            <w:pPr>
              <w:spacing w:after="0"/>
              <w:rPr>
                <w:sz w:val="10"/>
                <w:szCs w:val="10"/>
                <w:color w:val="auto"/>
              </w:rPr>
            </w:pPr>
          </w:p>
        </w:tc>
        <w:tc>
          <w:tcPr>
            <w:tcW w:w="615"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Pro-forma net income</w:t>
            </w:r>
          </w:p>
        </w:tc>
        <w:tc>
          <w:tcPr>
            <w:tcW w:w="265"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615"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r>
      <w:tr>
        <w:trPr>
          <w:trHeight w:val="105"/>
        </w:trPr>
        <w:tc>
          <w:tcPr>
            <w:tcW w:w="5540" w:type="dxa"/>
            <w:vAlign w:val="bottom"/>
          </w:tcPr>
          <w:p>
            <w:pPr>
              <w:spacing w:after="0"/>
              <w:rPr>
                <w:sz w:val="9"/>
                <w:szCs w:val="9"/>
                <w:color w:val="auto"/>
              </w:rPr>
            </w:pPr>
          </w:p>
        </w:tc>
        <w:tc>
          <w:tcPr>
            <w:tcW w:w="265" w:type="dxa"/>
            <w:vAlign w:val="bottom"/>
          </w:tcPr>
          <w:p>
            <w:pPr>
              <w:spacing w:after="0"/>
              <w:rPr>
                <w:sz w:val="9"/>
                <w:szCs w:val="9"/>
                <w:color w:val="auto"/>
              </w:rPr>
            </w:pPr>
          </w:p>
        </w:tc>
        <w:tc>
          <w:tcPr>
            <w:tcW w:w="615"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5540" w:type="dxa"/>
            <w:vAlign w:val="bottom"/>
          </w:tcPr>
          <w:p>
            <w:pPr>
              <w:spacing w:after="0"/>
              <w:rPr>
                <w:sz w:val="5"/>
                <w:szCs w:val="5"/>
                <w:color w:val="auto"/>
              </w:rPr>
            </w:pPr>
          </w:p>
        </w:tc>
        <w:tc>
          <w:tcPr>
            <w:tcW w:w="265" w:type="dxa"/>
            <w:vAlign w:val="bottom"/>
            <w:shd w:val="clear" w:color="auto" w:fill="000000"/>
          </w:tcPr>
          <w:p>
            <w:pPr>
              <w:spacing w:after="0"/>
              <w:rPr>
                <w:sz w:val="5"/>
                <w:szCs w:val="5"/>
                <w:color w:val="auto"/>
              </w:rPr>
            </w:pPr>
          </w:p>
        </w:tc>
        <w:tc>
          <w:tcPr>
            <w:tcW w:w="615"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-2784475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-2784475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-2535555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-2535555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-2535555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-2535555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-2106930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-2106930</wp:posOffset>
            </wp:positionV>
            <wp:extent cx="215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-2106930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-2106930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-2106930</wp:posOffset>
            </wp:positionV>
            <wp:extent cx="215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-2106930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-1214755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-1214755</wp:posOffset>
            </wp:positionV>
            <wp:extent cx="215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-1214755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-1214755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-1214755</wp:posOffset>
            </wp:positionV>
            <wp:extent cx="215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-1214755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215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215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currently evaluating the impact of adoption of Statement No. 143.</w:t>
      </w:r>
    </w:p>
    <w:p>
      <w:pPr>
        <w:spacing w:after="0" w:line="12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August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Three Months Ended March 31, 2002 and 2001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Company has adopted Statement No. 144 effective January 1, 2002. Management believes that as of March 31, 2002 no asset impairment exists under the provisions of Statement No. 144.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16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The Company was in compliance with all such covenants as of March 31, 2002.</w:t>
      </w:r>
    </w:p>
    <w:p>
      <w:pPr>
        <w:spacing w:after="0" w:line="97"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In connection with the Euroball transaction the Company and Euroball, entered into a Facility Agreement with a bank to provide up to Euro 36 million in Term Loans and Euro 5 million in revolving credit loans. The Company borrowed Euro 30.5 million ($28,755) under the term loan facility and Euro 1 million ($943) under the revolving credit facility. Amounts outstanding under the Facility Agreement are secured by inventory and accounts receivable and bear interest at EURIBOR (3.36% at March 31, 2002) plus an applicable margin between 1.125% and 2.25% based upon financial ratios. The shareholders of Euroball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as of March 31, 2002.</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309880</wp:posOffset>
            </wp:positionV>
            <wp:extent cx="1809750" cy="182689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809750" cy="182689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16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by us in connection with the sale of Common Stock being registered. All amounts other than the registration fee are estimates.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 registration fee</w:t>
            </w:r>
          </w:p>
        </w:tc>
        <w:tc>
          <w:tcPr>
            <w:tcW w:w="2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872"/>
              <w:spacing w:after="0"/>
              <w:rPr>
                <w:sz w:val="20"/>
                <w:szCs w:val="20"/>
                <w:color w:val="auto"/>
              </w:rPr>
            </w:pPr>
            <w:r>
              <w:rPr>
                <w:rFonts w:ascii="Times New Roman" w:cs="Times New Roman" w:eastAsia="Times New Roman" w:hAnsi="Times New Roman"/>
                <w:sz w:val="18"/>
                <w:szCs w:val="18"/>
                <w:color w:val="auto"/>
                <w:w w:val="93"/>
              </w:rPr>
              <w:t>7,221</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 filing fee</w:t>
            </w:r>
          </w:p>
        </w:tc>
        <w:tc>
          <w:tcPr>
            <w:tcW w:w="1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872"/>
              <w:spacing w:after="0"/>
              <w:rPr>
                <w:sz w:val="20"/>
                <w:szCs w:val="20"/>
                <w:color w:val="auto"/>
              </w:rPr>
            </w:pPr>
            <w:r>
              <w:rPr>
                <w:rFonts w:ascii="Times New Roman" w:cs="Times New Roman" w:eastAsia="Times New Roman" w:hAnsi="Times New Roman"/>
                <w:sz w:val="18"/>
                <w:szCs w:val="18"/>
                <w:color w:val="auto"/>
                <w:w w:val="93"/>
              </w:rPr>
              <w:t>8,349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Nasdaq National Market listing fee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5"/>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to be provided by amendment.</w:t>
            </w:r>
          </w:p>
        </w:tc>
        <w:tc>
          <w:tcPr>
            <w:tcW w:w="1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724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-851535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-851535</wp:posOffset>
            </wp:positionV>
            <wp:extent cx="215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-851535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125"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9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has obtained liability insurance coverage for its officers and directors with respect to actions arising out of the performance of such officer’s or director’s duty in his or her capacity as such.</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60"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Form of Underwriting Agreement*</w:t>
      </w:r>
    </w:p>
    <w:p>
      <w:pPr>
        <w:spacing w:after="0" w:line="117"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Restated Certificate of Incorporation of the Company.</w:t>
      </w:r>
    </w:p>
    <w:p>
      <w:pPr>
        <w:spacing w:after="0" w:line="117"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Restated By-Laws of the Company.</w:t>
      </w:r>
    </w:p>
    <w:p>
      <w:pPr>
        <w:spacing w:after="0" w:line="117"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The specimen certificate representing the Company’s Common Stock, par value $0.01 per share.</w:t>
      </w:r>
    </w:p>
    <w:p>
      <w:pPr>
        <w:spacing w:after="0" w:line="117" w:lineRule="exact"/>
        <w:rPr>
          <w:sz w:val="20"/>
          <w:szCs w:val="20"/>
          <w:color w:val="auto"/>
        </w:rPr>
      </w:pPr>
    </w:p>
    <w:p>
      <w:pPr>
        <w:ind w:left="1040" w:hanging="556"/>
        <w:spacing w:after="0" w:line="275" w:lineRule="auto"/>
        <w:tabs>
          <w:tab w:leader="none" w:pos="10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Article IV, Article V (Sections 3 through 6), Article VI (Section 2) and Article VII (Sections 1 and 3) of the Restated Certificate of Incorporation of the Company (included in Exhibit 3.1).</w:t>
      </w:r>
    </w:p>
    <w:p>
      <w:pPr>
        <w:spacing w:after="0" w:line="66"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color w:val="auto"/>
        </w:rPr>
        <w:t>Article II (Sections 7 and 12), Article III (Sections 2 and 15) and Article VI of the Restated By-Laws of the Company (included in Exhibit 3.2).</w:t>
      </w:r>
    </w:p>
    <w:p>
      <w:pPr>
        <w:spacing w:after="0" w:line="117"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Blackwell Sanders Peper Martin LLP, counsel to the Company.</w:t>
      </w:r>
    </w:p>
    <w:p>
      <w:pPr>
        <w:spacing w:after="0" w:line="117"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List of Subsidiaries of the Company.</w:t>
      </w:r>
    </w:p>
    <w:p>
      <w:pPr>
        <w:spacing w:after="0" w:line="117"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Blackwell Sanders Peper Martin LLP (included in Exhibit 5.1).</w:t>
      </w:r>
    </w:p>
    <w:p>
      <w:pPr>
        <w:spacing w:after="0" w:line="117"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KPMG LLP, Independent Auditors.</w:t>
      </w:r>
    </w:p>
    <w:p>
      <w:pPr>
        <w:spacing w:after="0" w:line="117"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 of PricewaterhouseCoopers LLP, Independent Auditors.</w:t>
      </w:r>
    </w:p>
    <w:p>
      <w:pPr>
        <w:spacing w:after="0" w:line="117" w:lineRule="exact"/>
        <w:rPr>
          <w:sz w:val="20"/>
          <w:szCs w:val="20"/>
          <w:color w:val="auto"/>
        </w:rPr>
      </w:pPr>
    </w:p>
    <w:p>
      <w:pPr>
        <w:ind w:right="4600" w:firstLine="521"/>
        <w:spacing w:after="0" w:line="476" w:lineRule="auto"/>
        <w:tabs>
          <w:tab w:leader="none" w:pos="10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(included in the signature page to the Registration Statement). * To be provided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49935" cy="215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160" w:lineRule="exact"/>
        <w:rPr>
          <w:sz w:val="20"/>
          <w:szCs w:val="20"/>
          <w:color w:val="auto"/>
        </w:rPr>
      </w:pPr>
    </w:p>
    <w:p>
      <w:pPr>
        <w:ind w:right="60" w:firstLine="464"/>
        <w:spacing w:after="0" w:line="291" w:lineRule="auto"/>
        <w:tabs>
          <w:tab w:leader="none" w:pos="73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9" w:lineRule="exact"/>
        <w:rPr>
          <w:rFonts w:ascii="Times New Roman" w:cs="Times New Roman" w:eastAsia="Times New Roman" w:hAnsi="Times New Roman"/>
          <w:sz w:val="16"/>
          <w:szCs w:val="16"/>
          <w:color w:val="auto"/>
        </w:rPr>
      </w:pPr>
    </w:p>
    <w:p>
      <w:pPr>
        <w:ind w:left="760" w:hanging="296"/>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w:t>
      </w:r>
    </w:p>
    <w:p>
      <w:pPr>
        <w:spacing w:after="0" w:line="157" w:lineRule="exact"/>
        <w:rPr>
          <w:rFonts w:ascii="Times New Roman" w:cs="Times New Roman" w:eastAsia="Times New Roman" w:hAnsi="Times New Roman"/>
          <w:sz w:val="18"/>
          <w:szCs w:val="18"/>
          <w:color w:val="auto"/>
        </w:rPr>
      </w:pPr>
    </w:p>
    <w:p>
      <w:pPr>
        <w:jc w:val="both"/>
        <w:ind w:left="460" w:right="80" w:firstLine="443"/>
        <w:spacing w:after="0" w:line="301" w:lineRule="auto"/>
        <w:tabs>
          <w:tab w:leader="none" w:pos="115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any liability under the Securities Act of 1933, each filing of the registrant’s annual report pursuant to Section 13(a) or 15(d) of the Securities Exchange Act of 1934 (and, where applicable, each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6"/>
          <w:szCs w:val="16"/>
          <w:color w:val="auto"/>
        </w:rPr>
      </w:pPr>
    </w:p>
    <w:p>
      <w:pPr>
        <w:ind w:left="460" w:right="160" w:firstLine="443"/>
        <w:spacing w:after="0" w:line="275" w:lineRule="auto"/>
        <w:tabs>
          <w:tab w:leader="none" w:pos="12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sz w:val="20"/>
          <w:szCs w:val="20"/>
          <w:color w:val="auto"/>
        </w:rPr>
      </w:pPr>
    </w:p>
    <w:p>
      <w:pPr>
        <w:ind w:left="460" w:firstLine="443"/>
        <w:spacing w:after="0" w:line="262" w:lineRule="auto"/>
        <w:tabs>
          <w:tab w:leader="none" w:pos="1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60"/>
          </w:cols>
          <w:pgMar w:left="240" w:top="455" w:right="2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June 6, 2002.</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7" w:lineRule="exact"/>
        <w:rPr>
          <w:sz w:val="20"/>
          <w:szCs w:val="20"/>
          <w:color w:val="auto"/>
        </w:rPr>
      </w:pPr>
    </w:p>
    <w:p>
      <w:pPr>
        <w:ind w:left="6860"/>
        <w:spacing w:after="0"/>
        <w:tabs>
          <w:tab w:leader="none" w:pos="8420" w:val="left"/>
          <w:tab w:leader="none" w:pos="8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w:t>
      </w:r>
      <w:r>
        <w:rPr>
          <w:rFonts w:ascii="Times New Roman" w:cs="Times New Roman" w:eastAsia="Times New Roman" w:hAnsi="Times New Roman"/>
          <w:sz w:val="14"/>
          <w:szCs w:val="14"/>
          <w:color w:val="auto"/>
        </w:rPr>
        <w:t>ODERICK</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4"/>
          <w:szCs w:val="14"/>
          <w:color w:val="auto"/>
        </w:rPr>
        <w:t>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81280</wp:posOffset>
            </wp:positionV>
            <wp:extent cx="2482850" cy="215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30"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Roderick R. Baty</w:t>
      </w:r>
    </w:p>
    <w:p>
      <w:pPr>
        <w:jc w:val="center"/>
        <w:ind w:left="7520"/>
        <w:spacing w:after="0" w:line="229" w:lineRule="auto"/>
        <w:rPr>
          <w:sz w:val="20"/>
          <w:szCs w:val="20"/>
          <w:color w:val="auto"/>
        </w:rPr>
      </w:pPr>
      <w:r>
        <w:rPr>
          <w:rFonts w:ascii="Times New Roman" w:cs="Times New Roman" w:eastAsia="Times New Roman" w:hAnsi="Times New Roman"/>
          <w:sz w:val="14"/>
          <w:szCs w:val="14"/>
          <w:b w:val="1"/>
          <w:bCs w:val="1"/>
          <w:color w:val="auto"/>
        </w:rPr>
        <w:t>Chairman, Chief Executive</w:t>
      </w: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Officer and President</w:t>
      </w:r>
    </w:p>
    <w:p>
      <w:pPr>
        <w:spacing w:after="0" w:line="12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KNOW ALL MEN BY THESE PRESENTS, that each of the undersigned hereby severally constitute and appoint Roderick R. Baty and David L. Dyckman, and each of them singly, with full power of substitution and resubstitution, as his or her true and lawful attorneys with full power to them, and each of them singly, to sign for the undersigned and in the names of the undersigned in the capacities indicated below, any and all amendments to this Registration Statement on Form S-3, and generally to do all such things in the names of the undersigned and in their capacities as indicated below to enable NN, Inc. to comply with the provisions of the Securities Act of 1933, and all requirements of the Securities and Exchange Commission, hereby ratifying and confirming the signatures of the undersigned as they may be signed by said attorneys, or any of them, to said Registration Statement and any and all amendments thereto.</w:t>
      </w:r>
    </w:p>
    <w:p>
      <w:pPr>
        <w:spacing w:after="0" w:line="97"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380" w:type="dxa"/>
            <w:vAlign w:val="bottom"/>
          </w:tcPr>
          <w:p>
            <w:pPr>
              <w:spacing w:after="0"/>
              <w:rPr>
                <w:sz w:val="15"/>
                <w:szCs w:val="15"/>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4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ODERICK</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4"/>
                <w:szCs w:val="14"/>
                <w:color w:val="auto"/>
              </w:rPr>
              <w:t>ATY</w:t>
            </w: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Chairman, Chief Executive Officer, President and Director</w:t>
            </w:r>
          </w:p>
        </w:tc>
        <w:tc>
          <w:tcPr>
            <w:tcW w:w="138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33"/>
        </w:trPr>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51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2980" w:type="dxa"/>
            <w:vAlign w:val="bottom"/>
            <w:gridSpan w:val="3"/>
            <w:vMerge w:val="restart"/>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6"/>
              </w:rPr>
              <w:t>Roderick R. Baty</w:t>
            </w:r>
          </w:p>
        </w:tc>
        <w:tc>
          <w:tcPr>
            <w:tcW w:w="51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2980" w:type="dxa"/>
            <w:vAlign w:val="bottom"/>
            <w:gridSpan w:val="3"/>
            <w:vMerge w:val="continue"/>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L. D</w:t>
            </w:r>
            <w:r>
              <w:rPr>
                <w:rFonts w:ascii="Times New Roman" w:cs="Times New Roman" w:eastAsia="Times New Roman" w:hAnsi="Times New Roman"/>
                <w:sz w:val="14"/>
                <w:szCs w:val="14"/>
                <w:color w:val="auto"/>
              </w:rPr>
              <w:t>YCKMAN</w:t>
            </w: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Vice President-Business Development and Chief Financial</w:t>
            </w:r>
          </w:p>
        </w:tc>
        <w:tc>
          <w:tcPr>
            <w:tcW w:w="138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33"/>
        </w:trPr>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51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2980" w:type="dxa"/>
            <w:vAlign w:val="bottom"/>
            <w:gridSpan w:val="3"/>
            <w:vMerge w:val="restart"/>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5"/>
              </w:rPr>
              <w:t>David L. Dyckman</w:t>
            </w:r>
          </w:p>
        </w:tc>
        <w:tc>
          <w:tcPr>
            <w:tcW w:w="51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2980" w:type="dxa"/>
            <w:vAlign w:val="bottom"/>
            <w:gridSpan w:val="3"/>
            <w:vMerge w:val="continue"/>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46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4"/>
                <w:szCs w:val="14"/>
                <w:color w:val="auto"/>
              </w:rPr>
              <w:t>ELLY</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Treasurer, Secretary and Chief Accounting Officer (Principal</w:t>
            </w:r>
          </w:p>
        </w:tc>
        <w:tc>
          <w:tcPr>
            <w:tcW w:w="138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33"/>
        </w:trPr>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51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2980" w:type="dxa"/>
            <w:vAlign w:val="bottom"/>
            <w:gridSpan w:val="3"/>
            <w:vMerge w:val="restart"/>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w w:val="94"/>
              </w:rPr>
              <w:t>William C. Kelly, Jr.</w:t>
            </w:r>
          </w:p>
        </w:tc>
        <w:tc>
          <w:tcPr>
            <w:tcW w:w="51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2980" w:type="dxa"/>
            <w:vAlign w:val="bottom"/>
            <w:gridSpan w:val="3"/>
            <w:vMerge w:val="continue"/>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1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2980" w:type="dxa"/>
            <w:vAlign w:val="bottom"/>
            <w:gridSpan w:val="3"/>
            <w:vMerge w:val="restart"/>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5"/>
              </w:rPr>
              <w:t>Richard D. Ennen</w:t>
            </w:r>
          </w:p>
        </w:tc>
        <w:tc>
          <w:tcPr>
            <w:tcW w:w="51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2980" w:type="dxa"/>
            <w:vAlign w:val="bottom"/>
            <w:gridSpan w:val="3"/>
            <w:vMerge w:val="continue"/>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D. H</w:t>
            </w:r>
            <w:r>
              <w:rPr>
                <w:rFonts w:ascii="Times New Roman" w:cs="Times New Roman" w:eastAsia="Times New Roman" w:hAnsi="Times New Roman"/>
                <w:sz w:val="14"/>
                <w:szCs w:val="14"/>
                <w:color w:val="auto"/>
              </w:rPr>
              <w:t>UFF</w:t>
            </w: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-2309495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-2309495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-2309495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-2309495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-2309495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-2309495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-1880235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-1357630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-1357630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-834390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-834390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-448310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-448310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2834005" cy="215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Michael D. Huff</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00"/>
          </w:cols>
          <w:pgMar w:left="24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38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08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5"/>
        </w:trPr>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2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G. R</w:t>
            </w:r>
            <w:r>
              <w:rPr>
                <w:rFonts w:ascii="Times New Roman" w:cs="Times New Roman" w:eastAsia="Times New Roman" w:hAnsi="Times New Roman"/>
                <w:sz w:val="14"/>
                <w:szCs w:val="14"/>
                <w:color w:val="auto"/>
              </w:rPr>
              <w:t>ONALD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ORRIS</w:t>
            </w:r>
          </w:p>
        </w:tc>
        <w:tc>
          <w:tcPr>
            <w:tcW w:w="2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720" w:type="dxa"/>
            <w:vAlign w:val="bottom"/>
            <w:gridSpan w:val="3"/>
          </w:tcPr>
          <w:p>
            <w:pPr>
              <w:jc w:val="center"/>
              <w:ind w:left="273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20"/>
        </w:trPr>
        <w:tc>
          <w:tcPr>
            <w:tcW w:w="14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3"/>
          </w:tcPr>
          <w:p>
            <w:pPr>
              <w:spacing w:after="0"/>
              <w:rPr>
                <w:sz w:val="10"/>
                <w:szCs w:val="10"/>
                <w:color w:val="auto"/>
              </w:rPr>
            </w:pPr>
          </w:p>
        </w:tc>
        <w:tc>
          <w:tcPr>
            <w:tcW w:w="2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302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7"/>
              </w:rPr>
              <w:t>G. Ronald Morris</w:t>
            </w:r>
          </w:p>
        </w:tc>
        <w:tc>
          <w:tcPr>
            <w:tcW w:w="2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Pr>
          <w:p>
            <w:pPr>
              <w:spacing w:after="0"/>
              <w:rPr>
                <w:sz w:val="6"/>
                <w:szCs w:val="6"/>
                <w:color w:val="auto"/>
              </w:rPr>
            </w:pPr>
          </w:p>
        </w:tc>
        <w:tc>
          <w:tcPr>
            <w:tcW w:w="3020" w:type="dxa"/>
            <w:vAlign w:val="bottom"/>
            <w:gridSpan w:val="3"/>
            <w:vMerge w:val="restart"/>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5"/>
              </w:rPr>
              <w:t>Michael E. Werner</w:t>
            </w:r>
          </w:p>
        </w:tc>
        <w:tc>
          <w:tcPr>
            <w:tcW w:w="2780" w:type="dxa"/>
            <w:vAlign w:val="bottom"/>
            <w:gridSpan w:val="2"/>
            <w:vMerge w:val="continue"/>
          </w:tcPr>
          <w:p>
            <w:pPr>
              <w:spacing w:after="0"/>
              <w:rPr>
                <w:sz w:val="6"/>
                <w:szCs w:val="6"/>
                <w:color w:val="auto"/>
              </w:rPr>
            </w:pPr>
          </w:p>
        </w:tc>
        <w:tc>
          <w:tcPr>
            <w:tcW w:w="3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3020" w:type="dxa"/>
            <w:vAlign w:val="bottom"/>
            <w:gridSpan w:val="3"/>
            <w:vMerge w:val="continue"/>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2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4"/>
                <w:szCs w:val="14"/>
                <w:color w:val="auto"/>
                <w:w w:val="99"/>
              </w:rPr>
              <w:t>TEVEN</w:t>
            </w:r>
            <w:r>
              <w:rPr>
                <w:rFonts w:ascii="Times New Roman" w:cs="Times New Roman" w:eastAsia="Times New Roman" w:hAnsi="Times New Roman"/>
                <w:sz w:val="18"/>
                <w:szCs w:val="18"/>
                <w:color w:val="auto"/>
                <w:w w:val="99"/>
              </w:rPr>
              <w:t xml:space="preserve"> T. W</w:t>
            </w:r>
            <w:r>
              <w:rPr>
                <w:rFonts w:ascii="Times New Roman" w:cs="Times New Roman" w:eastAsia="Times New Roman" w:hAnsi="Times New Roman"/>
                <w:sz w:val="14"/>
                <w:szCs w:val="14"/>
                <w:color w:val="auto"/>
                <w:w w:val="99"/>
              </w:rPr>
              <w:t>ARSHAW</w:t>
            </w:r>
          </w:p>
        </w:tc>
        <w:tc>
          <w:tcPr>
            <w:tcW w:w="2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720" w:type="dxa"/>
            <w:vAlign w:val="bottom"/>
            <w:gridSpan w:val="3"/>
          </w:tcPr>
          <w:p>
            <w:pPr>
              <w:jc w:val="center"/>
              <w:ind w:left="273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20"/>
        </w:trPr>
        <w:tc>
          <w:tcPr>
            <w:tcW w:w="14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3"/>
          </w:tcPr>
          <w:p>
            <w:pPr>
              <w:spacing w:after="0"/>
              <w:rPr>
                <w:sz w:val="10"/>
                <w:szCs w:val="10"/>
                <w:color w:val="auto"/>
              </w:rPr>
            </w:pPr>
          </w:p>
        </w:tc>
        <w:tc>
          <w:tcPr>
            <w:tcW w:w="2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302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5"/>
              </w:rPr>
              <w:t>Steven T. Warshaw</w:t>
            </w:r>
          </w:p>
        </w:tc>
        <w:tc>
          <w:tcPr>
            <w:tcW w:w="2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2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L. E</w:t>
            </w:r>
            <w:r>
              <w:rPr>
                <w:rFonts w:ascii="Times New Roman" w:cs="Times New Roman" w:eastAsia="Times New Roman" w:hAnsi="Times New Roman"/>
                <w:sz w:val="14"/>
                <w:szCs w:val="14"/>
                <w:color w:val="auto"/>
              </w:rPr>
              <w:t>ARSLEY</w:t>
            </w:r>
          </w:p>
        </w:tc>
        <w:tc>
          <w:tcPr>
            <w:tcW w:w="2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720" w:type="dxa"/>
            <w:vAlign w:val="bottom"/>
            <w:gridSpan w:val="3"/>
          </w:tcPr>
          <w:p>
            <w:pPr>
              <w:jc w:val="center"/>
              <w:ind w:left="2732"/>
              <w:spacing w:after="0"/>
              <w:rPr>
                <w:sz w:val="20"/>
                <w:szCs w:val="20"/>
                <w:color w:val="auto"/>
              </w:rPr>
            </w:pPr>
            <w:r>
              <w:rPr>
                <w:rFonts w:ascii="Times New Roman" w:cs="Times New Roman" w:eastAsia="Times New Roman" w:hAnsi="Times New Roman"/>
                <w:sz w:val="18"/>
                <w:szCs w:val="18"/>
                <w:color w:val="auto"/>
                <w:w w:val="98"/>
              </w:rPr>
              <w:t>June 6, 2002</w:t>
            </w:r>
          </w:p>
        </w:tc>
        <w:tc>
          <w:tcPr>
            <w:tcW w:w="0" w:type="dxa"/>
            <w:vAlign w:val="bottom"/>
          </w:tcPr>
          <w:p>
            <w:pPr>
              <w:spacing w:after="0"/>
              <w:rPr>
                <w:sz w:val="1"/>
                <w:szCs w:val="1"/>
                <w:color w:val="auto"/>
              </w:rPr>
            </w:pPr>
          </w:p>
        </w:tc>
      </w:tr>
      <w:tr>
        <w:trPr>
          <w:trHeight w:val="120"/>
        </w:trPr>
        <w:tc>
          <w:tcPr>
            <w:tcW w:w="14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3"/>
          </w:tcPr>
          <w:p>
            <w:pPr>
              <w:spacing w:after="0"/>
              <w:rPr>
                <w:sz w:val="10"/>
                <w:szCs w:val="10"/>
                <w:color w:val="auto"/>
              </w:rPr>
            </w:pPr>
          </w:p>
        </w:tc>
        <w:tc>
          <w:tcPr>
            <w:tcW w:w="2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302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5"/>
              </w:rPr>
              <w:t>James L. Earsley</w:t>
            </w:r>
          </w:p>
        </w:tc>
        <w:tc>
          <w:tcPr>
            <w:tcW w:w="2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II-5</w:t>
            </w:r>
          </w:p>
        </w:tc>
        <w:tc>
          <w:tcPr>
            <w:tcW w:w="3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-2309495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-2309495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-2309495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-2309495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-2309495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-2309495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-1880235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-1494790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-1494790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-971550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-448310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-448310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960"/>
          </w:cols>
          <w:pgMar w:left="240" w:top="455" w:right="6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80" w:type="dxa"/>
            <w:vAlign w:val="bottom"/>
          </w:tcPr>
          <w:p>
            <w:pPr>
              <w:spacing w:after="0"/>
              <w:rPr>
                <w:sz w:val="13"/>
                <w:szCs w:val="13"/>
                <w:color w:val="auto"/>
              </w:rPr>
            </w:pPr>
          </w:p>
        </w:tc>
      </w:tr>
      <w:tr>
        <w:trPr>
          <w:trHeight w:val="178"/>
        </w:trPr>
        <w:tc>
          <w:tcPr>
            <w:tcW w:w="7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05"/>
        </w:trPr>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480" w:type="dxa"/>
            <w:vAlign w:val="bottom"/>
          </w:tcPr>
          <w:p>
            <w:pPr>
              <w:spacing w:after="0"/>
              <w:rPr>
                <w:sz w:val="9"/>
                <w:szCs w:val="9"/>
                <w:color w:val="auto"/>
              </w:rPr>
            </w:pPr>
          </w:p>
        </w:tc>
      </w:tr>
      <w:tr>
        <w:trPr>
          <w:trHeight w:val="319"/>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3.1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Restated Certificate of Incorporation of the Company.</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3.2</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Restated By-Laws of the Company.</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4.1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specimen certificate representing the Company’s Common Stock, par value $0.01 per share.</w:t>
            </w:r>
          </w:p>
        </w:tc>
      </w:tr>
      <w:tr>
        <w:trPr>
          <w:trHeight w:val="312"/>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4.2</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Article IV, Article V (Sections 3 through 6), Article VI (Section 2) and Article VII (Sections 1 and 3) of the Restated Certificate of Incorporation of</w:t>
            </w:r>
          </w:p>
        </w:tc>
      </w:tr>
      <w:tr>
        <w:trPr>
          <w:trHeight w:val="228"/>
        </w:trPr>
        <w:tc>
          <w:tcPr>
            <w:tcW w:w="700" w:type="dxa"/>
            <w:vAlign w:val="bottom"/>
          </w:tcPr>
          <w:p>
            <w:pPr>
              <w:spacing w:after="0"/>
              <w:rPr>
                <w:sz w:val="19"/>
                <w:szCs w:val="19"/>
                <w:color w:val="auto"/>
              </w:rPr>
            </w:pP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Company (included in Exhibit 3.1).</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4.3</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Article II (Sections 7 and 12), Article III (Sections 2 and 15) and Article VI of the Restated By-Laws of the Company (included in Exhibit 3.2).</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Blackwell Sanders Peper Martin LLP, counsel to the Company.</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95"/>
              </w:rPr>
              <w:t>21.1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List of Subsidiaries of the Company.</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95"/>
              </w:rPr>
              <w:t>23.1</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Blackwell Sanders Peper Martin LLP (included in Exhibit 5.1).</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95"/>
              </w:rPr>
              <w:t>23.2</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KPMG LLP, Independent Auditors.</w:t>
            </w:r>
          </w:p>
        </w:tc>
      </w:tr>
      <w:tr>
        <w:trPr>
          <w:trHeight w:val="324"/>
        </w:trPr>
        <w:tc>
          <w:tcPr>
            <w:tcW w:w="7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95"/>
              </w:rPr>
              <w:t>23.3</w:t>
            </w:r>
          </w:p>
        </w:tc>
        <w:tc>
          <w:tcPr>
            <w:tcW w:w="10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 LLP, Independent Auditors.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-2412365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-2412365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-2412365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right="4600" w:firstLine="8"/>
        <w:spacing w:after="0" w:line="557" w:lineRule="auto"/>
        <w:tabs>
          <w:tab w:leader="none" w:pos="102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(included in the signature page to the Registration Statement). * To be provided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49935" cy="215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91" w:name="page92"/>
    <w:bookmarkEnd w:id="91"/>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RESTATED CERTIFICATE OF INCORPORATION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right="2199" w:firstLine="1061"/>
        <w:spacing w:after="0" w:line="274"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NN, Inc. The Corporation was originally incorporated under the name "NN Ball &amp; Roller, Inc." The original Certificate of Incorporation was filed with the Secretary of the State of Delaware on October 12, 1993.</w:t>
      </w:r>
    </w:p>
    <w:p>
      <w:pPr>
        <w:spacing w:after="0" w:line="81" w:lineRule="exact"/>
        <w:rPr>
          <w:rFonts w:ascii="Courier New" w:cs="Courier New" w:eastAsia="Courier New" w:hAnsi="Courier New"/>
          <w:sz w:val="18"/>
          <w:szCs w:val="18"/>
          <w:color w:val="auto"/>
        </w:rPr>
      </w:pPr>
    </w:p>
    <w:p>
      <w:pPr>
        <w:ind w:right="1779" w:firstLine="1061"/>
        <w:spacing w:after="0" w:line="298"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Restated Certificate of Incorporation has been duly adopted in accordance with Section 245 of the General Corporation Law of the State of Delaware. This document only restates and integrates and does not further amend the provisions of the Certificate of Incorporation of this Corporation as theretofore amended or supplemented, and there is no discrepancy between those provisions and the provisions of this Restated Certificate of Incorporation.</w:t>
      </w:r>
    </w:p>
    <w:p>
      <w:pPr>
        <w:spacing w:after="0" w:line="68"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The Certificate of Incorporation of the Corporation is hereby restated and integrated to read in its entirety as follows:</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name of the corporation (hereinafter called the "Corporation") is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REGISTERED OFFICE</w:t>
      </w:r>
    </w:p>
    <w:p>
      <w:pPr>
        <w:spacing w:after="0" w:line="201" w:lineRule="exact"/>
        <w:rPr>
          <w:sz w:val="20"/>
          <w:szCs w:val="20"/>
          <w:color w:val="auto"/>
        </w:rPr>
      </w:pPr>
    </w:p>
    <w:p>
      <w:pPr>
        <w:ind w:right="1999" w:firstLine="1053"/>
        <w:spacing w:after="0" w:line="265" w:lineRule="auto"/>
        <w:rPr>
          <w:sz w:val="20"/>
          <w:szCs w:val="20"/>
          <w:color w:val="auto"/>
        </w:rPr>
      </w:pPr>
      <w:r>
        <w:rPr>
          <w:rFonts w:ascii="Courier New" w:cs="Courier New" w:eastAsia="Courier New" w:hAnsi="Courier New"/>
          <w:sz w:val="18"/>
          <w:szCs w:val="18"/>
          <w:color w:val="auto"/>
        </w:rPr>
        <w:t>The registered office of the Corporation in the State of Delaware is located at Corporation Trust Center, 1209 West Orange Street, in the City of Wilmington, County of New Castle. The name and address of the Corporation's registered agent is The Corporation Trust Company, Corporation Trust Center, 1209 Orange Street, Wilmington, Delaware 19801.</w:t>
      </w:r>
    </w:p>
    <w:p>
      <w:pPr>
        <w:spacing w:after="0" w:line="9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The purpose of the Corporation is to engage in any lawful act or activity for which corporations may be organized under the General Corporation Law of the State of Delaware.</w:t>
      </w:r>
    </w:p>
    <w:p>
      <w:pPr>
        <w:sectPr>
          <w:pgSz w:w="11900" w:h="16838" w:orient="portrait"/>
          <w:cols w:equalWidth="0" w:num="1">
            <w:col w:w="10219"/>
          </w:cols>
          <w:pgMar w:left="240" w:top="515" w:right="1440" w:bottom="1440" w:gutter="0" w:footer="0" w:header="0"/>
        </w:sectPr>
      </w:pPr>
    </w:p>
    <w:bookmarkStart w:id="92" w:name="page93"/>
    <w:bookmarkEnd w:id="92"/>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SECTION 1. The total number of shares of capital stock that the Corporation shall have the authority to issue is 50,000,000 shares, consisting of Forty-Five Million (45,000,000) shares of common stock, par value $.01 per share ("Common Stock"), and 5,000,000 shares of preferred stock, par value $.01 per share ("Preferred Stock"). Shares of Preferred Stock may be issued from time to time in one or more series as may be determined by the Board of Directors. Each series shall be distinctly designated. The Board of Directors of the Corporation is hereby expressly granted the authority to fix, by resolution or resolutions adopted prior to the issuance of any shares of each particular series of Preferred Stock and incorporated in a certificate of designations filed with the Secretary of State of the State of Delaware, the designation, powers (including voting powers and voting rights), preferences and relative, participating, optional or other special rights, and the qualifications, limitations or restrictions thereof, if any, of such series, including, but without limiting the generality of the foregoing, the following:</w:t>
      </w:r>
    </w:p>
    <w:p>
      <w:pPr>
        <w:spacing w:after="0" w:line="291" w:lineRule="exact"/>
        <w:rPr>
          <w:sz w:val="20"/>
          <w:szCs w:val="20"/>
          <w:color w:val="auto"/>
        </w:rPr>
      </w:pPr>
    </w:p>
    <w:p>
      <w:pPr>
        <w:ind w:left="540" w:right="1879" w:firstLine="521"/>
        <w:spacing w:after="0" w:line="265"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spacing w:after="0" w:line="89" w:lineRule="exact"/>
        <w:rPr>
          <w:rFonts w:ascii="Courier New" w:cs="Courier New" w:eastAsia="Courier New" w:hAnsi="Courier New"/>
          <w:sz w:val="18"/>
          <w:szCs w:val="18"/>
          <w:color w:val="auto"/>
        </w:rPr>
      </w:pPr>
    </w:p>
    <w:p>
      <w:pPr>
        <w:ind w:left="540" w:right="1779" w:firstLine="521"/>
        <w:spacing w:after="0" w:line="265"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spacing w:after="0" w:line="89" w:lineRule="exact"/>
        <w:rPr>
          <w:rFonts w:ascii="Courier New" w:cs="Courier New" w:eastAsia="Courier New" w:hAnsi="Courier New"/>
          <w:sz w:val="18"/>
          <w:szCs w:val="18"/>
          <w:color w:val="auto"/>
        </w:rPr>
      </w:pPr>
    </w:p>
    <w:p>
      <w:pPr>
        <w:ind w:left="540" w:right="1879" w:firstLine="521"/>
        <w:spacing w:after="0" w:line="260"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shares of the series shall be redeemable, and, if so, the terms and conditions of such redemption, including the date or dates or event or events upon or after the occurrence of which they shall be redeemable, and the amount and type of consideration payable in case of redemption, which amount per share may vary under different conditions and at different redemption dates;</w:t>
      </w:r>
    </w:p>
    <w:p>
      <w:pPr>
        <w:spacing w:after="0" w:line="92" w:lineRule="exact"/>
        <w:rPr>
          <w:rFonts w:ascii="Courier New" w:cs="Courier New" w:eastAsia="Courier New" w:hAnsi="Courier New"/>
          <w:sz w:val="18"/>
          <w:szCs w:val="18"/>
          <w:color w:val="auto"/>
        </w:rPr>
      </w:pPr>
    </w:p>
    <w:p>
      <w:pPr>
        <w:ind w:left="540" w:right="1879" w:firstLine="521"/>
        <w:spacing w:after="0" w:line="318"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spacing w:after="0" w:line="52" w:lineRule="exact"/>
        <w:rPr>
          <w:rFonts w:ascii="Courier New" w:cs="Courier New" w:eastAsia="Courier New" w:hAnsi="Courier New"/>
          <w:sz w:val="16"/>
          <w:szCs w:val="16"/>
          <w:color w:val="auto"/>
        </w:rPr>
      </w:pPr>
    </w:p>
    <w:p>
      <w:pPr>
        <w:ind w:left="540" w:right="1779" w:firstLine="521"/>
        <w:spacing w:after="0" w:line="256"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the shares of such series shall be convertible into, or exchangeable for, any other shares of stock or other securities or property of the Corporation or any other corporation or entity and, if so convertible or exchangeable, the conversion price or prices, or the rates of exchange, and any adjustments thereof, at which such conversion or exchange may be made, and any other terms and conditions of such conversion or exchange;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93" w:name="page94"/>
    <w:bookmarkEnd w:id="93"/>
    <w:p>
      <w:pPr>
        <w:jc w:val="both"/>
        <w:ind w:left="540" w:right="1879" w:firstLine="521"/>
        <w:spacing w:after="0" w:line="344" w:lineRule="auto"/>
        <w:tabs>
          <w:tab w:leader="none" w:pos="1488"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such series in the event of voluntary or involuntary liquidation, merger, consolidation, distribution or sale of assets, dissolution or winding up of the Corporation;</w:t>
      </w:r>
    </w:p>
    <w:p>
      <w:pPr>
        <w:spacing w:after="0" w:line="30" w:lineRule="exact"/>
        <w:rPr>
          <w:rFonts w:ascii="Courier New" w:cs="Courier New" w:eastAsia="Courier New" w:hAnsi="Courier New"/>
          <w:sz w:val="16"/>
          <w:szCs w:val="16"/>
          <w:color w:val="auto"/>
        </w:rPr>
      </w:pPr>
    </w:p>
    <w:p>
      <w:pPr>
        <w:ind w:left="540" w:right="1779" w:firstLine="521"/>
        <w:spacing w:after="0" w:line="282" w:lineRule="auto"/>
        <w:tabs>
          <w:tab w:leader="none" w:pos="1488"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such series shall have priority over or parity with or be junior to the shares of any other class or series in any respect, or shall be entitled to the benefit of limitations restricting</w:t>
      </w:r>
    </w:p>
    <w:p>
      <w:pPr>
        <w:ind w:left="540" w:right="1879" w:hanging="5"/>
        <w:spacing w:after="0" w:line="281" w:lineRule="auto"/>
        <w:tabs>
          <w:tab w:leader="none" w:pos="96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creation of indebtedness of the Corporation, (ii) the issuance of shares of any other class or series having priority over or being on a parity with the shares of such series in any respect, or (iii) the payment of dividends on, the making of other distributions in respect of, or the purchase or redemption of shares of any other class or series on a parity with or ranking junior to the shares of such series as to dividends or assets, and the terms of any such restrictions, or any other restriction with respect to shares of any other class or series on a parity with or ranking junior to the shares of such series in any respect;</w:t>
      </w:r>
    </w:p>
    <w:p>
      <w:pPr>
        <w:spacing w:after="0" w:line="83" w:lineRule="exact"/>
        <w:rPr>
          <w:rFonts w:ascii="Courier New" w:cs="Courier New" w:eastAsia="Courier New" w:hAnsi="Courier New"/>
          <w:sz w:val="16"/>
          <w:szCs w:val="16"/>
          <w:color w:val="auto"/>
        </w:rPr>
      </w:pPr>
    </w:p>
    <w:p>
      <w:pPr>
        <w:ind w:left="540" w:right="1779" w:firstLine="521"/>
        <w:spacing w:after="0" w:line="279" w:lineRule="auto"/>
        <w:tabs>
          <w:tab w:leader="none" w:pos="1488"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shares of the series shall have voting rights in addition to the voting rights provided by law and, if so, the terms of such voting rights, which may, without limiting the generality of the foregoing, include (i) the right to more or less than one vote per share on any or all matters voted upon by the Corporation's stockholders and (ii) the right to vote, as a series by itself or together with other series of Preferred Stock or together with all series of Preferred Stock as a class or with the Common Stock as a class, upon such matters, under such circumstances and upon such conditions as the Board of Directors may fix, including, without limitation, the right, voting as a series by itself or together with other series of Preferred Stock or together with all series of Preferred Stock as a class, to elect one or more directors of the Corporation generally in the event there shall have been a default in the payment of dividends on any one or more series of Preferred Stock or under such other circumstances and upon such conditions as the Board of Directors may determine; and</w:t>
      </w:r>
    </w:p>
    <w:p>
      <w:pPr>
        <w:spacing w:after="0" w:line="291" w:lineRule="exact"/>
        <w:rPr>
          <w:rFonts w:ascii="Courier New" w:cs="Courier New" w:eastAsia="Courier New" w:hAnsi="Courier New"/>
          <w:sz w:val="16"/>
          <w:szCs w:val="16"/>
          <w:color w:val="auto"/>
        </w:rPr>
      </w:pPr>
    </w:p>
    <w:p>
      <w:pPr>
        <w:ind w:left="540" w:right="1779" w:firstLine="521"/>
        <w:spacing w:after="0" w:line="274" w:lineRule="auto"/>
        <w:tabs>
          <w:tab w:leader="none" w:pos="148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powers, designations, preferences and relative, participating, optional, or other special rights of such series, and the qualifications, limitations or restrictions thereof, to the full extent now or hereafter permitted by law.</w:t>
      </w:r>
    </w:p>
    <w:p>
      <w:pPr>
        <w:spacing w:after="0" w:line="82" w:lineRule="exact"/>
        <w:rPr>
          <w:sz w:val="20"/>
          <w:szCs w:val="20"/>
          <w:color w:val="auto"/>
        </w:rPr>
      </w:pPr>
    </w:p>
    <w:p>
      <w:pPr>
        <w:ind w:right="1779" w:firstLine="1053"/>
        <w:spacing w:after="0" w:line="244" w:lineRule="auto"/>
        <w:rPr>
          <w:sz w:val="20"/>
          <w:szCs w:val="20"/>
          <w:color w:val="auto"/>
        </w:rPr>
      </w:pPr>
      <w:r>
        <w:rPr>
          <w:rFonts w:ascii="Courier New" w:cs="Courier New" w:eastAsia="Courier New" w:hAnsi="Courier New"/>
          <w:sz w:val="18"/>
          <w:szCs w:val="18"/>
          <w:color w:val="auto"/>
        </w:rPr>
        <w:t>The powers, designations,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to all other shares of such series, except that shares of any one series issued at different times may differ as to the dates from which dividends thereon shall be cumulative. The relative powers, preferences and rights of each series of Preferred Stock in relation to the powers, preferences and rights of each other series of Preferred Stock shall, in each case, be as fixed from time to time by the Board of Directors in the resolution or resolutions adopted pursuant to the authority granted in this Section 1 of Article IV, and the consent, by class or series vote or otherwise, of the holders of Preferred Stock of such of the series of Preferred Stock as are from time to time outstanding shall not be required for the issuance by the Board of Directors of any other series of Preferred Stock, whether the powers, preferences and rights of such other series shall be fixed by the Board of Directors as senior to, or on a parity with, the powers, preferences and rights of</w:t>
      </w:r>
    </w:p>
    <w:p>
      <w:pPr>
        <w:spacing w:after="0" w:line="3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0" w:right="1440" w:bottom="1440" w:gutter="0" w:footer="0" w:header="0"/>
        </w:sectPr>
      </w:pPr>
    </w:p>
    <w:bookmarkStart w:id="94" w:name="page95"/>
    <w:bookmarkEnd w:id="94"/>
    <w:p>
      <w:pPr>
        <w:ind w:right="1879"/>
        <w:spacing w:after="0" w:line="260" w:lineRule="auto"/>
        <w:rPr>
          <w:sz w:val="20"/>
          <w:szCs w:val="20"/>
          <w:color w:val="auto"/>
        </w:rPr>
      </w:pPr>
      <w:r>
        <w:rPr>
          <w:rFonts w:ascii="Courier New" w:cs="Courier New" w:eastAsia="Courier New" w:hAnsi="Courier New"/>
          <w:sz w:val="18"/>
          <w:szCs w:val="18"/>
          <w:color w:val="auto"/>
        </w:rPr>
        <w:t>such outstanding series, or any of them; provided, however, that the Board of Directors may provide in such resolution or resolutions adopted with respect to any series of Preferred Stock that the consent of the holders of a majority (or such greater proportion as shall be therein fixed) of the outstanding shares of such series voting thereon shall be required for the issuance of shares of any or all other series of Preferred Stock.</w:t>
      </w:r>
    </w:p>
    <w:p>
      <w:pPr>
        <w:spacing w:after="0" w:line="93"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SECTION 2. A statement of the powers, designations, preferences, rights, qualifications, limitations and restrictions in respect of the shares of Common Stock is as follows:</w:t>
      </w:r>
    </w:p>
    <w:p>
      <w:pPr>
        <w:spacing w:after="0" w:line="66" w:lineRule="exact"/>
        <w:rPr>
          <w:sz w:val="20"/>
          <w:szCs w:val="20"/>
          <w:color w:val="auto"/>
        </w:rPr>
      </w:pPr>
    </w:p>
    <w:p>
      <w:pPr>
        <w:ind w:left="540" w:right="1779" w:firstLine="521"/>
        <w:spacing w:after="0" w:line="282"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requirements with respect to preferential dividends on the shares of any series of Preferred Stock shall have been met and after the Corporation shall have complied with all the requirements, if any, with respect to the setting aside of sums as sinking funds or redemption or purchase accounts and subject further to any other conditions which may be fixed in accordance with the provisions of this Certificate of Incorporation, then, but not otherwise, the holders of Common Stock shall be entitled to receive such dividends, if any, as may be declared from time to time by the Board of Directors on the Common Stock, which dividends shall be paid out of assets legally available for the payment of dividends and shall be distributed to such holders pro rata in accordance with the number of shares of such Common Stock held by each such holder.</w:t>
      </w:r>
    </w:p>
    <w:p>
      <w:pPr>
        <w:spacing w:after="0" w:line="290" w:lineRule="exact"/>
        <w:rPr>
          <w:rFonts w:ascii="Courier New" w:cs="Courier New" w:eastAsia="Courier New" w:hAnsi="Courier New"/>
          <w:sz w:val="16"/>
          <w:szCs w:val="16"/>
          <w:color w:val="auto"/>
        </w:rPr>
      </w:pPr>
    </w:p>
    <w:p>
      <w:pPr>
        <w:ind w:left="540" w:right="1779" w:firstLine="521"/>
        <w:spacing w:after="0" w:line="293"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voluntary or involuntary liquidation, dissolution or winding up of the affairs of the Corporation, after payment shall have been made to the holders of Preferred Stock of the full amount to which they shall be entitled as a preferential amount, the holders of Common Stock shall be entitled to share, ratably according to the number of shares of Common Stock held by them, in all remaining assets of the Corporation available for distribution to its holders of Common Stock.</w:t>
      </w:r>
    </w:p>
    <w:p>
      <w:pPr>
        <w:spacing w:after="0" w:line="71" w:lineRule="exact"/>
        <w:rPr>
          <w:rFonts w:ascii="Courier New" w:cs="Courier New" w:eastAsia="Courier New" w:hAnsi="Courier New"/>
          <w:sz w:val="16"/>
          <w:szCs w:val="16"/>
          <w:color w:val="auto"/>
        </w:rPr>
      </w:pPr>
    </w:p>
    <w:p>
      <w:pPr>
        <w:ind w:left="540" w:right="1779" w:firstLine="521"/>
        <w:spacing w:after="0" w:line="256"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him.</w:t>
      </w:r>
    </w:p>
    <w:p>
      <w:pPr>
        <w:spacing w:after="0" w:line="98" w:lineRule="exact"/>
        <w:rPr>
          <w:sz w:val="20"/>
          <w:szCs w:val="20"/>
          <w:color w:val="auto"/>
        </w:rPr>
      </w:pPr>
    </w:p>
    <w:p>
      <w:pPr>
        <w:ind w:right="1779" w:firstLine="1053"/>
        <w:spacing w:after="0" w:line="246" w:lineRule="auto"/>
        <w:rPr>
          <w:sz w:val="20"/>
          <w:szCs w:val="20"/>
          <w:color w:val="auto"/>
        </w:rPr>
      </w:pPr>
      <w:r>
        <w:rPr>
          <w:rFonts w:ascii="Courier New" w:cs="Courier New" w:eastAsia="Courier New" w:hAnsi="Courier New"/>
          <w:sz w:val="18"/>
          <w:szCs w:val="18"/>
          <w:color w:val="auto"/>
        </w:rPr>
        <w:t>SECTION 3. (a) No stockholder of the Corporation shall by reason of his holding shares of any class of stock have any preemptive or preferential rights to purchase or subscribe to any shares of any class of stock of the Corporation, now or hereafter to be authorized, or any notes, debentures, bonds or other securities convertible into or carrying options or warrants to purchase shares of any class, now or hereafter to be authorized, whether or not the issuance of any such shares, or such notes, debentures, bonds or other securities, would adversely affect the dividend or voting rights of such stockholder, other than such rights, if any, as the Board of Directors, in its discretion from time to time, may grant and at such price as the Board of Directors in its discretion may fix; and the Board of Directors may issue shares of any class of the Corporation, or any notes, debentures, bonds, or other securities convertible into or carrying options or warrants to purchase shares of any class, without offering any such shares of any class, either in whole or in part, to the existing stockholders of any class.</w:t>
      </w: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95" w:name="page96"/>
    <w:bookmarkEnd w:id="95"/>
    <w:p>
      <w:pPr>
        <w:ind w:left="540" w:right="2199" w:firstLine="521"/>
        <w:spacing w:after="0" w:line="347"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voting of shares of any capital stock having voting rights is prohibited.</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SECTION 1. The business and affairs of the Corporation shall be managed by or under the direction of the Board of Directors. Unless and except to the extent that the By-Laws of the Corporation shall so require, the election of directors of the Corporation need not be by written ballot.</w:t>
      </w:r>
    </w:p>
    <w:p>
      <w:pPr>
        <w:spacing w:after="0" w:line="82" w:lineRule="exact"/>
        <w:rPr>
          <w:sz w:val="20"/>
          <w:szCs w:val="20"/>
          <w:color w:val="auto"/>
        </w:rPr>
      </w:pPr>
    </w:p>
    <w:p>
      <w:pPr>
        <w:ind w:right="1879" w:firstLine="1053"/>
        <w:spacing w:after="0" w:line="256" w:lineRule="auto"/>
        <w:rPr>
          <w:sz w:val="20"/>
          <w:szCs w:val="20"/>
          <w:color w:val="auto"/>
        </w:rPr>
      </w:pPr>
      <w:r>
        <w:rPr>
          <w:rFonts w:ascii="Courier New" w:cs="Courier New" w:eastAsia="Courier New" w:hAnsi="Courier New"/>
          <w:sz w:val="18"/>
          <w:szCs w:val="18"/>
          <w:color w:val="auto"/>
        </w:rPr>
        <w:t>SECTION 2. Subject to the rights of the holders of any series of Preferred Stock to elect directors under specified circumstances, the number of directors of the Corporation shall be fixed, and may be increased or decreased from time to time, in such a manner as may be prescribed by the By-Laws. The By-Laws also may contain any other provisions for the regulation and management of the affairs of the Corporation not inconsistent with the law or this Certificate of Incorporation.</w:t>
      </w:r>
    </w:p>
    <w:p>
      <w:pPr>
        <w:spacing w:after="0" w:line="98" w:lineRule="exact"/>
        <w:rPr>
          <w:sz w:val="20"/>
          <w:szCs w:val="20"/>
          <w:color w:val="auto"/>
        </w:rPr>
      </w:pPr>
    </w:p>
    <w:p>
      <w:pPr>
        <w:ind w:right="1779" w:firstLine="1053"/>
        <w:spacing w:after="0" w:line="246" w:lineRule="auto"/>
        <w:rPr>
          <w:sz w:val="20"/>
          <w:szCs w:val="20"/>
          <w:color w:val="auto"/>
        </w:rPr>
      </w:pPr>
      <w:r>
        <w:rPr>
          <w:rFonts w:ascii="Courier New" w:cs="Courier New" w:eastAsia="Courier New" w:hAnsi="Courier New"/>
          <w:sz w:val="18"/>
          <w:szCs w:val="18"/>
          <w:color w:val="auto"/>
        </w:rPr>
        <w:t>SECTION 3.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 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06"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SECTION 4.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 the voting power of all the then outstanding Voting Stock, voting together as a single class. For the purpose of this Certificate of Incorporation, "Voting Stock" shall mean the shares of capital stock of the Corporation entitled to vote generally in the election of directors.</w:t>
      </w:r>
    </w:p>
    <w:p>
      <w:pPr>
        <w:spacing w:after="0" w:line="104" w:lineRule="exact"/>
        <w:rPr>
          <w:sz w:val="20"/>
          <w:szCs w:val="20"/>
          <w:color w:val="auto"/>
        </w:rPr>
      </w:pPr>
    </w:p>
    <w:p>
      <w:pPr>
        <w:ind w:right="1879" w:firstLine="1053"/>
        <w:spacing w:after="0" w:line="253" w:lineRule="auto"/>
        <w:rPr>
          <w:sz w:val="20"/>
          <w:szCs w:val="20"/>
          <w:color w:val="auto"/>
        </w:rPr>
      </w:pPr>
      <w:r>
        <w:rPr>
          <w:rFonts w:ascii="Courier New" w:cs="Courier New" w:eastAsia="Courier New" w:hAnsi="Courier New"/>
          <w:sz w:val="18"/>
          <w:szCs w:val="18"/>
          <w:color w:val="auto"/>
        </w:rPr>
        <w:t>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(ii) by a plurality of the votes cast at a meeting of the stockholders.</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0" w:right="1440" w:bottom="1440" w:gutter="0" w:footer="0" w:header="0"/>
        </w:sectPr>
      </w:pPr>
    </w:p>
    <w:bookmarkStart w:id="96" w:name="page97"/>
    <w:bookmarkEnd w:id="96"/>
    <w:p>
      <w:pPr>
        <w:ind w:right="1779"/>
        <w:spacing w:after="0" w:line="293" w:lineRule="auto"/>
        <w:rPr>
          <w:sz w:val="20"/>
          <w:szCs w:val="20"/>
          <w:color w:val="auto"/>
        </w:rPr>
      </w:pPr>
      <w:r>
        <w:rPr>
          <w:rFonts w:ascii="Courier New" w:cs="Courier New" w:eastAsia="Courier New" w:hAnsi="Courier New"/>
          <w:sz w:val="16"/>
          <w:szCs w:val="16"/>
          <w:color w:val="auto"/>
        </w:rPr>
        <w:t>Directors so chosen shall hold office for a term expiring at the annual meeting of stockholders at which the term of office of the class to which they have been elected expires and until such director's successor shall have been duly elected and qualified. No decrease in the number of authorized directors constituting the Whole Board shall shorten the term of any incumbent director. For the purpose of this Certificate of Incorporation, "Whole Board" shall mean the total number of directors which the Corporation would have if there were no vacancies.</w:t>
      </w:r>
    </w:p>
    <w:p>
      <w:pPr>
        <w:spacing w:after="0" w:line="72"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SECTION 6. Notwithstanding anything contained in this Certificate of Incorporation to the contrary, the affirmative vote of the holders of at least 66 2/3 percent of the voting power of the then outstanding Voting Stock, voting together as a single class, shall be required to amend, repeal or adopt any provision inconsistent with Section 2 or Section 3 of this Article V.</w:t>
      </w:r>
    </w:p>
    <w:p>
      <w:pPr>
        <w:spacing w:after="0" w:line="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MAKING AND AMENDMENT OF BY-LAWS</w:t>
      </w:r>
    </w:p>
    <w:p>
      <w:pPr>
        <w:spacing w:after="0" w:line="201" w:lineRule="exact"/>
        <w:rPr>
          <w:sz w:val="20"/>
          <w:szCs w:val="20"/>
          <w:color w:val="auto"/>
        </w:rPr>
      </w:pPr>
    </w:p>
    <w:p>
      <w:pPr>
        <w:ind w:right="1879" w:firstLine="1053"/>
        <w:spacing w:after="0" w:line="256" w:lineRule="auto"/>
        <w:rPr>
          <w:sz w:val="20"/>
          <w:szCs w:val="20"/>
          <w:color w:val="auto"/>
        </w:rPr>
      </w:pPr>
      <w:r>
        <w:rPr>
          <w:rFonts w:ascii="Courier New" w:cs="Courier New" w:eastAsia="Courier New" w:hAnsi="Courier New"/>
          <w:sz w:val="18"/>
          <w:szCs w:val="18"/>
          <w:color w:val="auto"/>
        </w:rPr>
        <w:t>SECTION 1. The Board of Directors, in furtherance and not in limitation of the powers conferred by the laws of the State of Delaware and by this Certificate of Incorporation, is expressly authorized to make, amend or repeal the By-Laws of the Corporation; provided, however, that any such making, amendment or repeal must be approved by resolution of the Board of Directors adopted by the affirmative vote of not less than a majority of the total number of directors then in office.</w:t>
      </w:r>
    </w:p>
    <w:p>
      <w:pPr>
        <w:spacing w:after="0" w:line="98" w:lineRule="exact"/>
        <w:rPr>
          <w:sz w:val="20"/>
          <w:szCs w:val="20"/>
          <w:color w:val="auto"/>
        </w:rPr>
      </w:pPr>
    </w:p>
    <w:p>
      <w:pPr>
        <w:ind w:right="1879" w:firstLine="1053"/>
        <w:spacing w:after="0" w:line="289" w:lineRule="auto"/>
        <w:rPr>
          <w:sz w:val="20"/>
          <w:szCs w:val="20"/>
          <w:color w:val="auto"/>
        </w:rPr>
      </w:pPr>
      <w:r>
        <w:rPr>
          <w:rFonts w:ascii="Courier New" w:cs="Courier New" w:eastAsia="Courier New" w:hAnsi="Courier New"/>
          <w:sz w:val="16"/>
          <w:szCs w:val="16"/>
          <w:color w:val="auto"/>
        </w:rPr>
        <w:t>SECTION 2. By-Laws shall not be made, repealed, altered, amended or rescinded by the stockholders of the Corporation except by the affirmative vote of the holders of at least 66 2/3% of the voting power of the then outstanding Voting Stock, voting together as a single class.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w:t>
      </w:r>
    </w:p>
    <w:p>
      <w:pPr>
        <w:spacing w:after="0" w:line="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MEETINGS</w:t>
      </w:r>
    </w:p>
    <w:p>
      <w:pPr>
        <w:spacing w:after="0" w:line="201" w:lineRule="exact"/>
        <w:rPr>
          <w:sz w:val="20"/>
          <w:szCs w:val="20"/>
          <w:color w:val="auto"/>
        </w:rPr>
      </w:pPr>
    </w:p>
    <w:p>
      <w:pPr>
        <w:ind w:right="1779" w:firstLine="1053"/>
        <w:spacing w:after="0" w:line="250" w:lineRule="auto"/>
        <w:rPr>
          <w:sz w:val="20"/>
          <w:szCs w:val="20"/>
          <w:color w:val="auto"/>
        </w:rPr>
      </w:pPr>
      <w:r>
        <w:rPr>
          <w:rFonts w:ascii="Courier New" w:cs="Courier New" w:eastAsia="Courier New" w:hAnsi="Courier New"/>
          <w:sz w:val="18"/>
          <w:szCs w:val="18"/>
          <w:color w:val="auto"/>
        </w:rPr>
        <w:t>SECTION 1.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spacing w:after="0" w:line="104"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SECTION 2. Subject to the rights of the holders of any series of Preferred Stock with respect to such series of Preferred Stock, special meetings of the stockholders may be called</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97" w:name="page98"/>
    <w:bookmarkEnd w:id="97"/>
    <w:p>
      <w:pPr>
        <w:ind w:right="1879"/>
        <w:spacing w:after="0" w:line="344" w:lineRule="auto"/>
        <w:rPr>
          <w:sz w:val="20"/>
          <w:szCs w:val="20"/>
          <w:color w:val="auto"/>
        </w:rPr>
      </w:pPr>
      <w:r>
        <w:rPr>
          <w:rFonts w:ascii="Courier New" w:cs="Courier New" w:eastAsia="Courier New" w:hAnsi="Courier New"/>
          <w:sz w:val="16"/>
          <w:szCs w:val="16"/>
          <w:color w:val="auto"/>
        </w:rPr>
        <w:t>only by the Chairman of the Board or by the Board of Directors pursuant to a resolution adopted by a majority of the Whole Board. Except as provided herein, no person shall have authority to call a special meeting of the stockholders.</w:t>
      </w:r>
    </w:p>
    <w:p>
      <w:pPr>
        <w:spacing w:after="0" w:line="31" w:lineRule="exact"/>
        <w:rPr>
          <w:sz w:val="20"/>
          <w:szCs w:val="20"/>
          <w:color w:val="auto"/>
        </w:rPr>
      </w:pPr>
    </w:p>
    <w:p>
      <w:pPr>
        <w:ind w:right="1999" w:firstLine="1053"/>
        <w:spacing w:after="0" w:line="265" w:lineRule="auto"/>
        <w:rPr>
          <w:sz w:val="20"/>
          <w:szCs w:val="20"/>
          <w:color w:val="auto"/>
        </w:rPr>
      </w:pPr>
      <w:r>
        <w:rPr>
          <w:rFonts w:ascii="Courier New" w:cs="Courier New" w:eastAsia="Courier New" w:hAnsi="Courier New"/>
          <w:sz w:val="18"/>
          <w:szCs w:val="18"/>
          <w:color w:val="auto"/>
        </w:rPr>
        <w:t>SECTION 3.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VII.</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ELIMINATION OF CERTAIN LIABILITY OF DIRECTORS</w:t>
      </w:r>
    </w:p>
    <w:p>
      <w:pPr>
        <w:spacing w:after="0" w:line="201" w:lineRule="exact"/>
        <w:rPr>
          <w:sz w:val="20"/>
          <w:szCs w:val="20"/>
          <w:color w:val="auto"/>
        </w:rPr>
      </w:pPr>
    </w:p>
    <w:p>
      <w:pPr>
        <w:ind w:right="1779" w:firstLine="1053"/>
        <w:spacing w:after="0" w:line="245" w:lineRule="auto"/>
        <w:rPr>
          <w:sz w:val="20"/>
          <w:szCs w:val="20"/>
          <w:color w:val="auto"/>
        </w:rPr>
      </w:pPr>
      <w:r>
        <w:rPr>
          <w:rFonts w:ascii="Courier New" w:cs="Courier New" w:eastAsia="Courier New" w:hAnsi="Courier New"/>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is amended after the filing of this Certificate of Incorporation to authorize corporate action further eliminating or limiting the personal liability of directors, then the liability of a director of the Corporation, in addition to the personal liability provided herein, shall be limited to the fullest extent permitted by such law, as so amended. Any amendment or repeal of this Article VIII shall not adversely affect any right or protection existing hereunder in respect of any act or omission occurring prior to such amendment or repeal.</w:t>
      </w:r>
    </w:p>
    <w:p>
      <w:pPr>
        <w:spacing w:after="0" w:line="1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ind w:right="1779" w:firstLine="1053"/>
        <w:spacing w:after="0" w:line="244" w:lineRule="auto"/>
        <w:rPr>
          <w:sz w:val="20"/>
          <w:szCs w:val="20"/>
          <w:color w:val="auto"/>
        </w:rPr>
      </w:pPr>
      <w:r>
        <w:rPr>
          <w:rFonts w:ascii="Courier New" w:cs="Courier New" w:eastAsia="Courier New" w:hAnsi="Courier New"/>
          <w:sz w:val="18"/>
          <w:szCs w:val="18"/>
          <w:color w:val="auto"/>
        </w:rPr>
        <w:t>SECTION 1. To the full extent permitted by Delaware law from time to time in effect, and subject to the provisions of Section 2 of this Article IX, the Corporation shall indemnify any person who was or is a party or is threatened to be made a party to any threatened, pending or completed action, suit or proceeding, whether civil, criminal, administrative or investigative (whether or not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98" w:name="page99"/>
    <w:bookmarkEnd w:id="98"/>
    <w:p>
      <w:pPr>
        <w:ind w:right="1879"/>
        <w:spacing w:after="0" w:line="292" w:lineRule="auto"/>
        <w:rPr>
          <w:sz w:val="20"/>
          <w:szCs w:val="20"/>
          <w:color w:val="auto"/>
        </w:rPr>
      </w:pPr>
      <w:r>
        <w:rPr>
          <w:rFonts w:ascii="Courier New" w:cs="Courier New" w:eastAsia="Courier New" w:hAnsi="Courier New"/>
          <w:sz w:val="18"/>
          <w:szCs w:val="18"/>
          <w:color w:val="auto"/>
        </w:rPr>
        <w:t>believed to be in or not opposed to the best interests of the Corporation, and, with respect to any criminal action or proceeding, had reasonable cause to believe that his conduct was unlawful.</w:t>
      </w:r>
    </w:p>
    <w:p>
      <w:pPr>
        <w:spacing w:after="0" w:line="66" w:lineRule="exact"/>
        <w:rPr>
          <w:sz w:val="20"/>
          <w:szCs w:val="20"/>
          <w:color w:val="auto"/>
        </w:rPr>
      </w:pPr>
    </w:p>
    <w:p>
      <w:pPr>
        <w:ind w:right="1779" w:firstLine="1053"/>
        <w:spacing w:after="0" w:line="249" w:lineRule="auto"/>
        <w:rPr>
          <w:sz w:val="20"/>
          <w:szCs w:val="20"/>
          <w:color w:val="auto"/>
        </w:rPr>
      </w:pPr>
      <w:r>
        <w:rPr>
          <w:rFonts w:ascii="Courier New" w:cs="Courier New" w:eastAsia="Courier New" w:hAnsi="Courier New"/>
          <w:sz w:val="18"/>
          <w:szCs w:val="18"/>
          <w:color w:val="auto"/>
        </w:rPr>
        <w:t>SECTION 2. Any indemnification under Section 1 of this Article IX (unless ordered by a court) shall be made by the Corporation only as authorized in the specific case upon a determination that indemnification of the director, officer, employee or agent is proper under the circumstances because he has met the applicable standard of conduct set forth in said Section 1. Such determination shall be made (1) by the Board of Directors by a majority vote of a quorum consisting of directors who were not parties to such action, suit or proceeding, or (2) if such a quorum in not obtainable, or, even if obtainable and a quorum of disinterested directors so directs, by independent legal counsel (compensated by the Corporation) in a written opinion, or (3) by the stockholders.</w:t>
      </w:r>
    </w:p>
    <w:p>
      <w:pPr>
        <w:spacing w:after="0" w:line="104"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SECTION 3. If a director, officer, employee or agent of the Corporation has been successful on the merits or otherwise in defense of any action, suit or proceeding referred to in Section 1 of this Article 9, or with respect to any claim, issue or matter therein (to the extent that a portion of his expenses can be reasonably allocated thereto), he shall be indemnified against expenses (including attorneys' fees) actually and reasonably incurred by him in connection therewith.</w:t>
      </w:r>
    </w:p>
    <w:p>
      <w:pPr>
        <w:spacing w:after="0" w:line="98" w:lineRule="exact"/>
        <w:rPr>
          <w:sz w:val="20"/>
          <w:szCs w:val="20"/>
          <w:color w:val="auto"/>
        </w:rPr>
      </w:pPr>
    </w:p>
    <w:p>
      <w:pPr>
        <w:ind w:right="1999" w:firstLine="1053"/>
        <w:spacing w:after="0" w:line="253" w:lineRule="auto"/>
        <w:rPr>
          <w:sz w:val="20"/>
          <w:szCs w:val="20"/>
          <w:color w:val="auto"/>
        </w:rPr>
      </w:pPr>
      <w:r>
        <w:rPr>
          <w:rFonts w:ascii="Courier New" w:cs="Courier New" w:eastAsia="Courier New" w:hAnsi="Courier New"/>
          <w:sz w:val="18"/>
          <w:szCs w:val="18"/>
          <w:color w:val="auto"/>
        </w:rPr>
        <w:t>SECTION 4. Expenses incurred in defending a civil, criminal, administrative or investigative action, suit or proceeding, or threat thereof, may be paid by the Corporation in advance of the final disposition of such action, suit or proceeding as authorized by the Board of Directors, whether a disinterested quorum exists or not, upon receipt of an undertaking by or on behalf of the director, officer, employee or agent to repay such amount unless it shall ultimately be determined that he is entitled to be indemnified by the Corporation as authorized in this Article IX.</w:t>
      </w:r>
    </w:p>
    <w:p>
      <w:pPr>
        <w:spacing w:after="0" w:line="104" w:lineRule="exact"/>
        <w:rPr>
          <w:sz w:val="20"/>
          <w:szCs w:val="20"/>
          <w:color w:val="auto"/>
        </w:rPr>
      </w:pPr>
    </w:p>
    <w:p>
      <w:pPr>
        <w:ind w:right="1999" w:firstLine="1053"/>
        <w:spacing w:after="0" w:line="293" w:lineRule="auto"/>
        <w:rPr>
          <w:sz w:val="20"/>
          <w:szCs w:val="20"/>
          <w:color w:val="auto"/>
        </w:rPr>
      </w:pPr>
      <w:r>
        <w:rPr>
          <w:rFonts w:ascii="Courier New" w:cs="Courier New" w:eastAsia="Courier New" w:hAnsi="Courier New"/>
          <w:sz w:val="16"/>
          <w:szCs w:val="16"/>
          <w:color w:val="auto"/>
        </w:rPr>
        <w:t>SECTION 5. The indemnification provided by this Article IX shall not be deemed exclusive of any other rights to which those indemnified may be entitled under any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72" w:lineRule="exact"/>
        <w:rPr>
          <w:sz w:val="20"/>
          <w:szCs w:val="20"/>
          <w:color w:val="auto"/>
        </w:rPr>
      </w:pPr>
    </w:p>
    <w:p>
      <w:pPr>
        <w:ind w:right="1779" w:firstLine="1053"/>
        <w:spacing w:after="0" w:line="252" w:lineRule="auto"/>
        <w:rPr>
          <w:sz w:val="20"/>
          <w:szCs w:val="20"/>
          <w:color w:val="auto"/>
        </w:rPr>
      </w:pPr>
      <w:r>
        <w:rPr>
          <w:rFonts w:ascii="Courier New" w:cs="Courier New" w:eastAsia="Courier New" w:hAnsi="Courier New"/>
          <w:sz w:val="18"/>
          <w:szCs w:val="18"/>
          <w:color w:val="auto"/>
        </w:rPr>
        <w:t>SECTION 6.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IX or of Section 145 of the General Corporation Law of the State of Delaware.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0" w:right="1440" w:bottom="1440" w:gutter="0" w:footer="0" w:header="0"/>
        </w:sectPr>
      </w:pPr>
    </w:p>
    <w:bookmarkStart w:id="99" w:name="page100"/>
    <w:bookmarkEnd w:id="99"/>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Except as may be expressly provided in this Certificate of Incorporation, the Corporation reserves the right at any time and from time to time to amend, alter, change or repeal any provision contained in this Certificate of Incorporation in the manner now or hereafter provided by law, and all rights, preferences and privileges of any kind whatsoever conferred upon stockholders, directors or any other persons by and pursuant to this Certificate of Incorporation in its present form or as hereafter amended are granted subject to this reserved power.</w:t>
      </w:r>
    </w:p>
    <w:p>
      <w:pPr>
        <w:spacing w:after="0" w:line="104" w:lineRule="exact"/>
        <w:rPr>
          <w:sz w:val="20"/>
          <w:szCs w:val="20"/>
          <w:color w:val="auto"/>
        </w:rPr>
      </w:pPr>
    </w:p>
    <w:p>
      <w:pPr>
        <w:ind w:right="2199" w:firstLine="1053"/>
        <w:spacing w:after="0" w:line="402" w:lineRule="auto"/>
        <w:rPr>
          <w:sz w:val="20"/>
          <w:szCs w:val="20"/>
          <w:color w:val="auto"/>
        </w:rPr>
      </w:pPr>
      <w:r>
        <w:rPr>
          <w:rFonts w:ascii="Courier New" w:cs="Courier New" w:eastAsia="Courier New" w:hAnsi="Courier New"/>
          <w:sz w:val="16"/>
          <w:szCs w:val="16"/>
          <w:color w:val="auto"/>
        </w:rPr>
        <w:t>IN WITNESS WHEREOF, the Corporation has caused this Restated Certificate of Incorporation to be duly executed this 6th day of June, 2002.</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William C. Kelly, Jr.</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Name:</w:t>
        <w:tab/>
        <w:t>William C. Kelly, Jr.</w:t>
      </w:r>
    </w:p>
    <w:p>
      <w:pPr>
        <w:jc w:val="both"/>
        <w:ind w:left="5060"/>
        <w:spacing w:after="0" w:line="238" w:lineRule="auto"/>
        <w:tabs>
          <w:tab w:leader="none" w:pos="5880" w:val="left"/>
        </w:tabs>
        <w:rPr>
          <w:sz w:val="20"/>
          <w:szCs w:val="20"/>
          <w:color w:val="auto"/>
        </w:rPr>
      </w:pPr>
      <w:r>
        <w:rPr>
          <w:rFonts w:ascii="Courier New" w:cs="Courier New" w:eastAsia="Courier New" w:hAnsi="Courier New"/>
          <w:sz w:val="18"/>
          <w:szCs w:val="18"/>
          <w:color w:val="auto"/>
        </w:rPr>
        <w:t>Title:</w:t>
        <w:tab/>
        <w:t>Treasurer, Secretary and</w:t>
      </w:r>
    </w:p>
    <w:p>
      <w:pPr>
        <w:jc w:val="right"/>
        <w:ind w:right="1779"/>
        <w:spacing w:after="0"/>
        <w:rPr>
          <w:sz w:val="20"/>
          <w:szCs w:val="20"/>
          <w:color w:val="auto"/>
        </w:rPr>
      </w:pPr>
      <w:r>
        <w:rPr>
          <w:rFonts w:ascii="Courier New" w:cs="Courier New" w:eastAsia="Courier New" w:hAnsi="Courier New"/>
          <w:sz w:val="18"/>
          <w:szCs w:val="18"/>
          <w:color w:val="auto"/>
        </w:rPr>
        <w:t>Chief Accounting Officer</w:t>
      </w: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RESTATED 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Incorporated Under the Laws of the State of Delaware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OFFICES AND RECORDS</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(1) Registered Office. Except as may otherwise be specified in the Certificate of Incorporation, the registered office of the Corporation shall be at Corporation Trust Center, 1209 Orange Street, in the City of Wilmington, County of New Castle, State of Delaware 19801, and the registered agent of the Corporation at such address shall be The Corporation Trust Company.</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(1) Annual Meeting. The annual meeting of stockholders for the election of directors, and for the transaction of such other business as may properly come before the meeting, shall be held at such place, either within or without the State of Delaware, and at such time and date as the Board of Directors, by resolution, shall determine.</w:t>
      </w:r>
    </w:p>
    <w:p>
      <w:pPr>
        <w:spacing w:after="0" w:line="9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Section (2) Notice of Annual Meeting. Written notice of the annual meeting stating the place, date and hour of the meeting shall be given to each stockholder entitled to vote at such meeting, either personally or by mail, not less than ten nor more than sixty days before the date of the meeting. The notice of the annual meeting need not specifically state the business to be transacted thereat.</w:t>
      </w:r>
    </w:p>
    <w:p>
      <w:pPr>
        <w:spacing w:after="0" w:line="93"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Section (3) Special Meeting. Subject to the rights of the holders of any series of stock having a preference over the Common Stock of the Corporation as to dividends or upon liquidation ("Preferred Stock") with respect to such series of Preferred Stock, special meetings of the stockholders may be called only by the Chairman of the Board or by the affirmative vote of a majority of the "Whole Board". For the purposes of these Bylaws, the "Whole Board" shall mean the total number of directors which the Corporation would have if there were no vacancies. Special meetings of stockholders may be held at such time and place, either within or without the State of Delaware, as the Chairman of the Board or a majority of the Whole Board may determine. Stockholders shall not have the right to call a special meeting of stockholders.</w:t>
      </w:r>
    </w:p>
    <w:p>
      <w:pPr>
        <w:sectPr>
          <w:pgSz w:w="11900" w:h="16838" w:orient="portrait"/>
          <w:cols w:equalWidth="0" w:num="1">
            <w:col w:w="10219"/>
          </w:cols>
          <w:pgMar w:left="240" w:top="515" w:right="1440" w:bottom="1440" w:gutter="0" w:footer="0" w:header="0"/>
        </w:sectPr>
      </w:pPr>
    </w:p>
    <w:bookmarkStart w:id="101" w:name="page102"/>
    <w:bookmarkEnd w:id="101"/>
    <w:p>
      <w:pPr>
        <w:ind w:right="1779" w:firstLine="527"/>
        <w:spacing w:after="0" w:line="253" w:lineRule="auto"/>
        <w:rPr>
          <w:sz w:val="20"/>
          <w:szCs w:val="20"/>
          <w:color w:val="auto"/>
        </w:rPr>
      </w:pPr>
      <w:r>
        <w:rPr>
          <w:rFonts w:ascii="Courier New" w:cs="Courier New" w:eastAsia="Courier New" w:hAnsi="Courier New"/>
          <w:sz w:val="18"/>
          <w:szCs w:val="18"/>
          <w:color w:val="auto"/>
        </w:rPr>
        <w:t>Section (4) Notice of Special Meetings. Written or printed notice of a special meeting, stating the place, day and hour of the meeting and the purpose or purposes for which the meeting is called, shall be delivered by the Corporation not less than ten (10) days nor more than sixty (60) days before the date of the meeting, either personally or by mail, to each stockholder of record entitled to vote at such meeting. Only such business shall be conducted at a special meeting of stockholders as shall have been brought before the meeting pursuant to the Corporation's notice of meeting.</w:t>
      </w:r>
    </w:p>
    <w:p>
      <w:pPr>
        <w:spacing w:after="0" w:line="104"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Section (5) Presiding Officer and Order of Business. The Chairman of the Board shall preside at all meetings of stockholders. If the Chairman of the Board is not present or there is none, then the Chief Executive Officer shall preside, or if the Chief Executive Officer is not present or there is none, then the President shall preside, or, if the President is not present or there is none, a Vice President shall preside, or, if the Vice President is not present or there is none, a person chosen by the Board of Directors shall preside; if no such person is present or has been chosen, the holders of a majority of the stock having voting power who are present in person or represented by proxy at the meeting shall choose any person present to act as chairman of the meeting. The Secretary of the Corporation, or, if the Secretary is not present, an Assistant Secretary, or, if an Assistant Secretary is not present, a person chosen by the Board of Directors, shall act as secretary at meetings of stockholders; if no such person is present or has been chosen, the holders of a majority of the stock having voting power who are present in person or represented by proxy at the meeting shall choose any person present to act as secretary of the meeting.</w:t>
      </w:r>
    </w:p>
    <w:p>
      <w:pPr>
        <w:spacing w:after="0" w:line="10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Section (6) Quorum and Adjournment. Except as otherwise provided by law or by the Certificate of Incorporation, the holders of a majority of the outstanding shares of capital stock of the Corporation entitled to vote generally in the election of directors (the "Voting Stock"),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If, however, such quorum shall not be present or represented at any meeting of the stockholders, the Chairman of the meeting or the stockholders entitled to vote thereat, present in person or represented by proxy, shall have the power to adjourn the meeting from time to time until a quorum shall be present or represented. If the time and place of the adjourned meeting are announced at the meeting at which the adjournment is taken, no further notice of the adjourned meeting need be given. Even if a quorum shall be present or represented at any meeting of the stockholders, the Chairman of the meeting or the stockholders entitled to vote thereat who are present in person or represented by proxy shall have the power to adjourn the meeting from time to time for good cause to a date that is not more than thirty days after the date of the original meeting. Further notice of the adjourned meeting need not be given if the time and place thereof are announced at the meeting at which the adjournment is taken. At any adjourned meeting at which a quorum shall be present or represented, any business may be transacted which might have been transacted at the meeting as originally notified. If the adjournment is for more than thirty days, or if after the adjournment a new record date if fixed for the adjourned meeting, a notice of the adjourned meeting shall be given to each stockholder of record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02" w:name="page103"/>
    <w:bookmarkEnd w:id="102"/>
    <w:p>
      <w:pPr>
        <w:ind w:right="1779" w:firstLine="527"/>
        <w:spacing w:after="0" w:line="249" w:lineRule="auto"/>
        <w:rPr>
          <w:sz w:val="20"/>
          <w:szCs w:val="20"/>
          <w:color w:val="auto"/>
        </w:rPr>
      </w:pPr>
      <w:r>
        <w:rPr>
          <w:rFonts w:ascii="Courier New" w:cs="Courier New" w:eastAsia="Courier New" w:hAnsi="Courier New"/>
          <w:sz w:val="18"/>
          <w:szCs w:val="18"/>
          <w:color w:val="auto"/>
        </w:rPr>
        <w:t>Section (7) Voting. Each stockholder shall be entitled to vote in accordance with the terms of the Certificate of Incorporation and in accordance with the provisions of these By-Laws, in person or by proxy, but no proxy shall be voted after three years from its date unless such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of stockholders and voting in person or by filing an instrument in writing revoking the proxy or another duly executed proxy bearing a later date with the Secretary of the Corporation.</w:t>
      </w:r>
    </w:p>
    <w:p>
      <w:pPr>
        <w:spacing w:after="0" w:line="104"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Section (8) Stockholder List.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stockholders.</w:t>
      </w:r>
    </w:p>
    <w:p>
      <w:pPr>
        <w:spacing w:after="0" w:line="11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Section (9) Fixing Record Date for Meetings of Stockholders.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adjournment meeting.</w:t>
      </w:r>
    </w:p>
    <w:p>
      <w:pPr>
        <w:spacing w:after="0" w:line="106"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Section (10) Procedure for Election of Directors; Required Vote. Election of directors at all meetings of the stockholders at which directors are to be elected shall be by ballot, and, subject to the rights of the holders of any series of Preferred Stock to elect directors under specified circumstances, a plurality of the votes cast thereat shall elect directors.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2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0" w:right="1440" w:bottom="1440" w:gutter="0" w:footer="0" w:header="0"/>
        </w:sectPr>
      </w:pPr>
    </w:p>
    <w:bookmarkStart w:id="103" w:name="page104"/>
    <w:bookmarkEnd w:id="103"/>
    <w:p>
      <w:pPr>
        <w:ind w:right="1779" w:firstLine="527"/>
        <w:spacing w:after="0" w:line="247" w:lineRule="auto"/>
        <w:rPr>
          <w:sz w:val="20"/>
          <w:szCs w:val="20"/>
          <w:color w:val="auto"/>
        </w:rPr>
      </w:pPr>
      <w:r>
        <w:rPr>
          <w:rFonts w:ascii="Courier New" w:cs="Courier New" w:eastAsia="Courier New" w:hAnsi="Courier New"/>
          <w:sz w:val="18"/>
          <w:szCs w:val="18"/>
          <w:color w:val="auto"/>
        </w:rPr>
        <w:t>Section (11) Inspectors of Elections: Opening and Closing the Polls. The Board of Directors by resolution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08" w:lineRule="exact"/>
        <w:rPr>
          <w:sz w:val="20"/>
          <w:szCs w:val="20"/>
          <w:color w:val="auto"/>
        </w:rPr>
      </w:pPr>
    </w:p>
    <w:p>
      <w:pPr>
        <w:jc w:val="both"/>
        <w:ind w:right="2099" w:firstLine="316"/>
        <w:spacing w:after="0" w:line="292" w:lineRule="auto"/>
        <w:rPr>
          <w:sz w:val="20"/>
          <w:szCs w:val="20"/>
          <w:color w:val="auto"/>
        </w:rPr>
      </w:pPr>
      <w:r>
        <w:rPr>
          <w:rFonts w:ascii="Courier New" w:cs="Courier New" w:eastAsia="Courier New" w:hAnsi="Courier New"/>
          <w:sz w:val="18"/>
          <w:szCs w:val="18"/>
          <w:color w:val="auto"/>
        </w:rPr>
        <w:t>The Chairman of the meeting shall fix and announce at the meeting the date and the time of the opening and the closing of the polls for each matter upon which the stockholders will vote at the meeting.</w:t>
      </w:r>
    </w:p>
    <w:p>
      <w:pPr>
        <w:spacing w:after="0" w:line="66"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Section (12) Action by Written Consent of Stockholders.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spacing w:after="0" w:line="7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(1) General Powers.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9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Section (2) Number, Tenure and Qualifications.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3 nor more than 7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w:t>
      </w: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0" w:right="1440" w:bottom="1440" w:gutter="0" w:footer="0" w:header="0"/>
        </w:sectPr>
      </w:pPr>
    </w:p>
    <w:bookmarkStart w:id="104" w:name="page105"/>
    <w:bookmarkEnd w:id="104"/>
    <w:p>
      <w:pPr>
        <w:ind w:right="1779"/>
        <w:spacing w:after="0" w:line="287" w:lineRule="auto"/>
        <w:rPr>
          <w:sz w:val="20"/>
          <w:szCs w:val="20"/>
          <w:color w:val="auto"/>
        </w:rPr>
      </w:pPr>
      <w:r>
        <w:rPr>
          <w:rFonts w:ascii="Courier New" w:cs="Courier New" w:eastAsia="Courier New" w:hAnsi="Courier New"/>
          <w:sz w:val="16"/>
          <w:szCs w:val="16"/>
          <w:color w:val="auto"/>
        </w:rPr>
        <w:t>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75"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(3) Decreasing or Enlarging the Board. Subject to the provisions of Section 2 of this Article III, the number of directors may be decreased at any time and from time to time by the Board of Directors, but only to eliminate vacancies existing by reason of the death, resignation, removal or the expiration of the term of one or more directors. Subject to the provisions of Section 2 of this Article III, the number of directors may be increased at any time from time to time by the Board of Directors.</w:t>
      </w:r>
    </w:p>
    <w:p>
      <w:pPr>
        <w:spacing w:after="0" w:line="98"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Section (4) Meetings Generally. The Board of Directors may hold meetings, both regular and special, either within or without the State of Delaware.</w:t>
      </w:r>
    </w:p>
    <w:p>
      <w:pPr>
        <w:spacing w:after="0" w:line="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Section (5) First Meeting. The first meeting of each newly elected Board of Directors shall be held immediately after the Annual Meeting of Stockholders and at the same place, and no notice to the newly elected directors of such meeting shall be necessary in order to constitute the meeting legally called and convened, provided a quorum shall be present. In the event such meeting is not held at that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9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Section (6) Regular Meetings. Regular meetings of the Board of Directors or any committee thereof may be held without notice at such time and at such place as shall from time to time be determined by the Board or committee, as the case may be; provided, that any director or committee member who is absent when such a determination is made shall be given notice of the determination.</w:t>
      </w:r>
    </w:p>
    <w:p>
      <w:pPr>
        <w:spacing w:after="0" w:line="90"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Section (7) Special Meetings; Notice. Special meetings of the Board of Directors or of any committee thereof shall be held whenever called by a majority of the directors or committee members, as the case may be, then in office, or by the Chairman of the Board, the Chief Executive Officer, or the President. Notice of the meeting shall be mailed to each director or committee member, addressed to him at his residence or usual place of business, not less than ten days before the day on which the meeting is to be held, or shall be sent to him at such place, marked for overnight delivery, by a reputable courier service providing overnight delivery service to the address to which the notice is directed, not less than one day before the day on which the meeting is to be held, or shall be sent to him at such place by telegram, cable, facsimile or other form of wire or wireless communication, or be delivered personally or by telephone, not less than twelve hours before the meeting is to be held. The notice shall state the date, time and place of the meeting but need not state the purpose thereof, except as otherwise herein expressly provided and for amendments to these By-Laws as provided for in section 1 of Article IX.</w:t>
      </w: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05" w:name="page106"/>
    <w:bookmarkEnd w:id="105"/>
    <w:p>
      <w:pPr>
        <w:ind w:right="1779" w:firstLine="527"/>
        <w:spacing w:after="0" w:line="281" w:lineRule="auto"/>
        <w:rPr>
          <w:sz w:val="20"/>
          <w:szCs w:val="20"/>
          <w:color w:val="auto"/>
        </w:rPr>
      </w:pPr>
      <w:r>
        <w:rPr>
          <w:rFonts w:ascii="Courier New" w:cs="Courier New" w:eastAsia="Courier New" w:hAnsi="Courier New"/>
          <w:sz w:val="16"/>
          <w:szCs w:val="16"/>
          <w:color w:val="auto"/>
        </w:rPr>
        <w:t>Section (8) Quorum; Required Vote; Adjourned Meetings. At all meetings of the Board or any committee thereof, a majority of the total number of directors or committee members shall constitute a quorum for the transaction of business and the act of a majority of the directors or committee members present at any meeting at which there is a quorum shall be the act of the Board of Directors or committee, as the case may be, except as may be otherwise specifically provided by statute, by the Certificate of Incorporation or by these By-Laws. If a quorum shall not be present at any meeting of the Board of Directors or committee thereof, the directors present thereat may adjourn the meeting from time to time, without notice other than announcement at the meeting at which the adjournment is taken, until a quorum shall be present. In the event that such Board or committee is composed of an even number of persons, a majority means one-half of the number of such persons plus one.</w:t>
      </w:r>
    </w:p>
    <w:p>
      <w:pPr>
        <w:spacing w:after="0" w:line="2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Section (9) Organization. The Chairman of the Board shall preside over the meetings of the Board of Directors. If the Chairman of the Board is not present or there is none, a chairman chosen at the meeting shall preside. The Secretary of the Corporation, or, if the Secretary is not present, an Assistant Secretary, or, if an Assistant Secretary is not present, a person chosen at the meeting, shall act as secretary at the meeting.</w:t>
      </w:r>
    </w:p>
    <w:p>
      <w:pPr>
        <w:spacing w:after="0" w:line="93"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(10) Action by Consent of Board of Directors.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60"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Section (11) Conference Telephone Meetings.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93"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Section (12) Vacancies.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(ii) by a plurality of the votes cast at a meeting of the stockholders. Directors so chosen shall hold office for a term expiring at the annual meeting of stockholders at which the term of the office of the class to which they have been elected expires and until such director's successor shall have been duly elected and qualified. No decrease in the number of authorized directors constituting the Whole Board shall shorten the term of any incumbent director.</w:t>
      </w:r>
    </w:p>
    <w:p>
      <w:pPr>
        <w:spacing w:after="0" w:line="29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Section (13) Committees. The Board of Directors may, by resolution passed by a majority of the Whole Board, designate one or more committees, each committee to consist of one or more directors of the Corporation. The Board may designate one or more directors as alternate members of any committee, who may replace any absent or disqualified member at any meeting of the committee. In the absence or disqualification of a member of a</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0" w:right="1440" w:bottom="1440" w:gutter="0" w:footer="0" w:header="0"/>
        </w:sectPr>
      </w:pPr>
    </w:p>
    <w:bookmarkStart w:id="106" w:name="page107"/>
    <w:bookmarkEnd w:id="106"/>
    <w:p>
      <w:pPr>
        <w:ind w:right="1879"/>
        <w:spacing w:after="0" w:line="280" w:lineRule="auto"/>
        <w:rPr>
          <w:sz w:val="20"/>
          <w:szCs w:val="20"/>
          <w:color w:val="auto"/>
        </w:rPr>
      </w:pPr>
      <w:r>
        <w:rPr>
          <w:rFonts w:ascii="Courier New" w:cs="Courier New" w:eastAsia="Courier New" w:hAnsi="Courier New"/>
          <w:sz w:val="16"/>
          <w:szCs w:val="16"/>
          <w:color w:val="auto"/>
        </w:rPr>
        <w:t>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member or members as may be determined from time to time by resolution adopted by the Board of Directors. Any such committee, to the extent provided in the resolution of the Board of Directors, but subject to any applicable statutory provisions, shall have and may exercise all the powers and authority of the Board of Directors in the management of the business and affairs of the Corporation, and may authorize the seal of the Corporation to be affixed to all papers which may require it. Nothing herein shall be deemed to prevent the Board from appointing one or more committees consisting in whole or in part of persons who are not directors of the Corporation; provided, however, that no such committee shall have or may exercise any authority of the Board.</w:t>
      </w:r>
    </w:p>
    <w:p>
      <w:pPr>
        <w:spacing w:after="0" w:line="290"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Section (14) Committee Minutes. Each committee shall keep regular minutes of its meetings and report the same to the Board of Directors when required.</w:t>
      </w:r>
    </w:p>
    <w:p>
      <w:pPr>
        <w:spacing w:after="0" w:line="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Section (15) Removal.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 the voting power of all of the then-outstanding shares of Voting Stock, voting together as a single class.</w:t>
      </w:r>
    </w:p>
    <w:p>
      <w:pPr>
        <w:spacing w:after="0" w:line="93"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(16) Records. The Board of Directors shall cause to be kept a record containing the minutes of the proceedings of the meetings of the Board and the stockholders, appropriate stock books and registers and such books of records and accounts as may be necessary for the proper conduct of the business of the Corporation.</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Section (17) Compensation. The directors may, pursuant to action by the Board of Directors, be paid their expenses, if any, of attendance at each meeting of the Board of Directors and be paid a fixed sum for attendance at each meeting of the Board of Directors and a stated salary as director. No such payment shall preclude any director from serving the Corporation in any other capacity and receiving compensation therefor. Members of special or standing committees may, pursuant to action by the Board of Directors, be allowed like compensation for attending committee meetings.</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(18) Resignation. Any director of the Corporation may resign at any time upon written notice to the Board of Directors, the Chairman of the Board, the Chief Executive Officer, the President, or the Secretary of the Corporation. Unless otherwise specified in such written notice, a resignation shall take effect upon delivery thereof to the Board of Directors or the designated officer, and the acceptance of such resignation shall not be necessary to make it effective.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07" w:name="page108"/>
    <w:bookmarkEnd w:id="107"/>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Section (1) General. Whenever, under the provisions of statute or of the Certificate of Incorporation or of these Bylaws, notice is required to be given to any director or stockholder, it shall be construed to mean written notice by personal delivery or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private courier, telegram, cable, facsimile or other form of wire or wireless communication, or telephone.</w:t>
      </w:r>
    </w:p>
    <w:p>
      <w:pPr>
        <w:spacing w:after="0" w:line="9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Section (2) Waiver of Notice. Whenever any notice is required to be given under the provisions of applicable statutes or of the Certificate of Incorporation or of these Bylaws, a written waiver thereof, signed by the person entitled to notice, whether before or after the time stated therein, shall be deemed equivalent to notice. Attendance of a person at a meeting of stockholders, directors or members of a committee of directors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Section (1) Number. The officers of the Corporation shall be chosen by the Board of Directors and may be a Chairman of the Board, a Chief Executive Officer, a President, one or more Vice Presidents, a Secretary, a Treasurer, one or more Assistant Secretaries or Assistant Treasurers and such other officers and agents (including, without limitation, a Chief Financial Officer) as the Board of Directors shall deem necessary or appropriate. The offices of the Corporation for which officers shall be elected shall be set forth, from time to time, by resolution of the Board of Directors; provided, however, that the board of Directors, at a minimum, shall elect a President and a Secretary. Any number of offices may be held by the same person, except the offices of President and Secretary. All officers of the Corporation, in addition to any powers or duties set forth in this Article V, shall exercise the powers and perform the duties that shall from time to time be determined by the Board of Directors.</w:t>
      </w:r>
    </w:p>
    <w:p>
      <w:pPr>
        <w:spacing w:after="0" w:line="2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Section (2) Election; Term of Office; Removal; Resignation; Vacancies. The Board of Directors at its first meeting after each annual meeting of stockholders or at such other time as the Board may determine shall elect an officer for each position created by resolution of the Board of Directors. Each officer of the Corporation shall hold office until his successor is elected and qualified or until his earlier resignation or removal. Any officer may resign at any time by written notice to the Board of Directors, the Chairman of the Board, the Chief Executive</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08" w:name="page109"/>
    <w:bookmarkEnd w:id="108"/>
    <w:p>
      <w:pPr>
        <w:ind w:right="1879"/>
        <w:spacing w:after="0" w:line="253" w:lineRule="auto"/>
        <w:rPr>
          <w:sz w:val="20"/>
          <w:szCs w:val="20"/>
          <w:color w:val="auto"/>
        </w:rPr>
      </w:pPr>
      <w:r>
        <w:rPr>
          <w:rFonts w:ascii="Courier New" w:cs="Courier New" w:eastAsia="Courier New" w:hAnsi="Courier New"/>
          <w:sz w:val="18"/>
          <w:szCs w:val="18"/>
          <w:color w:val="auto"/>
        </w:rPr>
        <w:t>Officer, the President, or the Secretary of the Corporation. Unless otherwise specified in such written notice, the resignation shall take effect upon the delivery thereof to the Board of Directors or the designated officer, and the acceptance of such resignation shall not be necessary to make it effective. Any officer elected or appointed by the Board of Directors may be removed at any time, with or without cause, by action of the Board of Directors. Any vacancy occurring in any office of the corporation shall be filled by or in the manner prescribed by the Board of Directors.</w:t>
      </w:r>
    </w:p>
    <w:p>
      <w:pPr>
        <w:spacing w:after="0" w:line="104" w:lineRule="exact"/>
        <w:rPr>
          <w:sz w:val="20"/>
          <w:szCs w:val="20"/>
          <w:color w:val="auto"/>
        </w:rPr>
      </w:pPr>
    </w:p>
    <w:p>
      <w:pPr>
        <w:ind w:right="2419" w:firstLine="527"/>
        <w:spacing w:after="0" w:line="265" w:lineRule="auto"/>
        <w:rPr>
          <w:sz w:val="20"/>
          <w:szCs w:val="20"/>
          <w:color w:val="auto"/>
        </w:rPr>
      </w:pPr>
      <w:r>
        <w:rPr>
          <w:rFonts w:ascii="Courier New" w:cs="Courier New" w:eastAsia="Courier New" w:hAnsi="Courier New"/>
          <w:sz w:val="18"/>
          <w:szCs w:val="18"/>
          <w:color w:val="auto"/>
        </w:rPr>
        <w:t>Section (3) Salaries. The salaries of all officers and agents of the Corporation shall be fixed by or in the manner prescribed by the Board of Directors. No officer of the Corporation shall be prevented from receiving compensation by reason of the fact that he is also a director of the Corporation.</w:t>
      </w:r>
    </w:p>
    <w:p>
      <w:pPr>
        <w:spacing w:after="0" w:line="90"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Section (4) Chairman of the Board. The Chairman of the Board shall preside at all meetings of the stockholders and of the Board of Directors.</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Section (5) Chief Executive Officer. The Chief Executive Officer shall be responsible for the general management of the affairs of the Corporation and shall perform all duties incidental to his office which may be required by law and all such other duties as are properly required of him by the Board of Directors. He shall make reports to the Board of Directors and the stockholders, and shall see that all orders and resolutions of the Board of Directors and of any committee thereof are carried into effect. The Chief Executive Officer shall, in the absence of or because of the inability to act of the Chairman of the Board, perform all duties of the Chairman of the Board and preside at all meetings of the stockholders and of the Board of Directors.</w:t>
      </w:r>
    </w:p>
    <w:p>
      <w:pPr>
        <w:spacing w:after="0" w:line="10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Section (6) President.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The President shall perform such other duties and have such other powers as the Board of Directors may from time to time prescribe.</w:t>
      </w:r>
    </w:p>
    <w:p>
      <w:pPr>
        <w:spacing w:after="0" w:line="72"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Section (7) Vice President. Each Vice President shall have such powers and shall perform such duties as shall be assigned to him by the Board of Directors.</w:t>
      </w:r>
    </w:p>
    <w:p>
      <w:pPr>
        <w:spacing w:after="0" w:line="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(8) Chief Financial Officer. The Chief Financial Officer (if any) shall be a Vice President and act in an executive financial capacity. He shall assist the Chief Executive Officer and the President in the general supervision of the Corporation's financial policies and affairs.</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Section (9) Secretary. The Secretary shall (a) attend all meetings of the stockholders and all meetings of the Board of Directors and record all the proceedings of the meetings of the stockholders and of the Board of Directors in a book to be kept for that purpose and shall perform like duties for committees of the Board of Directors when required, (b) give, or cause to be given, notice of all meetings of the stockholders and special meetings of the Board of Directors or committees thereof, (c) keep a register of the post office address of each stockholder</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09" w:name="page110"/>
    <w:bookmarkEnd w:id="109"/>
    <w:p>
      <w:pPr>
        <w:ind w:right="2099"/>
        <w:spacing w:after="0" w:line="282" w:lineRule="auto"/>
        <w:rPr>
          <w:sz w:val="20"/>
          <w:szCs w:val="20"/>
          <w:color w:val="auto"/>
        </w:rPr>
      </w:pPr>
      <w:r>
        <w:rPr>
          <w:rFonts w:ascii="Courier New" w:cs="Courier New" w:eastAsia="Courier New" w:hAnsi="Courier New"/>
          <w:sz w:val="16"/>
          <w:szCs w:val="16"/>
          <w:color w:val="auto"/>
        </w:rPr>
        <w:t>(which address shall be furnished to the Secretary by such stockholder), (d) have general charge of the stock transfer books of the Corporation, (e) authenticate records of the Corporation when such authentication is required,</w:t>
      </w:r>
    </w:p>
    <w:p>
      <w:pPr>
        <w:spacing w:after="0" w:line="1" w:lineRule="exact"/>
        <w:rPr>
          <w:sz w:val="20"/>
          <w:szCs w:val="20"/>
          <w:color w:val="auto"/>
        </w:rPr>
      </w:pPr>
    </w:p>
    <w:p>
      <w:pPr>
        <w:ind w:right="1779" w:firstLine="8"/>
        <w:spacing w:after="0" w:line="245"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custody of all deeds, leases, contracts and other important corporate documents, (g) have charge of the books, records and papers of the Corporation relating to its organization and management as a corporation, (h) see that all reports, statements and other documents required by law (except tax returns) are properly filed, and (i) perform such other duties as may from time to time be prescribed by the Board of Directors or the Chief Executive Officer. The Secretary shall have custody of the corporate seal of the Corporation and shall have authority to affix the same to any instrument requiring it, and when so affixed, it may be attested by his signature. The Board of Directors may give general authority to any other officer to affix the seal of the Corporation and to attest the affixing by his signature.</w:t>
      </w:r>
    </w:p>
    <w:p>
      <w:pPr>
        <w:spacing w:after="0" w:line="109"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Section (10) Assistant Secretary. The Assistant Secretary, if any, or if there be more than one, the Assistant Secretaries in the order determined by the Board of Directors (or if there be no such determination, then in the order of their election), shall, in the absence of the Secretary for any reason, including the failure of the Board of Directors to elect a Secretary or in the event of the Secretary's inability or refusal to act, perform the duties and exercise the powers of the Secretary and perform such other duties and have such other powers as the Board of Directors or the Chief Executive Officer may from time to time prescribe. Any Assistant Secretary shall have authority to affix the corporate seal and attest the same by his signature to the same extent as the Secretary.</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Section (11) Treasurer. The Treasurer shall have custody of the Corporation's funds and securities and shall keep, or cause to be kept, full and accurate accounts of receipts and disbursements in books belonging to the Corporation and shall deposit all monies and other valuable effects in the name and to the credit of the Corporation in such depositions as from time to time may be designated by the Board of Directors or the Chief Executive Officer. The Treasurer shall disburse the funds of the Corporation as may be ordered by the Board of Directors or the Chief Executive Officer, taking proper vouchers for such disbursements, and shall render to the Chief Executive Officer and the Board of Directors, at regular meetings of the Board of Directors or when the Chief Executive Officer or the Board of Directors so requires, an account of all his transactions as Treasurer and of the financial condition of the Corporation. The Treasurer shall perform such other duties and have such other powers as the Board of Directors or the Chief Executive Officer may from time to time prescribe.</w:t>
      </w:r>
    </w:p>
    <w:p>
      <w:pPr>
        <w:spacing w:after="0" w:line="10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Section (12) Assistant Treasurer. The Assistant Treasurer, if any, or if there be more than one, the Assistant Treasurers in the order determined by the Board of Directors (or if there be no such determination, then in the order of their election), shall, in the absence of the Treasurer for any reason, including the failure of the Board of Directors to elect a Treasurer or in the event of the Treasurer's inability or refusal to act, perform the duties and exercise the powers of the Treasurer and perform such other duties and have such other powers as the Board of Directors or the Chief Executive Officer may from time to time prescribe.</w:t>
      </w:r>
    </w:p>
    <w:p>
      <w:pPr>
        <w:spacing w:after="0" w:line="99"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Section (13) Execution of Documents. All deeds, mortgages, bonds, contracts, and other instruments made by the Corporation may be executed on behalf of the Corporation by any officer of the Corporation (unless such power is restricted by Board</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0" w:right="1440" w:bottom="1440" w:gutter="0" w:footer="0" w:header="0"/>
        </w:sectPr>
      </w:pPr>
    </w:p>
    <w:bookmarkStart w:id="110" w:name="page111"/>
    <w:bookmarkEnd w:id="110"/>
    <w:p>
      <w:pPr>
        <w:ind w:right="1879"/>
        <w:spacing w:after="0" w:line="292" w:lineRule="auto"/>
        <w:rPr>
          <w:sz w:val="20"/>
          <w:szCs w:val="20"/>
          <w:color w:val="auto"/>
        </w:rPr>
      </w:pPr>
      <w:r>
        <w:rPr>
          <w:rFonts w:ascii="Courier New" w:cs="Courier New" w:eastAsia="Courier New" w:hAnsi="Courier New"/>
          <w:sz w:val="18"/>
          <w:szCs w:val="18"/>
          <w:color w:val="auto"/>
        </w:rPr>
        <w:t>resolution or by law) or by any other person or persons designated from time to time by resolution of the Board of Directors. The Secretary, when necessary, shall attest the execution thereof.</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Section (14) Bonds. Any or all officers and agents of the Corporation shall, if required by the Board of Directors, give bonds for the faithful discharge of their duties in such sums and with such sureties as the Board of Directors shall determine.</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STOCK CERTIFICATES, TRANSFERS AND RECORD DATE</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Section (1) Stock Certificates and Transfers. The interest of each stockholder of the Corporation shall be evidenced by certificates for shares of stock in such form as the appropriate officers of the Corporation may from time to time prescribe. The certificates of stock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29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Section (2) Addresses of Stockholders. Each stockholder shall designate to the Secretary of the Corporation an address at which notices of meetings and all other corporate notices may be served, delivered, or mailed to him and, if any stockholder shall fail to designate such address, all corporate notices (whether served or delivered by the Secretary, another stockholder, or any other person) may be served upon him at his last known address.</w:t>
      </w:r>
    </w:p>
    <w:p>
      <w:pPr>
        <w:spacing w:after="0" w:line="93"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sufficient to indemnify the Corporation against any claim that may be made against it on account of the alleged loss, theft or destruction of any such certificate or the issuance of such new certificate.</w:t>
      </w:r>
    </w:p>
    <w:p>
      <w:pPr>
        <w:spacing w:after="0" w:line="10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Section (4) Transfer of Shares.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directors may designate, by whom they shall be cancelled, and new certificates shall thereupon be issued. A record shall be made of each transfer and whenever a new transfer shall be made for collateral security, and not absolutely, it shall be so expressed in the entry of the transfer.</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0" w:right="1440" w:bottom="1440" w:gutter="0" w:footer="0" w:header="0"/>
        </w:sectPr>
      </w:pPr>
    </w:p>
    <w:bookmarkStart w:id="111" w:name="page112"/>
    <w:bookmarkEnd w:id="111"/>
    <w:p>
      <w:pPr>
        <w:ind w:right="1779" w:firstLine="527"/>
        <w:spacing w:after="0" w:line="245" w:lineRule="auto"/>
        <w:rPr>
          <w:sz w:val="20"/>
          <w:szCs w:val="20"/>
          <w:color w:val="auto"/>
        </w:rPr>
      </w:pPr>
      <w:r>
        <w:rPr>
          <w:rFonts w:ascii="Courier New" w:cs="Courier New" w:eastAsia="Courier New" w:hAnsi="Courier New"/>
          <w:sz w:val="18"/>
          <w:szCs w:val="18"/>
          <w:color w:val="auto"/>
        </w:rPr>
        <w:t>Section (5) Registered Stockholders. Except as otherwise provided by law, the Corporation shall be entitled to treat the record holder of any shares of the Corporation as the owner thereof for all purposes, including all rights deriving from such shares, and shall not be bound to recognize any equitable or other claim to, or interest in, such shares or rights deriving from such shares on the part of any other person, including, but without limiting the generality thereof, a purchaser, assignee or transferee of such shares or rights deriving from such shares, unless and until such purchaser, assignee, transferee or other person becomes the record holder of such shares, whether or not the Corporation shall have either actual or constructive notice of the interest of such purchaser, assignee, transferee or other person. Any such purchaser, assignee, transferee or other person shall not be entitled to receive notice of the meetings of stockholders, to vote at such meetings, to examine a complete list of the stockholders entitled to vote at meetings, or to own, enjoy, and exercise any other property or rights deriving from such shares against the Corporation, until such purchaser, assignee, transferee or other person has become the record holder of such shares.</w:t>
      </w:r>
    </w:p>
    <w:p>
      <w:pPr>
        <w:spacing w:after="0" w:line="1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Section (1) Fiscal Year. The fiscal year of the Corporation shall begin on the first day of January and end on the thirty-first day of December of each year.</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Section (2) Dividends. Dividends upon the capital stock of the Corporation, subject to the provisions of the Certificate of Incorporation, may be declared by the Board of Directors at any regular or special meeting, pursuant to law. Dividends may be paid in cash, in property, or in shares of the Corporation's capital stock, subject to the provisions of the Certificate of Incorporation and applicable law. The directors of the Corporation may set apart out of any of the funds of the Corporation available for dividends a reserve or reserves for any proper purpose and may abolish any such reserve.</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Section (3) Fixing Record Date for Dividends, Etc.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elects the resolution relating thereto.</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Section (4) Voting Securities of Other Corporations. Any officer of the Corporation and any other person or persons that may from time to time be designated by the Board of Directors shall have the authority to vote on behalf of the Corporation the securities of any other corporation which are owned or held by the Corporation and may attend meetings of stockholders or execute and deliver proxies or written consents for such purpose.</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12" w:name="page113"/>
    <w:bookmarkEnd w:id="112"/>
    <w:p>
      <w:pPr>
        <w:ind w:right="1779" w:firstLine="527"/>
        <w:spacing w:after="0" w:line="260" w:lineRule="auto"/>
        <w:rPr>
          <w:sz w:val="20"/>
          <w:szCs w:val="20"/>
          <w:color w:val="auto"/>
        </w:rPr>
      </w:pPr>
      <w:r>
        <w:rPr>
          <w:rFonts w:ascii="Courier New" w:cs="Courier New" w:eastAsia="Courier New" w:hAnsi="Courier New"/>
          <w:sz w:val="18"/>
          <w:szCs w:val="18"/>
          <w:color w:val="auto"/>
        </w:rPr>
        <w:t>Section (5) Contracts, Checks, Notes, Bank Accounts, Etc. All contracts and agreements authorized by the Board of Directors and all checks, drafts, notes, bonds, bills of exchange and orders for the payment of money shall be signed by at least one officer of the Corporation or by such other number of officer or officers or employee or employees as the Board of Directors may from time to time designate.</w:t>
      </w:r>
    </w:p>
    <w:p>
      <w:pPr>
        <w:spacing w:after="0" w:line="93"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(6) Loans. Except for loans which are incurred in the ordinary course of business,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90"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Section (7) Deposits. All funds of the Corporation not otherwise employed shall be deposited from time to time to the credit of the Corporation or otherwise as the Board of Directors, the President or the Treasurer shall direct in such banks, trust companies or other depositories as the President or the Board of Directors may select, or as may be selected by any other officer or officers or agent or agents of the Corporation to whom power in that respect shall have been delegated by the Board of Directors. For the purpose of deposit and collection for the account of the Corporation, checks, drafts and other orders for the payment of money which are payable to the order of the Corporation may be endorsed, assigned and delivered by any officer of the Corporation.</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(8) Seal. The corporate seal, if any, shall have inscribed thereon the name of the Corporation, the date of its organization, the words "Corporate Seal, Delaware," and such words and figures as the Board of Directors may approve and adopt. The seal may be used by causing it or a facsimile thereof to be impressed or affixed or reproduced or otherwise.</w:t>
      </w:r>
    </w:p>
    <w:p>
      <w:pPr>
        <w:spacing w:after="0" w:line="90"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Section (9) Form of Records.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written form within a reasonable time. The Corporation shall so convert any records so kept upon the request of any person entitled to inspect the same.</w:t>
      </w:r>
    </w:p>
    <w:p>
      <w:pPr>
        <w:spacing w:after="0" w:line="72"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Section (10) Audits.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5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INTERESTED OFFICERS OR DIRECTORS</w:t>
      </w:r>
    </w:p>
    <w:p>
      <w:pPr>
        <w:spacing w:after="0" w:line="201" w:lineRule="exact"/>
        <w:rPr>
          <w:sz w:val="20"/>
          <w:szCs w:val="20"/>
          <w:color w:val="auto"/>
        </w:rPr>
      </w:pPr>
    </w:p>
    <w:p>
      <w:pPr>
        <w:ind w:right="1779" w:firstLine="316"/>
        <w:spacing w:after="0" w:line="256" w:lineRule="auto"/>
        <w:rPr>
          <w:sz w:val="20"/>
          <w:szCs w:val="20"/>
          <w:color w:val="auto"/>
        </w:rPr>
      </w:pPr>
      <w:r>
        <w:rPr>
          <w:rFonts w:ascii="Courier New" w:cs="Courier New" w:eastAsia="Courier New" w:hAnsi="Courier New"/>
          <w:sz w:val="18"/>
          <w:szCs w:val="18"/>
          <w:color w:val="auto"/>
        </w:rPr>
        <w:t>No contract or transaction between this Corporation and one or more of its directors or officers, or between this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13" w:name="page114"/>
    <w:bookmarkEnd w:id="113"/>
    <w:p>
      <w:pPr>
        <w:ind w:right="1779"/>
        <w:spacing w:after="0" w:line="347" w:lineRule="auto"/>
        <w:rPr>
          <w:sz w:val="20"/>
          <w:szCs w:val="20"/>
          <w:color w:val="auto"/>
        </w:rPr>
      </w:pPr>
      <w:r>
        <w:rPr>
          <w:rFonts w:ascii="Courier New" w:cs="Courier New" w:eastAsia="Courier New" w:hAnsi="Courier New"/>
          <w:sz w:val="18"/>
          <w:szCs w:val="18"/>
          <w:color w:val="auto"/>
        </w:rPr>
        <w:t>authorizes the contract or transaction, or solely because his or their votes are counted for such purpose, if:</w:t>
      </w:r>
    </w:p>
    <w:p>
      <w:pPr>
        <w:spacing w:after="0" w:line="18" w:lineRule="exact"/>
        <w:rPr>
          <w:sz w:val="20"/>
          <w:szCs w:val="20"/>
          <w:color w:val="auto"/>
        </w:rPr>
      </w:pPr>
    </w:p>
    <w:p>
      <w:pPr>
        <w:ind w:right="1879" w:firstLine="535"/>
        <w:spacing w:after="0" w:line="306" w:lineRule="auto"/>
        <w:tabs>
          <w:tab w:leader="none" w:pos="94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relationship or interest and as to the contract or transaction are disclosed as are known to the Board of Directors or the committee, and the Board or committee in good faith authorizes the contract or transaction by the affirmative votes of a majority of the disinterested directors, even through the disinterested directors be less than a quorum; or</w:t>
      </w:r>
    </w:p>
    <w:p>
      <w:pPr>
        <w:spacing w:after="0" w:line="60" w:lineRule="exact"/>
        <w:rPr>
          <w:rFonts w:ascii="Courier New" w:cs="Courier New" w:eastAsia="Courier New" w:hAnsi="Courier New"/>
          <w:sz w:val="16"/>
          <w:szCs w:val="16"/>
          <w:color w:val="auto"/>
        </w:rPr>
      </w:pPr>
    </w:p>
    <w:p>
      <w:pPr>
        <w:ind w:right="1879" w:firstLine="535"/>
        <w:spacing w:after="0" w:line="274"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81" w:lineRule="exact"/>
        <w:rPr>
          <w:rFonts w:ascii="Courier New" w:cs="Courier New" w:eastAsia="Courier New" w:hAnsi="Courier New"/>
          <w:sz w:val="18"/>
          <w:szCs w:val="18"/>
          <w:color w:val="auto"/>
        </w:rPr>
      </w:pPr>
    </w:p>
    <w:p>
      <w:pPr>
        <w:ind w:right="2199" w:firstLine="535"/>
        <w:spacing w:after="0" w:line="292"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or transaction is fair as to the Corporation as of the time it is authorized, approved or ratified by the Board of Directors, a committee thereof, or the stockholders.</w:t>
      </w:r>
    </w:p>
    <w:p>
      <w:pPr>
        <w:spacing w:after="0" w:line="6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Common or interested directors may be counted in determining the presence of a quorum at a meeting of the Board of Directors or of a committee which authorizes the contract or transaction.</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Section (1) Amendments. These By-Laws may be altered or repealed, and any By-Laws may be made, at any annual meeting of the stockholders or at any special meeting thereof if notice of the proposed alteration or repeal of the By-Laws or of the By-Laws to be made is contained in the notice of such meeting, by the affirmative vote of the holders of at least 66 2/3% of the voting power of the then outstanding Voting Stock, or by the affirmative vote of a majority of the total number of directors then in office, at any regular meeting of the Board of Directors, or at any special meeting of the Board of Directors, if notice of the proposed alteration or repeal, or of the By-Laws to be made, is contained in the notice of such special meeting.</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0"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96"/>
        </w:trPr>
        <w:tc>
          <w:tcPr>
            <w:tcW w:w="3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Exhibit 4.1</w:t>
            </w: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000" w:type="dxa"/>
            <w:vAlign w:val="bottom"/>
          </w:tcPr>
          <w:p>
            <w:pPr>
              <w:jc w:val="right"/>
              <w:ind w:right="1972"/>
              <w:spacing w:after="0"/>
              <w:rPr>
                <w:sz w:val="20"/>
                <w:szCs w:val="20"/>
                <w:color w:val="auto"/>
              </w:rPr>
            </w:pPr>
            <w:r>
              <w:rPr>
                <w:rFonts w:ascii="Courier New" w:cs="Courier New" w:eastAsia="Courier New" w:hAnsi="Courier New"/>
                <w:sz w:val="18"/>
                <w:szCs w:val="18"/>
                <w:color w:val="auto"/>
                <w:w w:val="98"/>
              </w:rPr>
              <w:t>[LOGO OF NN, INC.]</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NN</w:t>
            </w:r>
          </w:p>
        </w:tc>
        <w:tc>
          <w:tcPr>
            <w:tcW w:w="40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NN, INC.</w:t>
            </w:r>
          </w:p>
        </w:tc>
        <w:tc>
          <w:tcPr>
            <w:tcW w:w="1220" w:type="dxa"/>
            <w:vAlign w:val="bottom"/>
          </w:tcPr>
          <w:p>
            <w:pPr>
              <w:spacing w:after="0"/>
              <w:rPr>
                <w:sz w:val="17"/>
                <w:szCs w:val="17"/>
                <w:color w:val="auto"/>
              </w:rPr>
            </w:pPr>
          </w:p>
        </w:tc>
      </w:tr>
      <w:tr>
        <w:trPr>
          <w:trHeight w:val="296"/>
        </w:trPr>
        <w:tc>
          <w:tcPr>
            <w:tcW w:w="722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COMMON STOCK $.01 PAR VALUE PER SHARE</w:t>
            </w:r>
          </w:p>
        </w:tc>
        <w:tc>
          <w:tcPr>
            <w:tcW w:w="1220" w:type="dxa"/>
            <w:vAlign w:val="bottom"/>
          </w:tcPr>
          <w:p>
            <w:pPr>
              <w:spacing w:after="0"/>
              <w:rPr>
                <w:sz w:val="24"/>
                <w:szCs w:val="24"/>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INCORPORATED UNDER THE LAWS OF</w:t>
            </w:r>
          </w:p>
        </w:tc>
        <w:tc>
          <w:tcPr>
            <w:tcW w:w="400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REVERSE FOR</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STATE OF DELAWARE</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DEFINITIONS</w:t>
            </w:r>
          </w:p>
        </w:tc>
      </w:tr>
      <w:tr>
        <w:trPr>
          <w:trHeight w:val="296"/>
        </w:trPr>
        <w:tc>
          <w:tcPr>
            <w:tcW w:w="322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8"/>
                <w:szCs w:val="18"/>
                <w:color w:val="auto"/>
              </w:rPr>
              <w:t>CUSIP</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629337 10 6</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CERTIFIES THAT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THE OWNER OF</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FULLY PAID AND NON-ASSESSABLE SHARES OF COMMON STOCK OF</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NN, Inc. transferable on the books of the Corporation by the holder hereof in person or by duly authorized attorney upon surrender of this Certificate properly endorsed. This Certificate and the shares represented hereby are issued and shall be held subject to all the provisions of the Certificate of Incorporation and Bylaws of the Corporation and the amendments from time to time made thereto copies of which are on file at the principal office of the Corporation, to all of which the holder of this Certificate by acceptance hereof assents. This Certificate is not valid until countersigned and registered by the Transfer Agent and Registrar.</w:t>
      </w:r>
    </w:p>
    <w:p>
      <w:pPr>
        <w:spacing w:after="0" w:line="99"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WITNESS, the facsimile seal of the Corporation and the facsimile signatures of its duly authorized officers.</w:t>
      </w:r>
    </w:p>
    <w:p>
      <w:pPr>
        <w:sectPr>
          <w:pgSz w:w="11900" w:h="16838" w:orient="portrait"/>
          <w:cols w:equalWidth="0" w:num="1">
            <w:col w:w="10219"/>
          </w:cols>
          <w:pgMar w:left="240" w:top="515"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COUNTERSIGNED AND REGISTERED</w:t>
      </w:r>
    </w:p>
    <w:p>
      <w:pPr>
        <w:spacing w:after="0" w:line="3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SUNTRUST BANK</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TRANSFER AGENT</w:t>
      </w:r>
    </w:p>
    <w:p>
      <w:pPr>
        <w:spacing w:after="0" w:line="2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AND REGISTRAR</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AUTHORIZED SIGNATURE</w:t>
      </w:r>
    </w:p>
    <w:p>
      <w:pPr>
        <w:spacing w:after="0" w:line="192" w:lineRule="exact"/>
        <w:rPr>
          <w:sz w:val="20"/>
          <w:szCs w:val="20"/>
          <w:color w:val="auto"/>
        </w:rPr>
      </w:pPr>
    </w:p>
    <w:p>
      <w:pPr>
        <w:sectPr>
          <w:pgSz w:w="11900" w:h="16838" w:orient="portrait"/>
          <w:cols w:equalWidth="0" w:num="2">
            <w:col w:w="4660" w:space="720"/>
            <w:col w:w="4839"/>
          </w:cols>
          <w:pgMar w:left="240" w:top="51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William C. Kelly, Jr.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 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Roderick R. Baty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91" w:lineRule="exact"/>
        <w:rPr>
          <w:sz w:val="20"/>
          <w:szCs w:val="20"/>
          <w:color w:val="auto"/>
        </w:rPr>
      </w:pPr>
    </w:p>
    <w:p>
      <w:pPr>
        <w:sectPr>
          <w:pgSz w:w="11900" w:h="16838" w:orient="portrait"/>
          <w:cols w:equalWidth="0" w:num="2">
            <w:col w:w="3820" w:space="720"/>
            <w:col w:w="5679"/>
          </w:cols>
          <w:pgMar w:left="240" w:top="515"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6"/>
          <w:szCs w:val="16"/>
          <w:color w:val="auto"/>
        </w:rPr>
        <w:t>[NN, INC. CORPORATE SEAL]</w:t>
      </w:r>
    </w:p>
    <w:p>
      <w:pPr>
        <w:sectPr>
          <w:pgSz w:w="11900" w:h="16838" w:orient="portrait"/>
          <w:cols w:equalWidth="0" w:num="1">
            <w:col w:w="10219"/>
          </w:cols>
          <w:pgMar w:left="240" w:top="515" w:right="1440" w:bottom="1440" w:gutter="0" w:footer="0" w:header="0"/>
          <w:type w:val="continuous"/>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certificate, shall be construed as though they were written out in full according to applicable laws or regulations.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TEN COM - as tenants</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in common</w:t>
            </w:r>
          </w:p>
        </w:tc>
        <w:tc>
          <w:tcPr>
            <w:tcW w:w="2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UNIF GIFT MIN ACT - ______</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Custodian _________</w:t>
            </w:r>
          </w:p>
        </w:tc>
        <w:tc>
          <w:tcPr>
            <w:tcW w:w="0" w:type="dxa"/>
            <w:vAlign w:val="bottom"/>
          </w:tcPr>
          <w:p>
            <w:pPr>
              <w:spacing w:after="0"/>
              <w:rPr>
                <w:sz w:val="1"/>
                <w:szCs w:val="1"/>
                <w:color w:val="auto"/>
              </w:rPr>
            </w:pPr>
          </w:p>
        </w:tc>
      </w:tr>
      <w:tr>
        <w:trPr>
          <w:trHeight w:val="296"/>
        </w:trPr>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TEN ENT - as tenants</w:t>
            </w:r>
          </w:p>
        </w:tc>
        <w:tc>
          <w:tcPr>
            <w:tcW w:w="24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by the entireties</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(Cust)</w:t>
            </w:r>
          </w:p>
        </w:tc>
        <w:tc>
          <w:tcPr>
            <w:tcW w:w="2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(Minor)</w:t>
            </w:r>
          </w:p>
        </w:tc>
        <w:tc>
          <w:tcPr>
            <w:tcW w:w="0" w:type="dxa"/>
            <w:vAlign w:val="bottom"/>
          </w:tcPr>
          <w:p>
            <w:pPr>
              <w:spacing w:after="0"/>
              <w:rPr>
                <w:sz w:val="1"/>
                <w:szCs w:val="1"/>
                <w:color w:val="auto"/>
              </w:rPr>
            </w:pPr>
          </w:p>
        </w:tc>
      </w:tr>
      <w:tr>
        <w:trPr>
          <w:trHeight w:val="109"/>
        </w:trPr>
        <w:tc>
          <w:tcPr>
            <w:tcW w:w="2160" w:type="dxa"/>
            <w:vAlign w:val="bottom"/>
            <w:vMerge w:val="continue"/>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under Uniform</w:t>
            </w:r>
          </w:p>
        </w:tc>
        <w:tc>
          <w:tcPr>
            <w:tcW w:w="2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Gifts to Minors Act</w:t>
            </w:r>
          </w:p>
        </w:tc>
        <w:tc>
          <w:tcPr>
            <w:tcW w:w="0" w:type="dxa"/>
            <w:vAlign w:val="bottom"/>
          </w:tcPr>
          <w:p>
            <w:pPr>
              <w:spacing w:after="0"/>
              <w:rPr>
                <w:sz w:val="1"/>
                <w:szCs w:val="1"/>
                <w:color w:val="auto"/>
              </w:rPr>
            </w:pP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JT TEN -  as joint tenants with right of</w:t>
            </w:r>
          </w:p>
        </w:tc>
        <w:tc>
          <w:tcPr>
            <w:tcW w:w="172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survivorship and not as</w:t>
            </w:r>
          </w:p>
        </w:tc>
        <w:tc>
          <w:tcPr>
            <w:tcW w:w="1060" w:type="dxa"/>
            <w:vAlign w:val="bottom"/>
          </w:tcPr>
          <w:p>
            <w:pPr>
              <w:spacing w:after="0"/>
              <w:rPr>
                <w:sz w:val="17"/>
                <w:szCs w:val="17"/>
                <w:color w:val="auto"/>
              </w:rPr>
            </w:pP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w:t>
            </w:r>
          </w:p>
        </w:tc>
        <w:tc>
          <w:tcPr>
            <w:tcW w:w="0" w:type="dxa"/>
            <w:vAlign w:val="bottom"/>
          </w:tcPr>
          <w:p>
            <w:pPr>
              <w:spacing w:after="0"/>
              <w:rPr>
                <w:sz w:val="1"/>
                <w:szCs w:val="1"/>
                <w:color w:val="auto"/>
              </w:rPr>
            </w:pPr>
          </w:p>
        </w:tc>
      </w:tr>
      <w:tr>
        <w:trPr>
          <w:trHeight w:val="296"/>
        </w:trPr>
        <w:tc>
          <w:tcPr>
            <w:tcW w:w="2160" w:type="dxa"/>
            <w:vAlign w:val="bottom"/>
          </w:tcPr>
          <w:p>
            <w:pPr>
              <w:ind w:left="1060"/>
              <w:spacing w:after="0"/>
              <w:rPr>
                <w:sz w:val="20"/>
                <w:szCs w:val="20"/>
                <w:color w:val="auto"/>
              </w:rPr>
            </w:pPr>
            <w:r>
              <w:rPr>
                <w:rFonts w:ascii="Courier New" w:cs="Courier New" w:eastAsia="Courier New" w:hAnsi="Courier New"/>
                <w:sz w:val="18"/>
                <w:szCs w:val="18"/>
                <w:color w:val="auto"/>
                <w:w w:val="99"/>
              </w:rPr>
              <w:t>tenants in</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common</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20" w:type="dxa"/>
            <w:vAlign w:val="bottom"/>
          </w:tcPr>
          <w:p>
            <w:pPr>
              <w:jc w:val="right"/>
              <w:ind w:right="1292"/>
              <w:spacing w:after="0"/>
              <w:rPr>
                <w:sz w:val="20"/>
                <w:szCs w:val="20"/>
                <w:color w:val="auto"/>
              </w:rPr>
            </w:pPr>
            <w:r>
              <w:rPr>
                <w:rFonts w:ascii="Courier New" w:cs="Courier New" w:eastAsia="Courier New" w:hAnsi="Courier New"/>
                <w:sz w:val="18"/>
                <w:szCs w:val="18"/>
                <w:color w:val="auto"/>
                <w:w w:val="95"/>
              </w:rPr>
              <w:t>(State)</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__________________hereby sell, assign and transfer unto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IDENTIFYING NUMBER OF ASSIGNEE</w:t>
      </w:r>
    </w:p>
    <w:p>
      <w:pPr>
        <w:spacing w:after="0" w:line="169"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39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1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619"/>
        <w:spacing w:after="0" w:line="309" w:lineRule="auto"/>
        <w:rPr>
          <w:sz w:val="20"/>
          <w:szCs w:val="20"/>
          <w:color w:val="auto"/>
        </w:rPr>
      </w:pPr>
      <w:r>
        <w:rPr>
          <w:rFonts w:ascii="Courier New" w:cs="Courier New" w:eastAsia="Courier New" w:hAnsi="Courier New"/>
          <w:sz w:val="18"/>
          <w:szCs w:val="18"/>
          <w:color w:val="auto"/>
        </w:rPr>
        <w:t>of the Common Stock represented by the within Certificate, and do hereby irrevocably constitute and</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appoint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17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Attorney to transfer the said stock on the books of the within-named Corporation with full power of substitution in the premises.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NOTICE: The signature to this</w:t>
      </w:r>
    </w:p>
    <w:p>
      <w:pPr>
        <w:ind w:left="4640"/>
        <w:spacing w:after="0" w:line="238" w:lineRule="auto"/>
        <w:rPr>
          <w:sz w:val="20"/>
          <w:szCs w:val="20"/>
          <w:color w:val="auto"/>
        </w:rPr>
      </w:pPr>
      <w:r>
        <w:rPr>
          <w:rFonts w:ascii="Courier New" w:cs="Courier New" w:eastAsia="Courier New" w:hAnsi="Courier New"/>
          <w:sz w:val="18"/>
          <w:szCs w:val="18"/>
          <w:color w:val="auto"/>
        </w:rPr>
        <w:t>assignment must correspond with the</w:t>
      </w:r>
    </w:p>
    <w:p>
      <w:pPr>
        <w:ind w:left="4640"/>
        <w:spacing w:after="0"/>
        <w:rPr>
          <w:sz w:val="20"/>
          <w:szCs w:val="20"/>
          <w:color w:val="auto"/>
        </w:rPr>
      </w:pPr>
      <w:r>
        <w:rPr>
          <w:rFonts w:ascii="Courier New" w:cs="Courier New" w:eastAsia="Courier New" w:hAnsi="Courier New"/>
          <w:sz w:val="18"/>
          <w:szCs w:val="18"/>
          <w:color w:val="auto"/>
        </w:rPr>
        <w:t>name and written upon the face of</w:t>
      </w:r>
    </w:p>
    <w:p>
      <w:pPr>
        <w:ind w:left="4640"/>
        <w:spacing w:after="0" w:line="238" w:lineRule="auto"/>
        <w:rPr>
          <w:sz w:val="20"/>
          <w:szCs w:val="20"/>
          <w:color w:val="auto"/>
        </w:rPr>
      </w:pPr>
      <w:r>
        <w:rPr>
          <w:rFonts w:ascii="Courier New" w:cs="Courier New" w:eastAsia="Courier New" w:hAnsi="Courier New"/>
          <w:sz w:val="18"/>
          <w:szCs w:val="18"/>
          <w:color w:val="auto"/>
        </w:rPr>
        <w:t>the Certificate, in every</w:t>
      </w:r>
    </w:p>
    <w:p>
      <w:pPr>
        <w:ind w:left="4640"/>
        <w:spacing w:after="0"/>
        <w:rPr>
          <w:sz w:val="20"/>
          <w:szCs w:val="20"/>
          <w:color w:val="auto"/>
        </w:rPr>
      </w:pPr>
      <w:r>
        <w:rPr>
          <w:rFonts w:ascii="Courier New" w:cs="Courier New" w:eastAsia="Courier New" w:hAnsi="Courier New"/>
          <w:sz w:val="18"/>
          <w:szCs w:val="18"/>
          <w:color w:val="auto"/>
        </w:rPr>
        <w:t>particular, without alteration or</w:t>
      </w:r>
    </w:p>
    <w:p>
      <w:pPr>
        <w:ind w:left="4640"/>
        <w:spacing w:after="0"/>
        <w:rPr>
          <w:sz w:val="20"/>
          <w:szCs w:val="20"/>
          <w:color w:val="auto"/>
        </w:rPr>
      </w:pPr>
      <w:r>
        <w:rPr>
          <w:rFonts w:ascii="Courier New" w:cs="Courier New" w:eastAsia="Courier New" w:hAnsi="Courier New"/>
          <w:sz w:val="18"/>
          <w:szCs w:val="18"/>
          <w:color w:val="auto"/>
        </w:rPr>
        <w:t>enlargement or any change whatever.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GUARANTEED:</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right="1779"/>
        <w:spacing w:after="0" w:line="256" w:lineRule="auto"/>
        <w:rPr>
          <w:sz w:val="20"/>
          <w:szCs w:val="20"/>
          <w:color w:val="auto"/>
        </w:rPr>
      </w:pPr>
      <w:r>
        <w:rPr>
          <w:rFonts w:ascii="Courier New" w:cs="Courier New" w:eastAsia="Courier New" w:hAnsi="Courier New"/>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0219"/>
          </w:cols>
          <w:pgMar w:left="240" w:top="691" w:right="1440" w:bottom="1440" w:gutter="0" w:footer="0" w:header="0"/>
        </w:sectPr>
      </w:pPr>
    </w:p>
    <w:bookmarkStart w:id="116" w:name="page117"/>
    <w:bookmarkEnd w:id="11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LETTERHEAD OF BLACKWELL SANDERS PEPER MARTIN LLP</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tabs>
          <w:tab w:leader="none" w:pos="2620" w:val="left"/>
        </w:tabs>
        <w:rPr>
          <w:sz w:val="20"/>
          <w:szCs w:val="20"/>
          <w:color w:val="auto"/>
        </w:rPr>
      </w:pPr>
      <w:r>
        <w:rPr>
          <w:rFonts w:ascii="Courier New" w:cs="Courier New" w:eastAsia="Courier New" w:hAnsi="Courier New"/>
          <w:sz w:val="18"/>
          <w:szCs w:val="18"/>
          <w:color w:val="auto"/>
        </w:rPr>
        <w:t>Johnson City, Tennessee</w:t>
      </w:r>
      <w:r>
        <w:rPr>
          <w:sz w:val="20"/>
          <w:szCs w:val="20"/>
          <w:color w:val="auto"/>
        </w:rPr>
        <w:tab/>
      </w:r>
      <w:r>
        <w:rPr>
          <w:rFonts w:ascii="Courier New" w:cs="Courier New" w:eastAsia="Courier New" w:hAnsi="Courier New"/>
          <w:sz w:val="16"/>
          <w:szCs w:val="16"/>
          <w:color w:val="auto"/>
        </w:rPr>
        <w:t>37604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We have acted as counsel to NN, Inc., a Delaware corporation (the "Company"), in connection with the filing of a registration statement by the Company on Form S-3 (the "Registration Statement") under the Securities Act of 1933, as amended, of 7,475,000 shares (the "Shares") of Common Stock of the Company, $.01 par value per share. The Shares include 2,600,000 shares which are being sold by the Company (the "Primary Shares") and 3,900,000 shares which are being sold by the selling stockholders (the "Secondary Shares"). The Primary Shares and Secondary Shares include up to an aggregate of 975,000 shares which may be sold by the underwriters named therein pursuant to an over-allotment option granted by the Company and the selling stockholders.</w:t>
      </w:r>
    </w:p>
    <w:p>
      <w:pPr>
        <w:spacing w:after="0" w:line="104" w:lineRule="exact"/>
        <w:rPr>
          <w:sz w:val="20"/>
          <w:szCs w:val="20"/>
          <w:color w:val="auto"/>
        </w:rPr>
      </w:pPr>
    </w:p>
    <w:p>
      <w:pPr>
        <w:ind w:right="1879" w:firstLine="948"/>
        <w:spacing w:after="0" w:line="298" w:lineRule="auto"/>
        <w:rPr>
          <w:sz w:val="20"/>
          <w:szCs w:val="20"/>
          <w:color w:val="auto"/>
        </w:rPr>
      </w:pPr>
      <w:r>
        <w:rPr>
          <w:rFonts w:ascii="Courier New" w:cs="Courier New" w:eastAsia="Courier New" w:hAnsi="Courier New"/>
          <w:sz w:val="16"/>
          <w:szCs w:val="16"/>
          <w:color w:val="auto"/>
        </w:rPr>
        <w:t>In connection with the foregoing, we have examined such documents, corporate records and other instruments as we have deemed necessary or appropriate in connection with this opinion. Based upon and subject to the foregoing, we are of the opinion that the Secondary Shares are, and the Primary Shares, when sold and issued in accordance with the Registration Statement and related prospectus, will be, validly issued, fully paid and non-assessable.</w:t>
      </w:r>
    </w:p>
    <w:p>
      <w:pPr>
        <w:spacing w:after="0" w:line="68"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We consent to the filing of this opinion as an exhibit to the Registration Statement and to the reference under the caption "Legal Matters" in the prospectus included in the Registration Statement.</w:t>
      </w:r>
    </w:p>
    <w:p>
      <w:pPr>
        <w:spacing w:after="0" w:line="6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Blackwell Sanders Peper Martin LLP</w:t>
      </w:r>
    </w:p>
    <w:p>
      <w:pPr>
        <w:sectPr>
          <w:pgSz w:w="11900" w:h="16838" w:orient="portrait"/>
          <w:cols w:equalWidth="0" w:num="1">
            <w:col w:w="10219"/>
          </w:cols>
          <w:pgMar w:left="240" w:top="515" w:right="1440" w:bottom="1440" w:gutter="0" w:footer="0" w:header="0"/>
        </w:sectPr>
      </w:pPr>
    </w:p>
    <w:bookmarkStart w:id="117" w:name="page118"/>
    <w:bookmarkEnd w:id="117"/>
    <w:p>
      <w:pPr>
        <w:ind w:left="7180"/>
        <w:spacing w:after="0"/>
        <w:rPr>
          <w:sz w:val="20"/>
          <w:szCs w:val="20"/>
          <w:color w:val="auto"/>
        </w:rPr>
      </w:pPr>
      <w:r>
        <w:rPr>
          <w:rFonts w:ascii="Courier New" w:cs="Courier New" w:eastAsia="Courier New" w:hAnsi="Courier New"/>
          <w:sz w:val="18"/>
          <w:szCs w:val="18"/>
          <w:color w:val="auto"/>
        </w:rPr>
        <w:t>Exhibit 21.1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Jurisdiction of Incorporation</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Direct Subsidiaries of NN, Inc.</w:t>
            </w:r>
          </w:p>
        </w:tc>
        <w:tc>
          <w:tcPr>
            <w:tcW w:w="342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NN Ownership Interest</w:t>
            </w:r>
          </w:p>
        </w:tc>
        <w:tc>
          <w:tcPr>
            <w:tcW w:w="3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3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or Organization</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42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Industrial Molding GP, LLC</w:t>
            </w:r>
          </w:p>
        </w:tc>
        <w:tc>
          <w:tcPr>
            <w:tcW w:w="342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100%</w:t>
            </w:r>
          </w:p>
        </w:tc>
        <w:tc>
          <w:tcPr>
            <w:tcW w:w="3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Delta Rubber Company</w:t>
            </w:r>
          </w:p>
        </w:tc>
        <w:tc>
          <w:tcPr>
            <w:tcW w:w="34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100%</w:t>
            </w:r>
          </w:p>
        </w:tc>
        <w:tc>
          <w:tcPr>
            <w:tcW w:w="33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Connecticut</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NN Euroball ApS</w:t>
            </w:r>
          </w:p>
        </w:tc>
        <w:tc>
          <w:tcPr>
            <w:tcW w:w="34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54%</w:t>
            </w:r>
          </w:p>
        </w:tc>
        <w:tc>
          <w:tcPr>
            <w:tcW w:w="33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Netherlands</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NN Mexico, LLC</w:t>
            </w:r>
          </w:p>
        </w:tc>
        <w:tc>
          <w:tcPr>
            <w:tcW w:w="342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51%</w:t>
            </w:r>
          </w:p>
        </w:tc>
        <w:tc>
          <w:tcPr>
            <w:tcW w:w="3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514"/>
        </w:trPr>
        <w:tc>
          <w:tcPr>
            <w:tcW w:w="4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Jurisdiction of Incorporation</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Indirect Subsidiaries of NN, Inc.</w:t>
            </w:r>
          </w:p>
        </w:tc>
        <w:tc>
          <w:tcPr>
            <w:tcW w:w="34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Ownership</w:t>
            </w:r>
          </w:p>
        </w:tc>
        <w:tc>
          <w:tcPr>
            <w:tcW w:w="3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3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or Organization</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 Molding LP, LLC</w:t>
            </w:r>
          </w:p>
        </w:tc>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 owned by Industrial</w:t>
            </w:r>
          </w:p>
        </w:tc>
        <w:tc>
          <w:tcPr>
            <w:tcW w:w="3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Tennessee</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Molding GP, LLC</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Industrial Molding Group, L.P.</w:t>
            </w: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99% owned by Industrial</w:t>
            </w:r>
          </w:p>
        </w:tc>
        <w:tc>
          <w:tcPr>
            <w:tcW w:w="3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6"/>
              </w:rPr>
              <w:t>Tennessee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Molding LP, LLC and 1%</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owned by Industrial Molding</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GP, LLC</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NN Arte S. De R.L. De D.V.</w:t>
            </w: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99% owned by NN Mexico,</w:t>
            </w:r>
          </w:p>
        </w:tc>
        <w:tc>
          <w:tcPr>
            <w:tcW w:w="33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Mexico</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2"/>
              </w:rPr>
              <w:t>LLC</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Kugelfertigung Eltmann GmbH</w:t>
            </w: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 owned by NN</w:t>
            </w:r>
          </w:p>
        </w:tc>
        <w:tc>
          <w:tcPr>
            <w:tcW w:w="3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Germany</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Euroball ApS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EB Italia srl</w:t>
            </w:r>
          </w:p>
        </w:tc>
        <w:tc>
          <w:tcPr>
            <w:tcW w:w="3420" w:type="dxa"/>
            <w:vAlign w:val="bottom"/>
          </w:tcPr>
          <w:p>
            <w:pPr>
              <w:ind w:left="520"/>
              <w:spacing w:after="0"/>
              <w:rPr>
                <w:sz w:val="20"/>
                <w:szCs w:val="20"/>
                <w:color w:val="auto"/>
              </w:rPr>
            </w:pPr>
            <w:r>
              <w:rPr>
                <w:rFonts w:ascii="Courier New" w:cs="Courier New" w:eastAsia="Courier New" w:hAnsi="Courier New"/>
                <w:sz w:val="18"/>
                <w:szCs w:val="18"/>
                <w:color w:val="auto"/>
              </w:rPr>
              <w:t>90% owned by NN Euroball</w:t>
            </w:r>
          </w:p>
        </w:tc>
        <w:tc>
          <w:tcPr>
            <w:tcW w:w="332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6"/>
              </w:rPr>
              <w:t>Italy</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2"/>
              </w:rPr>
              <w:t>ApS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Euroball S.p.A.</w:t>
            </w: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 owned by EB Italia</w:t>
            </w:r>
          </w:p>
        </w:tc>
        <w:tc>
          <w:tcPr>
            <w:tcW w:w="332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6"/>
              </w:rPr>
              <w:t>Italy</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NN Ball &amp; Roller Ltd.</w:t>
            </w:r>
          </w:p>
        </w:tc>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90% owned by Euroball</w:t>
            </w:r>
          </w:p>
        </w:tc>
        <w:tc>
          <w:tcPr>
            <w:tcW w:w="3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Ireland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S.p.A. and 10% owned by</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342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EB Italia</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515" w:right="899"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169"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We consent to the use of our report dated February 28, 2002, with respect to the consolidated balance sheets of NN, Inc. as of December 31, 2001 and 2000, and the related consolidated statements of income and comprehensive income, consolidated statements of changes in stockholders' equity, and consolidated statements of cash flows for the years then ended, included and incorporated herein by reference and to the references to our firm under the headings "Experts" and "Selected Consolidated Financial Data" in the prospectus. Our report refers to a change in the Company's method of accounting for derivative instruments and hedging activities in 2001.</w:t>
      </w:r>
    </w:p>
    <w:p>
      <w:pPr>
        <w:spacing w:after="0" w:line="9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6, 2002</w:t>
      </w:r>
    </w:p>
    <w:p>
      <w:pPr>
        <w:sectPr>
          <w:pgSz w:w="11900" w:h="16838" w:orient="portrait"/>
          <w:cols w:equalWidth="0" w:num="1">
            <w:col w:w="10219"/>
          </w:cols>
          <w:pgMar w:left="240" w:top="515" w:right="1440" w:bottom="1440"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278"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S-3 of our report dated February 4, 2000 relating to the December 31, 1999 consolidated financial statements of NN, Inc. (formerly known as NN Ball &amp; Roller, Inc.), which appears in NN, Inc.'s Annual Report on Form</w:t>
      </w:r>
    </w:p>
    <w:p>
      <w:pPr>
        <w:spacing w:after="0" w:line="3"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10-K for the year ended December 31, 2001. We also consent to the references to us under the headings "Experts" and "Selected Consolidated Financial Data" in such Registration Statement.</w:t>
      </w:r>
    </w:p>
    <w:p>
      <w:pPr>
        <w:spacing w:after="0" w:line="8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PricewaterhouseCoopers LLP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6, 2002</w:t>
      </w:r>
    </w:p>
    <w:p>
      <w:pPr>
        <w:sectPr>
          <w:pgSz w:w="11900" w:h="16838" w:orient="portrait"/>
          <w:cols w:equalWidth="0" w:num="1">
            <w:col w:w="10219"/>
          </w:cols>
          <w:pgMar w:left="240" w:top="515" w:right="1440" w:bottom="1440"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upperLetter"/>
      <w:start w:val="40"/>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upperLetter"/>
      <w:start w:val="40"/>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lvl w:ilvl="1">
      <w:lvlJc w:val="left"/>
      <w:lvlText w:val="(%2)"/>
      <w:numFmt w:val="lowerLetter"/>
      <w:start w:val="1"/>
    </w:lvl>
  </w:abstractNum>
  <w:abstractNum w:abstractNumId="18">
    <w:nsid w:val="5577F8E1"/>
    <w:multiLevelType w:val="hybridMultilevel"/>
    <w:lvl w:ilvl="0">
      <w:lvlJc w:val="left"/>
      <w:lvlText w:val="(%1)"/>
      <w:numFmt w:val="lowerLetter"/>
      <w:start w:val="5"/>
    </w:lvl>
  </w:abstractNum>
  <w:abstractNum w:abstractNumId="19">
    <w:nsid w:val="440BADFC"/>
    <w:multiLevelType w:val="hybridMultilevel"/>
    <w:lvl w:ilvl="0">
      <w:lvlJc w:val="left"/>
      <w:lvlText w:val="(%1)"/>
      <w:numFmt w:val="lowerLetter"/>
      <w:start w:val="6"/>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lowerLetter"/>
      <w:start w:val="8"/>
    </w:lvl>
  </w:abstractNum>
  <w:abstractNum w:abstractNumId="22">
    <w:nsid w:val="77465F01"/>
    <w:multiLevelType w:val="hybridMultilevel"/>
    <w:lvl w:ilvl="0">
      <w:lvlJc w:val="left"/>
      <w:lvlText w:val="(%1)"/>
      <w:numFmt w:val="lowerLetter"/>
      <w:start w:val="9"/>
    </w:lvl>
  </w:abstractNum>
  <w:abstractNum w:abstractNumId="23">
    <w:nsid w:val="7724C67E"/>
    <w:multiLevelType w:val="hybridMultilevel"/>
    <w:lvl w:ilvl="0">
      <w:lvlJc w:val="left"/>
      <w:lvlText w:val="(%1)"/>
      <w:numFmt w:val="lowerLetter"/>
      <w:start w:val="14"/>
    </w:lvl>
  </w:abstractNum>
  <w:abstractNum w:abstractNumId="24">
    <w:nsid w:val="5C482A97"/>
    <w:multiLevelType w:val="hybridMultilevel"/>
    <w:lvl w:ilvl="0">
      <w:lvlJc w:val="left"/>
      <w:lvlText w:val="%1"/>
      <w:numFmt w:val="decimal"/>
      <w:start w:val="1"/>
    </w:lvl>
    <w:lvl w:ilvl="1">
      <w:lvlJc w:val="left"/>
      <w:lvlText w:val="(%2)"/>
      <w:numFmt w:val="lowerLetter"/>
      <w:start w:val="16"/>
    </w:lvl>
  </w:abstractNum>
  <w:abstractNum w:abstractNumId="25">
    <w:nsid w:val="2463B9EA"/>
    <w:multiLevelType w:val="hybridMultilevel"/>
    <w:lvl w:ilvl="0">
      <w:lvlJc w:val="left"/>
      <w:lvlText w:val="(%1)"/>
      <w:numFmt w:val="decimal"/>
      <w:start w:val="2"/>
    </w:lvl>
    <w:lvl w:ilvl="1">
      <w:lvlJc w:val="left"/>
      <w:lvlText w:val="%2"/>
      <w:numFmt w:val="lowerLetter"/>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1)"/>
      <w:numFmt w:val="decimal"/>
      <w:start w:val="6"/>
    </w:lvl>
  </w:abstractNum>
  <w:abstractNum w:abstractNumId="28">
    <w:nsid w:val="2D517796"/>
    <w:multiLevelType w:val="hybridMultilevel"/>
    <w:lvl w:ilvl="0">
      <w:lvlJc w:val="left"/>
      <w:lvlText w:val="(%1)"/>
      <w:numFmt w:val="decimal"/>
      <w:start w:val="8"/>
    </w:lvl>
    <w:lvl w:ilvl="1">
      <w:lvlJc w:val="left"/>
      <w:lvlText w:val="(%2)"/>
      <w:numFmt w:val="lowerLetter"/>
      <w:start w:val="1"/>
    </w:lvl>
  </w:abstractNum>
  <w:abstractNum w:abstractNumId="29">
    <w:nsid w:val="580BD78F"/>
    <w:multiLevelType w:val="hybridMultilevel"/>
    <w:lvl w:ilvl="0">
      <w:lvlJc w:val="left"/>
      <w:lvlText w:val="(%1)"/>
      <w:numFmt w:val="decimal"/>
      <w:start w:val="9"/>
    </w:lvl>
  </w:abstractNum>
  <w:abstractNum w:abstractNumId="30">
    <w:nsid w:val="153EA438"/>
    <w:multiLevelType w:val="hybridMultilevel"/>
    <w:lvl w:ilvl="0">
      <w:lvlJc w:val="left"/>
      <w:lvlText w:val="(%1)"/>
      <w:numFmt w:val="decimal"/>
      <w:start w:val="10"/>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upperLetter"/>
      <w:start w:val="40"/>
    </w:lvl>
  </w:abstractNum>
  <w:abstractNum w:abstractNumId="33">
    <w:nsid w:val="6A2342EC"/>
    <w:multiLevelType w:val="hybridMultilevel"/>
    <w:lvl w:ilvl="0">
      <w:lvlJc w:val="left"/>
      <w:lvlText w:val="(%1)"/>
      <w:numFmt w:val="decimal"/>
      <w:start w:val="12"/>
    </w:lvl>
  </w:abstractNum>
  <w:abstractNum w:abstractNumId="34">
    <w:nsid w:val="2A487CB0"/>
    <w:multiLevelType w:val="hybridMultilevel"/>
    <w:lvl w:ilvl="0">
      <w:lvlJc w:val="left"/>
      <w:lvlText w:val="(%1)"/>
      <w:numFmt w:val="decimal"/>
      <w:start w:val="15"/>
    </w:lvl>
  </w:abstractNum>
  <w:abstractNum w:abstractNumId="35">
    <w:nsid w:val="1D4ED43B"/>
    <w:multiLevelType w:val="hybridMultilevel"/>
    <w:lvl w:ilvl="0">
      <w:lvlJc w:val="left"/>
      <w:lvlText w:val="(%1)"/>
      <w:numFmt w:val="decimal"/>
      <w:start w:val="16"/>
    </w:lvl>
  </w:abstractNum>
  <w:abstractNum w:abstractNumId="36">
    <w:nsid w:val="725A06FB"/>
    <w:multiLevelType w:val="hybridMultilevel"/>
    <w:lvl w:ilvl="0">
      <w:lvlJc w:val="left"/>
      <w:lvlText w:val="(%1)"/>
      <w:numFmt w:val="decimal"/>
      <w:start w:val="17"/>
    </w:lvl>
  </w:abstractNum>
  <w:abstractNum w:abstractNumId="37">
    <w:nsid w:val="2CD89A32"/>
    <w:multiLevelType w:val="hybridMultilevel"/>
    <w:lvl w:ilvl="0">
      <w:lvlJc w:val="left"/>
      <w:lvlText w:val="*"/>
      <w:numFmt w:val="bullet"/>
      <w:start w:val="1"/>
    </w:lvl>
    <w:lvl w:ilvl="1">
      <w:lvlJc w:val="left"/>
      <w:lvlText w:val="%2"/>
      <w:numFmt w:val="decimal"/>
      <w:start w:val="24"/>
    </w:lvl>
  </w:abstractNum>
  <w:abstractNum w:abstractNumId="38">
    <w:nsid w:val="57E4CCAF"/>
    <w:multiLevelType w:val="hybridMultilevel"/>
    <w:lvl w:ilvl="0">
      <w:lvlJc w:val="left"/>
      <w:lvlText w:val="(%1)"/>
      <w:numFmt w:val="lowerLetter"/>
      <w:start w:val="1"/>
    </w:lvl>
    <w:lvl w:ilvl="1">
      <w:lvlJc w:val="left"/>
      <w:lvlText w:val="(%2)"/>
      <w:numFmt w:val="lowerRoman"/>
      <w:start w:val="1"/>
    </w:lvl>
  </w:abstractNum>
  <w:abstractNum w:abstractNumId="39">
    <w:nsid w:val="7A6D8D3C"/>
    <w:multiLevelType w:val="hybridMultilevel"/>
    <w:lvl w:ilvl="0">
      <w:lvlJc w:val="left"/>
      <w:lvlText w:val="(%1)"/>
      <w:numFmt w:val="lowerRoman"/>
      <w:start w:val="3"/>
    </w:lvl>
  </w:abstractNum>
  <w:abstractNum w:abstractNumId="40">
    <w:nsid w:val="4B588F54"/>
    <w:multiLevelType w:val="hybridMultilevel"/>
    <w:lvl w:ilvl="0">
      <w:lvlJc w:val="left"/>
      <w:lvlText w:val="*"/>
      <w:numFmt w:val="bullet"/>
      <w:start w:val="1"/>
    </w:lvl>
    <w:lvl w:ilvl="1">
      <w:lvlJc w:val="left"/>
      <w:lvlText w:val="%2"/>
      <w:numFmt w:val="decimal"/>
      <w:start w:val="2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1"/>
    </w:lvl>
    <w:lvl w:ilvl="1">
      <w:lvlJc w:val="left"/>
      <w:lvlText w:val="(%2)"/>
      <w:numFmt w:val="lowerLetter"/>
      <w:start w:val="6"/>
    </w:lvl>
  </w:abstractNum>
  <w:abstractNum w:abstractNumId="44">
    <w:nsid w:val="7644A45C"/>
    <w:multiLevelType w:val="hybridMultilevel"/>
    <w:lvl w:ilvl="0">
      <w:lvlJc w:val="left"/>
      <w:lvlText w:val="(%1)"/>
      <w:numFmt w:val="lowerLetter"/>
      <w:start w:val="9"/>
    </w:lvl>
    <w:lvl w:ilvl="1">
      <w:lvlJc w:val="left"/>
      <w:lvlText w:val="(%2)"/>
      <w:numFmt w:val="lowerLetter"/>
      <w:start w:val="8"/>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lowerLetter"/>
      <w:start w:val="6"/>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jpe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2019-12-14T03:17:34Z</dcterms:created>
  <dcterms:modified xsi:type="dcterms:W3CDTF">2019-12-14T03:17:34Z</dcterms:modified>
</cp:coreProperties>
</file>