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350d1_s8.htm"/>
      <w:bookmarkStart w:id="1" w:name="kstm2618350d1_s8"/>
      <w:bookmarkEnd w:id="0"/>
      <w:bookmarkEnd w:id="1"/>
      <w:r>
        <w:rPr/>
        <w:t> </w:t>
      </w:r>
    </w:p>
    <w:p>
      <w:pPr>
        <w:pStyle w:val="TextBody"/>
        <w:bidi w:val="0"/>
        <w:jc w:val="center"/>
        <w:rPr>
          <w:b/>
        </w:rPr>
      </w:pPr>
      <w:r>
        <w:rPr>
          <w:b/>
        </w:rPr>
        <w:t xml:space="preserve">June As filed with the Securities and Exchange Commission on June 23,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NN,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395"/>
        <w:gridCol w:w="60"/>
        <w:gridCol w:w="1565"/>
      </w:tblGrid>
      <w:tr>
        <w:trPr/>
        <w:tc>
          <w:tcPr>
            <w:tcW w:w="3395"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62-1096725</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395"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6210 Ardrey Kell Road, Suite 120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Charlotte, North Carolina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28277</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NN, Inc. Amended and Restated 2022 Omnibus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titles of the plans)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Jami A. Statham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 General Counsel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6210 Ardrey Kell Road, Suite 120</w:t>
        <w:br/>
        <w:t>Charlotte, North Carolina 28277</w:t>
        <w:br/>
        <w:t>(980) 264-4300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including zip code, and 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Christina T. Roupas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Victoria Peluso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Cooley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110 North Wacker Drive, Suite 4200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Chicago, Illinois 60606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(312) 881-6500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Registration Statement on Form S-8 (this “Registration Statement”) is being filed to register an additional 2,000,000 shares of common stock, par value $0.01 per share, of NN, Inc. (the “Registrant”), issuable under the Registrant’s 2022 Omnibus Incentive Plan, as amended and restated by the Amended and Restated 2022 Omnibus Incentive Plan (as amended and restated, the “2022 Plan”). These shares being registered pursuant to this Registration Statement are the same class as other securities for which registration statements relating to the 2022 Plan were filed with the Securities and Exchange Commission (the “Commission”) on June 29, 2022 (</w:t>
      </w:r>
      <w:hyperlink r:id="rId2">
        <w:r>
          <w:rPr>
            <w:rStyle w:val="InternetLink"/>
            <w:rFonts w:ascii="Times New Roman;Times;Serif" w:hAnsi="Times New Roman;Times;Serif"/>
            <w:b w:val="false"/>
            <w:i w:val="false"/>
            <w:caps w:val="false"/>
            <w:smallCaps w:val="false"/>
            <w:sz w:val="20"/>
          </w:rPr>
          <w:t>File No. 333-265893</w:t>
        </w:r>
      </w:hyperlink>
      <w:r>
        <w:rPr>
          <w:rFonts w:ascii="Times New Roman;Times;Serif" w:hAnsi="Times New Roman;Times;Serif"/>
          <w:b w:val="false"/>
          <w:i w:val="false"/>
          <w:caps w:val="false"/>
          <w:smallCaps w:val="false"/>
          <w:sz w:val="20"/>
        </w:rPr>
        <w:t>) and May 17, 2024 (</w:t>
      </w:r>
      <w:hyperlink r:id="rId3">
        <w:r>
          <w:rPr>
            <w:rStyle w:val="InternetLink"/>
            <w:rFonts w:ascii="Times New Roman;Times;Serif" w:hAnsi="Times New Roman;Times;Serif"/>
            <w:b w:val="false"/>
            <w:i w:val="false"/>
            <w:caps w:val="false"/>
            <w:smallCaps w:val="false"/>
            <w:sz w:val="20"/>
          </w:rPr>
          <w:t>File No. 333-279500</w:t>
        </w:r>
      </w:hyperlink>
      <w:r>
        <w:rPr>
          <w:rFonts w:ascii="Times New Roman;Times;Serif" w:hAnsi="Times New Roman;Times;Serif"/>
          <w:b w:val="false"/>
          <w:i w:val="false"/>
          <w:caps w:val="false"/>
          <w:smallCaps w:val="false"/>
          <w:sz w:val="20"/>
        </w:rPr>
        <w:t>) (collectively, the “Prior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E on Form S-8, the contents of the Prior Registration Statements are incorporated herein by reference and made part of this Registration Statement, except as amended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b/>
                <w:sz w:val="20"/>
              </w:rPr>
            </w:pPr>
            <w:r>
              <w:rPr>
                <w:b/>
                <w:sz w:val="20"/>
              </w:rPr>
              <w:t>Item 3.</w:t>
            </w:r>
          </w:p>
        </w:tc>
        <w:tc>
          <w:tcPr>
            <w:tcW w:w="3650" w:type="dxa"/>
            <w:tcBorders/>
            <w:vAlign w:val="center"/>
          </w:tcPr>
          <w:p>
            <w:pPr>
              <w:pStyle w:val="TableContents"/>
              <w:bidi w:val="0"/>
              <w:spacing w:before="0" w:after="283"/>
              <w:jc w:val="left"/>
              <w:rPr>
                <w:b/>
                <w:sz w:val="20"/>
              </w:rPr>
            </w:pPr>
            <w:r>
              <w:rPr>
                <w:b/>
                <w:sz w:val="20"/>
              </w:rPr>
              <w:t xml:space="preserve">Incorporation of Documents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incorporates by reference into this Registration Statement the following documents previously filed by the Registrant with the Commission: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sz w:val="20"/>
              </w:rPr>
            </w:pPr>
            <w:r>
              <w:rPr>
                <w:sz w:val="20"/>
              </w:rPr>
              <w:t>(a)</w:t>
            </w:r>
          </w:p>
        </w:tc>
        <w:tc>
          <w:tcPr>
            <w:tcW w:w="9993"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The Registrant’s Annual Report on Form 10-K for the year ended December 31, 2025, which was filed with the Commission on </w:t>
            </w:r>
            <w:hyperlink r:id="rId4">
              <w:r>
                <w:rPr>
                  <w:rStyle w:val="InternetLink"/>
                  <w:rFonts w:ascii="Times New Roman;Times;Serif" w:hAnsi="Times New Roman;Times;Serif"/>
                  <w:b w:val="false"/>
                  <w:i w:val="false"/>
                  <w:caps w:val="false"/>
                  <w:smallCaps w:val="false"/>
                  <w:sz w:val="20"/>
                </w:rPr>
                <w:t>March 4, 2026</w:t>
              </w:r>
            </w:hyperlink>
            <w:r>
              <w:rPr>
                <w:rFonts w:ascii="Times New Roman;Times;Serif" w:hAnsi="Times New Roman;Times;Serif"/>
                <w:b w:val="false"/>
                <w:i w:val="false"/>
                <w:caps w:val="false"/>
                <w:smallCaps w:val="false"/>
                <w:sz w:val="20"/>
              </w:rPr>
              <w:t xml:space="preserve">, including the information specifically incorporated by reference into the Annual Report on Form 10-K from the Registrant’s </w:t>
            </w:r>
            <w:hyperlink r:id="rId5">
              <w:r>
                <w:rPr>
                  <w:rStyle w:val="InternetLink"/>
                  <w:rFonts w:ascii="Times New Roman;Times;Serif" w:hAnsi="Times New Roman;Times;Serif"/>
                  <w:b w:val="false"/>
                  <w:i w:val="false"/>
                  <w:caps w:val="false"/>
                  <w:smallCaps w:val="false"/>
                  <w:sz w:val="20"/>
                </w:rPr>
                <w:t>definitive proxy statement</w:t>
              </w:r>
            </w:hyperlink>
            <w:r>
              <w:rPr>
                <w:rFonts w:ascii="Times New Roman;Times;Serif" w:hAnsi="Times New Roman;Times;Serif"/>
                <w:b w:val="false"/>
                <w:i w:val="false"/>
                <w:caps w:val="false"/>
                <w:smallCaps w:val="false"/>
                <w:sz w:val="20"/>
              </w:rPr>
              <w:t xml:space="preserve"> for the 2026 Annual Meeting of Stockholders;</w:t>
            </w:r>
          </w:p>
        </w:tc>
      </w:tr>
      <w:tr>
        <w:trPr/>
        <w:tc>
          <w:tcPr>
            <w:tcW w:w="212" w:type="dxa"/>
            <w:tcBorders/>
            <w:vAlign w:val="center"/>
          </w:tcPr>
          <w:p>
            <w:pPr>
              <w:pStyle w:val="TableContents"/>
              <w:bidi w:val="0"/>
              <w:spacing w:before="0" w:after="283"/>
              <w:jc w:val="both"/>
              <w:rPr/>
            </w:pPr>
            <w:r>
              <w:rPr/>
              <w:t> </w:t>
            </w:r>
          </w:p>
        </w:tc>
        <w:tc>
          <w:tcPr>
            <w:tcW w:w="9993" w:type="dxa"/>
            <w:tcBorders/>
            <w:vAlign w:val="center"/>
          </w:tcPr>
          <w:p>
            <w:pPr>
              <w:pStyle w:val="TableContents"/>
              <w:bidi w:val="0"/>
              <w:spacing w:before="0" w:after="283"/>
              <w:jc w:val="left"/>
              <w:rPr/>
            </w:pPr>
            <w:r>
              <w:rPr/>
              <w:t> </w:t>
            </w:r>
          </w:p>
        </w:tc>
      </w:tr>
      <w:tr>
        <w:trPr/>
        <w:tc>
          <w:tcPr>
            <w:tcW w:w="212" w:type="dxa"/>
            <w:tcBorders/>
            <w:vAlign w:val="center"/>
          </w:tcPr>
          <w:p>
            <w:pPr>
              <w:pStyle w:val="TableContents"/>
              <w:bidi w:val="0"/>
              <w:spacing w:before="0" w:after="283"/>
              <w:jc w:val="both"/>
              <w:rPr>
                <w:sz w:val="20"/>
              </w:rPr>
            </w:pPr>
            <w:r>
              <w:rPr>
                <w:sz w:val="20"/>
              </w:rPr>
              <w:t>(b)</w:t>
            </w:r>
          </w:p>
        </w:tc>
        <w:tc>
          <w:tcPr>
            <w:tcW w:w="9993" w:type="dxa"/>
            <w:tcBorders/>
            <w:vAlign w:val="center"/>
          </w:tcPr>
          <w:p>
            <w:pPr>
              <w:pStyle w:val="TableContents"/>
              <w:bidi w:val="0"/>
              <w:spacing w:before="0" w:after="283"/>
              <w:jc w:val="both"/>
              <w:rPr/>
            </w:pPr>
            <w:r>
              <w:rPr>
                <w:sz w:val="20"/>
              </w:rPr>
              <w:t xml:space="preserve">The Registrant’s Quarterly Report on Form 10-Q for the fiscal quarter ended March 31, 2026, as filed with the Commission on </w:t>
            </w:r>
            <w:hyperlink r:id="rId6">
              <w:r>
                <w:rPr>
                  <w:rStyle w:val="InternetLink"/>
                  <w:sz w:val="20"/>
                </w:rPr>
                <w:t>May 6, 2026</w:t>
              </w:r>
            </w:hyperlink>
            <w:r>
              <w:rPr>
                <w:sz w:val="20"/>
              </w:rPr>
              <w:t>;</w:t>
            </w:r>
          </w:p>
        </w:tc>
      </w:tr>
      <w:tr>
        <w:trPr/>
        <w:tc>
          <w:tcPr>
            <w:tcW w:w="212" w:type="dxa"/>
            <w:tcBorders/>
            <w:vAlign w:val="center"/>
          </w:tcPr>
          <w:p>
            <w:pPr>
              <w:pStyle w:val="TableContents"/>
              <w:bidi w:val="0"/>
              <w:spacing w:before="0" w:after="283"/>
              <w:jc w:val="both"/>
              <w:rPr/>
            </w:pPr>
            <w:r>
              <w:rPr/>
              <w:t> </w:t>
            </w:r>
          </w:p>
        </w:tc>
        <w:tc>
          <w:tcPr>
            <w:tcW w:w="9993" w:type="dxa"/>
            <w:tcBorders/>
            <w:vAlign w:val="center"/>
          </w:tcPr>
          <w:p>
            <w:pPr>
              <w:pStyle w:val="TableContents"/>
              <w:bidi w:val="0"/>
              <w:spacing w:before="0" w:after="283"/>
              <w:jc w:val="both"/>
              <w:rPr/>
            </w:pPr>
            <w:r>
              <w:rPr/>
              <w:t> </w:t>
            </w:r>
          </w:p>
        </w:tc>
      </w:tr>
      <w:tr>
        <w:trPr/>
        <w:tc>
          <w:tcPr>
            <w:tcW w:w="212" w:type="dxa"/>
            <w:tcBorders/>
            <w:vAlign w:val="center"/>
          </w:tcPr>
          <w:p>
            <w:pPr>
              <w:pStyle w:val="TableContents"/>
              <w:bidi w:val="0"/>
              <w:spacing w:before="0" w:after="283"/>
              <w:jc w:val="both"/>
              <w:rPr>
                <w:sz w:val="20"/>
              </w:rPr>
            </w:pPr>
            <w:r>
              <w:rPr>
                <w:sz w:val="20"/>
              </w:rPr>
              <w:t>(c)</w:t>
            </w:r>
          </w:p>
        </w:tc>
        <w:tc>
          <w:tcPr>
            <w:tcW w:w="9993" w:type="dxa"/>
            <w:tcBorders/>
            <w:vAlign w:val="center"/>
          </w:tcPr>
          <w:p>
            <w:pPr>
              <w:pStyle w:val="TableContents"/>
              <w:bidi w:val="0"/>
              <w:spacing w:before="0" w:after="283"/>
              <w:jc w:val="both"/>
              <w:rPr/>
            </w:pPr>
            <w:r>
              <w:rPr>
                <w:sz w:val="20"/>
              </w:rPr>
              <w:t xml:space="preserve">The Registrant’s Current Reports on Form 8-K as filed with the Commission on </w:t>
            </w:r>
            <w:hyperlink r:id="rId7">
              <w:r>
                <w:rPr>
                  <w:rStyle w:val="InternetLink"/>
                  <w:sz w:val="20"/>
                </w:rPr>
                <w:t>January 20, 2026</w:t>
              </w:r>
            </w:hyperlink>
            <w:r>
              <w:rPr>
                <w:sz w:val="20"/>
              </w:rPr>
              <w:t xml:space="preserve">, </w:t>
            </w:r>
            <w:hyperlink r:id="rId8">
              <w:r>
                <w:rPr>
                  <w:rStyle w:val="InternetLink"/>
                  <w:sz w:val="20"/>
                </w:rPr>
                <w:t>January 30, 2026</w:t>
              </w:r>
            </w:hyperlink>
            <w:r>
              <w:rPr>
                <w:sz w:val="20"/>
              </w:rPr>
              <w:t xml:space="preserve">, </w:t>
            </w:r>
            <w:hyperlink r:id="rId9">
              <w:r>
                <w:rPr>
                  <w:rStyle w:val="InternetLink"/>
                  <w:sz w:val="20"/>
                </w:rPr>
                <w:t>May 20, 2026</w:t>
              </w:r>
            </w:hyperlink>
            <w:r>
              <w:rPr>
                <w:sz w:val="20"/>
              </w:rPr>
              <w:t xml:space="preserve">, and </w:t>
            </w:r>
            <w:hyperlink r:id="rId10">
              <w:r>
                <w:rPr>
                  <w:rStyle w:val="InternetLink"/>
                  <w:sz w:val="20"/>
                </w:rPr>
                <w:t>June 12, 2026</w:t>
              </w:r>
            </w:hyperlink>
            <w:r>
              <w:rPr>
                <w:sz w:val="20"/>
              </w:rPr>
              <w:t>; and</w:t>
            </w:r>
          </w:p>
        </w:tc>
      </w:tr>
      <w:tr>
        <w:trPr/>
        <w:tc>
          <w:tcPr>
            <w:tcW w:w="212" w:type="dxa"/>
            <w:tcBorders/>
            <w:vAlign w:val="center"/>
          </w:tcPr>
          <w:p>
            <w:pPr>
              <w:pStyle w:val="TableContents"/>
              <w:bidi w:val="0"/>
              <w:spacing w:before="0" w:after="283"/>
              <w:jc w:val="both"/>
              <w:rPr/>
            </w:pPr>
            <w:r>
              <w:rPr/>
              <w:t> </w:t>
            </w:r>
          </w:p>
        </w:tc>
        <w:tc>
          <w:tcPr>
            <w:tcW w:w="9993" w:type="dxa"/>
            <w:tcBorders/>
            <w:vAlign w:val="center"/>
          </w:tcPr>
          <w:p>
            <w:pPr>
              <w:pStyle w:val="TableContents"/>
              <w:bidi w:val="0"/>
              <w:spacing w:before="0" w:after="283"/>
              <w:jc w:val="both"/>
              <w:rPr/>
            </w:pPr>
            <w:r>
              <w:rPr/>
              <w:t> </w:t>
            </w:r>
          </w:p>
        </w:tc>
      </w:tr>
      <w:tr>
        <w:trPr/>
        <w:tc>
          <w:tcPr>
            <w:tcW w:w="212" w:type="dxa"/>
            <w:tcBorders/>
            <w:vAlign w:val="center"/>
          </w:tcPr>
          <w:p>
            <w:pPr>
              <w:pStyle w:val="TableContents"/>
              <w:bidi w:val="0"/>
              <w:spacing w:before="0" w:after="283"/>
              <w:jc w:val="both"/>
              <w:rPr>
                <w:sz w:val="20"/>
              </w:rPr>
            </w:pPr>
            <w:r>
              <w:rPr>
                <w:sz w:val="20"/>
              </w:rPr>
              <w:t>(d)</w:t>
            </w:r>
          </w:p>
        </w:tc>
        <w:tc>
          <w:tcPr>
            <w:tcW w:w="9993" w:type="dxa"/>
            <w:tcBorders/>
            <w:vAlign w:val="center"/>
          </w:tcPr>
          <w:p>
            <w:pPr>
              <w:pStyle w:val="TableContents"/>
              <w:bidi w:val="0"/>
              <w:spacing w:before="0" w:after="283"/>
              <w:jc w:val="both"/>
              <w:rPr/>
            </w:pPr>
            <w:r>
              <w:rPr>
                <w:sz w:val="20"/>
              </w:rPr>
              <w:t xml:space="preserve">The description of the Registrant’s common stock contained in the Registrant’s Registration Statement on </w:t>
            </w:r>
            <w:hyperlink r:id="rId11">
              <w:r>
                <w:rPr>
                  <w:rStyle w:val="InternetLink"/>
                  <w:sz w:val="20"/>
                </w:rPr>
                <w:t>Form 8-A</w:t>
              </w:r>
            </w:hyperlink>
            <w:r>
              <w:rPr>
                <w:sz w:val="20"/>
              </w:rPr>
              <w:t xml:space="preserve">, as filed with the Commission on April 16, 2020, as the description therein has been updated and superseded by the description of the Registrant’s capital stock contained in </w:t>
            </w:r>
            <w:hyperlink r:id="rId12">
              <w:r>
                <w:rPr>
                  <w:rStyle w:val="InternetLink"/>
                  <w:sz w:val="20"/>
                </w:rPr>
                <w:t>Exhibit 4.5</w:t>
              </w:r>
            </w:hyperlink>
            <w:r>
              <w:rPr>
                <w:sz w:val="20"/>
              </w:rPr>
              <w:t xml:space="preserve"> to the Registrant’s Annual Report on Form 10-K for the year ended December 31, 2020, as filed with the Commission on March 15, 2021,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will any information filed under current Items 2.02 or 7.01 of Form 8-K, and exhibits furnished on such form that relate to such items, be deemed incorporated herein by reference unless such Form 8-K expressly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b/>
                <w:sz w:val="20"/>
              </w:rPr>
            </w:pPr>
            <w:r>
              <w:rPr>
                <w:b/>
                <w:sz w:val="20"/>
              </w:rPr>
              <w:t>Item 8.</w:t>
            </w:r>
          </w:p>
        </w:tc>
        <w:tc>
          <w:tcPr>
            <w:tcW w:w="830" w:type="dxa"/>
            <w:tcBorders/>
            <w:vAlign w:val="center"/>
          </w:tcPr>
          <w:p>
            <w:pPr>
              <w:pStyle w:val="TableContents"/>
              <w:bidi w:val="0"/>
              <w:spacing w:before="0" w:after="283"/>
              <w:jc w:val="left"/>
              <w:rPr>
                <w:b/>
                <w:sz w:val="20"/>
              </w:rPr>
            </w:pPr>
            <w:r>
              <w:rPr>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3"/>
        <w:gridCol w:w="60"/>
        <w:gridCol w:w="9352"/>
      </w:tblGrid>
      <w:tr>
        <w:trPr/>
        <w:tc>
          <w:tcPr>
            <w:tcW w:w="793"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52"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13">
              <w:r>
                <w:rPr>
                  <w:rStyle w:val="InternetLink"/>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14">
              <w:r>
                <w:rPr>
                  <w:rStyle w:val="InternetLink"/>
                  <w:sz w:val="20"/>
                </w:rPr>
                <w:t>Restated Certificate of Incorporation of NN, Inc. (incorporated herein by reference to Exhibit 3.1 to the Registrant’s Registration Statement on Form S-3 (File No. 333-89950), filed with the Commission on June 6, 2002.)</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15">
              <w:r>
                <w:rPr>
                  <w:rStyle w:val="InternetLink"/>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16">
              <w:r>
                <w:rPr>
                  <w:rStyle w:val="InternetLink"/>
                  <w:sz w:val="20"/>
                </w:rPr>
                <w:t>Certificate of Amendment to Restated Certificate of Incorporation of NN, Inc. (Declassification) (incorporated herein by reference to Exhibit 3.1 to the Registrant’s Current Report on Form 8-K (File No. 000-23486), filed with the Commission on May 20, 2019).</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17">
              <w:r>
                <w:rPr>
                  <w:rStyle w:val="InternetLink"/>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18">
              <w:r>
                <w:rPr>
                  <w:rStyle w:val="InternetLink"/>
                  <w:sz w:val="20"/>
                </w:rPr>
                <w:t>Certificate of Amendment to Restated Certificate of Incorporation of NN, Inc. (Share Increase) (incorporated herein by reference to Exhibit 3.2 to the Registrant’s Current Report on Form 8-K (File No. 000-23486), filed with the Commission on May 20, 2019).</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19">
              <w:r>
                <w:rPr>
                  <w:rStyle w:val="InternetLink"/>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20">
              <w:r>
                <w:rPr>
                  <w:rStyle w:val="InternetLink"/>
                  <w:sz w:val="20"/>
                </w:rPr>
                <w:t>Amended and Restated Bylaws of NN, Inc., as currently in effect (incorporated herein by reference to Exhibit 3.1 to the Registrant’s Current Report on Form 8-K (File No. 000-23486), filed with the Commission on January 20, 2023).</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21">
              <w:r>
                <w:rPr>
                  <w:rStyle w:val="InternetLink"/>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22">
              <w:r>
                <w:rPr>
                  <w:rStyle w:val="InternetLink"/>
                  <w:sz w:val="20"/>
                </w:rPr>
                <w:t>Certificate of Designation of Series D Preferred Stock (incorporated by reference to Exhibit 3.1 to the Registrant’s Current Report on Form 8-K (File No. 000-23486), filed with the Commission on March 22, 2021).</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23">
              <w:r>
                <w:rPr>
                  <w:rStyle w:val="InternetLink"/>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24">
              <w:r>
                <w:rPr>
                  <w:rStyle w:val="InternetLink"/>
                  <w:sz w:val="20"/>
                </w:rPr>
                <w:t xml:space="preserve">The specimen stock certificate representing NN, Inc.’s Common Stock, par value $0.01 per share (incorporated herein by reference to Exhibit 4.1 to the Registrant’s Registration Statement on Form S-3 (File No. 333-89950), filed with the Commission on June 6, 2002). </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w:anchor="tm2618350d1_ex5-1.htm">
              <w:r>
                <w:rPr>
                  <w:rStyle w:val="InternetLink"/>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w:anchor="tm2618350d1_ex5-1.htm">
              <w:r>
                <w:rPr>
                  <w:rStyle w:val="InternetLink"/>
                  <w:sz w:val="20"/>
                </w:rPr>
                <w:t xml:space="preserve">Opinion of Cooley LLP. </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w:anchor="tm2618350d1_ex23-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w:anchor="tm2618350d1_ex23-1.htm">
              <w:r>
                <w:rPr>
                  <w:rStyle w:val="InternetLink"/>
                  <w:sz w:val="20"/>
                </w:rPr>
                <w:t xml:space="preserve">Consent of Independent Registered Public Accounting Firm. </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w:anchor="tm2618350d1_ex5-1.htm">
              <w:r>
                <w:rPr>
                  <w:rStyle w:val="InternetLink"/>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w:anchor="tm2618350d1_ex5-1.htm">
              <w:r>
                <w:rPr>
                  <w:rStyle w:val="InternetLink"/>
                  <w:sz w:val="20"/>
                </w:rPr>
                <w:t xml:space="preserve">Consent of Cooley LLP (included in Exhibit 5.1). </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w:anchor="sig_001">
              <w:r>
                <w:rPr>
                  <w:rStyle w:val="InternetLink"/>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w:anchor="sig_001">
              <w:r>
                <w:rPr>
                  <w:rStyle w:val="InternetLink"/>
                  <w:sz w:val="20"/>
                </w:rPr>
                <w:t xml:space="preserve">Power of Attorney (included on the signature page). </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r:id="rId25">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r:id="rId26">
              <w:r>
                <w:rPr>
                  <w:rStyle w:val="InternetLink"/>
                  <w:sz w:val="20"/>
                </w:rPr>
                <w:t xml:space="preserve">NN, Inc. Amended and Restated 2022 Omnibus Incentive Plan (incorporated by reference to Appendix A to the Registrant’s definitive proxy statement on Schedule 14A (File No. 001-39268), filed with the Commission on April 6, 2026). </w:t>
              </w:r>
            </w:hyperlink>
          </w:p>
        </w:tc>
      </w:tr>
      <w:tr>
        <w:trPr/>
        <w:tc>
          <w:tcPr>
            <w:tcW w:w="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r>
              <w:rPr/>
              <w:t> </w:t>
            </w:r>
          </w:p>
        </w:tc>
      </w:tr>
      <w:tr>
        <w:trPr/>
        <w:tc>
          <w:tcPr>
            <w:tcW w:w="793" w:type="dxa"/>
            <w:tcBorders/>
            <w:tcMar>
              <w:bottom w:w="0" w:type="dxa"/>
            </w:tcMar>
            <w:vAlign w:val="center"/>
          </w:tcPr>
          <w:p>
            <w:pPr>
              <w:pStyle w:val="TableContents"/>
              <w:bidi w:val="0"/>
              <w:spacing w:before="0" w:after="283"/>
              <w:jc w:val="left"/>
              <w:rPr/>
            </w:pPr>
            <w:hyperlink w:anchor="tm2618350d1_ex-filingfees.htm">
              <w:r>
                <w:rPr>
                  <w:rStyle w:val="InternetLink"/>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352" w:type="dxa"/>
            <w:tcBorders/>
            <w:tcMar>
              <w:bottom w:w="0" w:type="dxa"/>
            </w:tcMar>
            <w:vAlign w:val="center"/>
          </w:tcPr>
          <w:p>
            <w:pPr>
              <w:pStyle w:val="TableContents"/>
              <w:bidi w:val="0"/>
              <w:spacing w:before="0" w:after="283"/>
              <w:jc w:val="left"/>
              <w:rPr/>
            </w:pPr>
            <w:hyperlink w:anchor="tm2618350d1_ex-filingfees.htm">
              <w:r>
                <w:rPr>
                  <w:rStyle w:val="InternetLink"/>
                  <w:sz w:val="20"/>
                </w:rPr>
                <w:t xml:space="preserve">Filing Fee Table. </w:t>
              </w:r>
            </w:hyperlink>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sz w:val="20"/>
              </w:rPr>
            </w:pPr>
            <w:r>
              <w:rPr>
                <w:sz w:val="20"/>
              </w:rPr>
              <w:t>*</w:t>
            </w:r>
          </w:p>
        </w:tc>
        <w:tc>
          <w:tcPr>
            <w:tcW w:w="1295" w:type="dxa"/>
            <w:tcBorders/>
            <w:vAlign w:val="center"/>
          </w:tcPr>
          <w:p>
            <w:pPr>
              <w:pStyle w:val="TableContents"/>
              <w:bidi w:val="0"/>
              <w:spacing w:before="0" w:after="283"/>
              <w:jc w:val="left"/>
              <w:rPr>
                <w:sz w:val="20"/>
              </w:rPr>
            </w:pPr>
            <w:r>
              <w:rPr>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ig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Charlotte, State of North Carolina, on June 23, 2026.</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NN,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Harold C. Bevis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Harold C. Bevis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constitutes and appoints Harold C. Bevis, Christopher H. Bohnert and Jami A. Statham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2165"/>
        <w:gridCol w:w="60"/>
        <w:gridCol w:w="4010"/>
        <w:gridCol w:w="60"/>
        <w:gridCol w:w="1175"/>
      </w:tblGrid>
      <w:tr>
        <w:trPr/>
        <w:tc>
          <w:tcPr>
            <w:tcW w:w="216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010"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Harold C. Bevis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Harold C. Bevis</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H. Bohnert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H. Bohnert</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Jeri J. Harman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 J. Harman</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sz w:val="20"/>
              </w:rPr>
            </w:pPr>
            <w:r>
              <w:rPr>
                <w:sz w:val="20"/>
              </w:rPr>
              <w:t>Non-Executive Chairman, 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Raynard D. Benvenuti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Raynard D. Benvenuti</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Christina E. Carroll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Christina E. Carroll</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João Faria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João Faria</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407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Rajeev Gautam, Ph.D.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Rajeev Gautam, Ph.D.</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H. Wilson, Jr.</w:t>
            </w:r>
          </w:p>
        </w:tc>
        <w:tc>
          <w:tcPr>
            <w:tcW w:w="60" w:type="dxa"/>
            <w:tcBorders/>
            <w:tcMar>
              <w:bottom w:w="0" w:type="dxa"/>
            </w:tcMar>
            <w:vAlign w:val="center"/>
          </w:tcPr>
          <w:p>
            <w:pPr>
              <w:pStyle w:val="TableContents"/>
              <w:bidi w:val="0"/>
              <w:spacing w:before="0" w:after="283"/>
              <w:jc w:val="left"/>
              <w:rPr/>
            </w:pPr>
            <w:r>
              <w:rPr/>
              <w:t> </w:t>
            </w:r>
          </w:p>
        </w:tc>
        <w:tc>
          <w:tcPr>
            <w:tcW w:w="4010" w:type="dxa"/>
            <w:vMerge w:val="restart"/>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vMerge w:val="restart"/>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sz w:val="20"/>
              </w:rPr>
            </w:pPr>
            <w:r>
              <w:rPr>
                <w:sz w:val="20"/>
              </w:rPr>
              <w:t>Thomas H. Wilson, Jr.</w:t>
            </w:r>
          </w:p>
        </w:tc>
        <w:tc>
          <w:tcPr>
            <w:tcW w:w="60" w:type="dxa"/>
            <w:tcBorders/>
            <w:tcMar>
              <w:bottom w:w="0" w:type="dxa"/>
            </w:tcMar>
            <w:vAlign w:val="center"/>
          </w:tcPr>
          <w:p>
            <w:pPr>
              <w:pStyle w:val="TableContents"/>
              <w:bidi w:val="0"/>
              <w:spacing w:before="0" w:after="283"/>
              <w:jc w:val="left"/>
              <w:rPr/>
            </w:pPr>
            <w:r>
              <w:rPr/>
              <w:t> </w:t>
            </w:r>
          </w:p>
        </w:tc>
        <w:tc>
          <w:tcPr>
            <w:tcW w:w="401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75" w:type="dxa"/>
            <w:vMerge w:val="continue"/>
            <w:tcBorders/>
            <w:tcMar>
              <w:bottom w:w="0" w:type="dxa"/>
            </w:tcMar>
            <w:vAlign w:val="center"/>
          </w:tcPr>
          <w:p>
            <w:pPr>
              <w:pStyle w:val="Normal"/>
              <w:bidi w:val="0"/>
              <w:jc w:val="left"/>
              <w:rPr/>
            </w:pPr>
            <w:r>
              <w:rPr/>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Raymond T. White</w:t>
            </w:r>
          </w:p>
        </w:tc>
        <w:tc>
          <w:tcPr>
            <w:tcW w:w="60" w:type="dxa"/>
            <w:tcBorders/>
            <w:tcMar>
              <w:bottom w:w="0" w:type="dxa"/>
            </w:tcMar>
            <w:vAlign w:val="center"/>
          </w:tcPr>
          <w:p>
            <w:pPr>
              <w:pStyle w:val="TableContents"/>
              <w:bidi w:val="0"/>
              <w:spacing w:before="0" w:after="283"/>
              <w:jc w:val="left"/>
              <w:rPr/>
            </w:pPr>
            <w:r>
              <w:rPr/>
              <w:t> </w:t>
            </w:r>
          </w:p>
        </w:tc>
        <w:tc>
          <w:tcPr>
            <w:tcW w:w="4010" w:type="dxa"/>
            <w:vMerge w:val="restart"/>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vMerge w:val="restart"/>
            <w:tcBorders/>
            <w:tcMar>
              <w:bottom w:w="0" w:type="dxa"/>
            </w:tcMar>
            <w:vAlign w:val="center"/>
          </w:tcPr>
          <w:p>
            <w:pPr>
              <w:pStyle w:val="TableContents"/>
              <w:bidi w:val="0"/>
              <w:spacing w:before="0" w:after="283"/>
              <w:jc w:val="center"/>
              <w:rPr>
                <w:sz w:val="20"/>
              </w:rPr>
            </w:pPr>
            <w:r>
              <w:rPr>
                <w:sz w:val="20"/>
              </w:rPr>
              <w:t>June 23, 2026</w:t>
            </w:r>
          </w:p>
        </w:tc>
      </w:tr>
      <w:tr>
        <w:trPr/>
        <w:tc>
          <w:tcPr>
            <w:tcW w:w="2165" w:type="dxa"/>
            <w:tcBorders/>
            <w:tcMar>
              <w:bottom w:w="0" w:type="dxa"/>
            </w:tcMar>
            <w:vAlign w:val="center"/>
          </w:tcPr>
          <w:p>
            <w:pPr>
              <w:pStyle w:val="TableContents"/>
              <w:bidi w:val="0"/>
              <w:spacing w:before="0" w:after="283"/>
              <w:jc w:val="left"/>
              <w:rPr>
                <w:sz w:val="20"/>
              </w:rPr>
            </w:pPr>
            <w:r>
              <w:rPr>
                <w:sz w:val="20"/>
              </w:rPr>
              <w:t>Raymond T. White</w:t>
            </w:r>
          </w:p>
        </w:tc>
        <w:tc>
          <w:tcPr>
            <w:tcW w:w="60" w:type="dxa"/>
            <w:tcBorders/>
            <w:tcMar>
              <w:bottom w:w="0" w:type="dxa"/>
            </w:tcMar>
            <w:vAlign w:val="center"/>
          </w:tcPr>
          <w:p>
            <w:pPr>
              <w:pStyle w:val="TableContents"/>
              <w:bidi w:val="0"/>
              <w:spacing w:before="0" w:after="283"/>
              <w:jc w:val="left"/>
              <w:rPr/>
            </w:pPr>
            <w:r>
              <w:rPr/>
              <w:t> </w:t>
            </w:r>
          </w:p>
        </w:tc>
        <w:tc>
          <w:tcPr>
            <w:tcW w:w="401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75" w:type="dxa"/>
            <w:vMerge w:val="continue"/>
            <w:tcBorders/>
            <w:tcMar>
              <w:bottom w:w="0" w:type="dxa"/>
            </w:tcMar>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 w:name="tm2618350d1_ex5-1.htm"/>
      <w:bookmarkStart w:id="4" w:name="kstm2618350d1_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5716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1571625" cy="571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Christina T. Roupas</w:t>
      </w:r>
    </w:p>
    <w:p>
      <w:pPr>
        <w:pStyle w:val="TextBody"/>
        <w:bidi w:val="0"/>
        <w:spacing w:before="0" w:after="283"/>
        <w:jc w:val="left"/>
        <w:rPr/>
      </w:pPr>
      <w:r>
        <w:rPr/>
        <w:t>+1 312 881 6670</w:t>
      </w:r>
    </w:p>
    <w:p>
      <w:pPr>
        <w:pStyle w:val="TextBody"/>
        <w:bidi w:val="0"/>
        <w:spacing w:before="0" w:after="283"/>
        <w:jc w:val="left"/>
        <w:rPr/>
      </w:pPr>
      <w:r>
        <w:rPr/>
        <w:t xml:space="preserve">croupas@cooley.com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Inc.</w:t>
        <w:br/>
        <w:t>6210 Ardrey Kell Road, Suite 120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28277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NN, Inc. –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NN,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of a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covering the offering of 2,000,000 shares of the Company’s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par value $0.01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issuable pursuant to the Company’s Amended and Restated 2022 Omnibus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(a) the Registration Statement and the related prospectus, (b) the Company’s certificate of incorporation and bylaws, each as currently in effect, (c) the Plan and (d) originals or copies certified to our satisfaction of such other records, documents, opinions, certificates, memoranda and instruments as we have determined to be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North Wacker, Suite 4200 Chicago, Illinois 60606</w:t>
        <w:br/>
        <w:t>t: (312) 881-6500 f: (312) 881-6598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716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1571625" cy="571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NN, Inc.</w:t>
        <w:br/>
        <w:t>June 23, 2026</w:t>
      </w:r>
    </w:p>
    <w:p>
      <w:pPr>
        <w:pStyle w:val="TextBody"/>
        <w:bidi w:val="0"/>
        <w:spacing w:before="0" w:after="283"/>
        <w:jc w:val="left"/>
        <w:rPr/>
      </w:pPr>
      <w:r>
        <w:rPr/>
        <w:t>Page Two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Cooley LLP</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35"/>
        <w:gridCol w:w="1880"/>
        <w:gridCol w:w="43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Christina T. Roupas</w:t>
            </w:r>
          </w:p>
        </w:tc>
        <w:tc>
          <w:tcPr>
            <w:tcW w:w="435" w:type="dxa"/>
            <w:tcBorders/>
            <w:vAlign w:val="center"/>
          </w:tcPr>
          <w:p>
            <w:pPr>
              <w:pStyle w:val="TableContents"/>
              <w:bidi w:val="0"/>
              <w:spacing w:before="0" w:after="283"/>
              <w:ind w:left="0" w:right="0" w:firstLine="360"/>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Christina T. Roupas</w:t>
            </w:r>
          </w:p>
        </w:tc>
        <w:tc>
          <w:tcPr>
            <w:tcW w:w="4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North Wacker, Suite 4200 Chicago, Illinois 60606</w:t>
        <w:br/>
        <w:t>t: (312) 881-6500 f: (312) 881-6598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5" w:name="tm2618350d1_ex23-1.htm"/>
      <w:bookmarkStart w:id="6" w:name="kstm2618350d1_ex231"/>
      <w:bookmarkEnd w:id="5"/>
      <w:bookmarkEnd w:id="6"/>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reports dated March 4, 2026 with respect to the consolidated financial statements and internal control over financial reporting of NN, Inc. included in the Annual Report on Form 10-K for the year ended December 31, 2025, which are incorporated by reference in this Registration Statement. We consent to the incorporation by reference of the aforementioned reports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28" w:type="dxa"/>
          <w:right w:w="0" w:type="dxa"/>
        </w:tblCellMar>
      </w:tblPr>
      <w:tblGrid>
        <w:gridCol w:w="2420"/>
        <w:gridCol w:w="75"/>
      </w:tblGrid>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tc>
        <w:tc>
          <w:tcPr>
            <w:tcW w:w="75"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Thornton LLP</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tm2618350d1_ex-filingfees.htm"/>
      <w:bookmarkStart w:id="8" w:name="kstm2618350d1_exfilingfees"/>
      <w:bookmarkStart w:id="9" w:name="tm2618350d1_ex-filingfees.htm"/>
      <w:bookmarkStart w:id="10" w:name="kstm2618350d1_exfilingfees"/>
      <w:bookmarkEnd w:id="9"/>
      <w:bookmarkEnd w:id="10"/>
      <w:r>
        <w:br w:type="page"/>
      </w:r>
    </w:p>
    <w:tbl>
      <w:tblPr>
        <w:tblW w:w="3470" w:type="dxa"/>
        <w:jc w:val="left"/>
        <w:tblInd w:w="0" w:type="dxa"/>
        <w:tblLayout w:type="fixed"/>
        <w:tblCellMar>
          <w:top w:w="28" w:type="dxa"/>
          <w:left w:w="28" w:type="dxa"/>
          <w:bottom w:w="28" w:type="dxa"/>
          <w:right w:w="28" w:type="dxa"/>
        </w:tblCellMar>
      </w:tblPr>
      <w:tblGrid>
        <w:gridCol w:w="3316"/>
        <w:gridCol w:w="154"/>
      </w:tblGrid>
      <w:tr>
        <w:trPr/>
        <w:tc>
          <w:tcPr>
            <w:tcW w:w="34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b/>
              </w:rPr>
            </w:pPr>
            <w:r>
              <w:rPr>
                <w:b/>
              </w:rPr>
              <w:t xml:space="preserve">NN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4"/>
        <w:gridCol w:w="1195"/>
        <w:gridCol w:w="1289"/>
        <w:gridCol w:w="1198"/>
        <w:gridCol w:w="1203"/>
        <w:gridCol w:w="1576"/>
        <w:gridCol w:w="1126"/>
        <w:gridCol w:w="142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4"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9"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8"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7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4" w:type="dxa"/>
            <w:tcBorders/>
            <w:shd w:fill="E7E7E2" w:val="clear"/>
            <w:vAlign w:val="center"/>
          </w:tcPr>
          <w:p>
            <w:pPr>
              <w:pStyle w:val="TableContents"/>
              <w:bidi w:val="0"/>
              <w:spacing w:before="0" w:after="283"/>
              <w:jc w:val="left"/>
              <w:rPr/>
            </w:pPr>
            <w:r>
              <w:rPr/>
              <w:t xml:space="preserve">Equity </w:t>
            </w:r>
          </w:p>
        </w:tc>
        <w:tc>
          <w:tcPr>
            <w:tcW w:w="1195" w:type="dxa"/>
            <w:tcBorders/>
            <w:shd w:fill="E7E7E2" w:val="clear"/>
            <w:vAlign w:val="center"/>
          </w:tcPr>
          <w:p>
            <w:pPr>
              <w:pStyle w:val="TableContents"/>
              <w:bidi w:val="0"/>
              <w:spacing w:before="0" w:after="283"/>
              <w:jc w:val="left"/>
              <w:rPr/>
            </w:pPr>
            <w:r>
              <w:rPr/>
              <w:t xml:space="preserve">Common Stock, par value $0.01 per share, reserved for issuance pursuant to the Amended and Restated 2022 Omnibus Incentive Plan </w:t>
            </w:r>
          </w:p>
        </w:tc>
        <w:tc>
          <w:tcPr>
            <w:tcW w:w="1289" w:type="dxa"/>
            <w:tcBorders/>
            <w:shd w:fill="E7E7E2" w:val="clear"/>
            <w:vAlign w:val="center"/>
          </w:tcPr>
          <w:p>
            <w:pPr>
              <w:pStyle w:val="TableContents"/>
              <w:bidi w:val="0"/>
              <w:spacing w:before="0" w:after="283"/>
              <w:jc w:val="center"/>
              <w:rPr/>
            </w:pPr>
            <w:r>
              <w:rPr/>
              <w:t xml:space="preserve">Other </w:t>
            </w:r>
          </w:p>
        </w:tc>
        <w:tc>
          <w:tcPr>
            <w:tcW w:w="1198" w:type="dxa"/>
            <w:tcBorders/>
            <w:shd w:fill="E7E7E2" w:val="clear"/>
            <w:vAlign w:val="center"/>
          </w:tcPr>
          <w:p>
            <w:pPr>
              <w:pStyle w:val="TableContents"/>
              <w:bidi w:val="0"/>
              <w:spacing w:before="0" w:after="283"/>
              <w:jc w:val="right"/>
              <w:rPr/>
            </w:pPr>
            <w:r>
              <w:rPr/>
              <w:t xml:space="preserve">2,000,000 </w:t>
            </w:r>
          </w:p>
        </w:tc>
        <w:tc>
          <w:tcPr>
            <w:tcW w:w="1203" w:type="dxa"/>
            <w:tcBorders/>
            <w:shd w:fill="E7E7E2" w:val="clear"/>
            <w:vAlign w:val="center"/>
          </w:tcPr>
          <w:p>
            <w:pPr>
              <w:pStyle w:val="TableContents"/>
              <w:bidi w:val="0"/>
              <w:spacing w:before="0" w:after="283"/>
              <w:jc w:val="right"/>
              <w:rPr/>
            </w:pPr>
            <w:r>
              <w:rPr/>
              <w:t xml:space="preserve">$ 2.85 </w:t>
            </w:r>
          </w:p>
        </w:tc>
        <w:tc>
          <w:tcPr>
            <w:tcW w:w="1576" w:type="dxa"/>
            <w:tcBorders/>
            <w:shd w:fill="E7E7E2" w:val="clear"/>
            <w:vAlign w:val="center"/>
          </w:tcPr>
          <w:p>
            <w:pPr>
              <w:pStyle w:val="TableContents"/>
              <w:bidi w:val="0"/>
              <w:spacing w:before="0" w:after="283"/>
              <w:jc w:val="right"/>
              <w:rPr/>
            </w:pPr>
            <w:r>
              <w:rPr/>
              <w:t xml:space="preserve">$ 5,700,000.00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3" w:type="dxa"/>
            <w:tcBorders/>
            <w:shd w:fill="E7E7E2" w:val="clear"/>
            <w:vAlign w:val="center"/>
          </w:tcPr>
          <w:p>
            <w:pPr>
              <w:pStyle w:val="TableContents"/>
              <w:bidi w:val="0"/>
              <w:spacing w:before="0" w:after="283"/>
              <w:jc w:val="right"/>
              <w:rPr/>
            </w:pPr>
            <w:r>
              <w:rPr/>
              <w:t xml:space="preserve">$ 787.17 </w:t>
            </w:r>
          </w:p>
        </w:tc>
      </w:tr>
      <w:tr>
        <w:trPr/>
        <w:tc>
          <w:tcPr>
            <w:tcW w:w="4877" w:type="dxa"/>
            <w:gridSpan w:val="5"/>
            <w:tcBorders/>
            <w:vAlign w:val="center"/>
          </w:tcPr>
          <w:p>
            <w:pPr>
              <w:pStyle w:val="TableContents"/>
              <w:bidi w:val="0"/>
              <w:spacing w:before="0" w:after="0"/>
              <w:ind w:left="0" w:right="0" w:hanging="0"/>
              <w:jc w:val="right"/>
              <w:rPr/>
            </w:pPr>
            <w:r>
              <w:rPr/>
              <w:t>Total Offering Amounts:</w:t>
            </w:r>
          </w:p>
        </w:tc>
        <w:tc>
          <w:tcPr>
            <w:tcW w:w="120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0"/>
              <w:ind w:left="0" w:right="0" w:hanging="0"/>
              <w:jc w:val="right"/>
              <w:rPr/>
            </w:pPr>
            <w:bookmarkStart w:id="11" w:name="MaxAggtOfferingPrice"/>
            <w:bookmarkEnd w:id="11"/>
            <w:r>
              <w:rPr/>
              <w:t xml:space="preserve">$ 5,700,000.00 </w:t>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$ 787.17 </w:t>
            </w:r>
          </w:p>
        </w:tc>
      </w:tr>
      <w:tr>
        <w:trPr/>
        <w:tc>
          <w:tcPr>
            <w:tcW w:w="4877" w:type="dxa"/>
            <w:gridSpan w:val="5"/>
            <w:tcBorders/>
            <w:vAlign w:val="center"/>
          </w:tcPr>
          <w:p>
            <w:pPr>
              <w:pStyle w:val="TableContents"/>
              <w:bidi w:val="0"/>
              <w:spacing w:before="0" w:after="0"/>
              <w:ind w:left="0" w:right="0" w:hanging="0"/>
              <w:jc w:val="right"/>
              <w:rPr/>
            </w:pPr>
            <w:r>
              <w:rPr/>
              <w:t xml:space="preserve">Total Fee Offsets: </w:t>
            </w:r>
          </w:p>
        </w:tc>
        <w:tc>
          <w:tcPr>
            <w:tcW w:w="120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77" w:type="dxa"/>
            <w:gridSpan w:val="5"/>
            <w:tcBorders/>
            <w:vAlign w:val="center"/>
          </w:tcPr>
          <w:p>
            <w:pPr>
              <w:pStyle w:val="TableContents"/>
              <w:bidi w:val="0"/>
              <w:spacing w:before="0" w:after="0"/>
              <w:ind w:left="0" w:right="0" w:hanging="0"/>
              <w:jc w:val="right"/>
              <w:rPr/>
            </w:pPr>
            <w:r>
              <w:rPr/>
              <w:t xml:space="preserve">Net Fee Due: </w:t>
            </w:r>
          </w:p>
        </w:tc>
        <w:tc>
          <w:tcPr>
            <w:tcW w:w="120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0"/>
              <w:ind w:left="0" w:right="0" w:hanging="0"/>
              <w:jc w:val="right"/>
              <w:rPr/>
            </w:pPr>
            <w:bookmarkStart w:id="14" w:name="NetFeeAmt"/>
            <w:bookmarkEnd w:id="14"/>
            <w:r>
              <w:rPr/>
              <w:t xml:space="preserve">$ 787.17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amount registered represents additional shares of common stock, par value $0.01 per share ("Common Stock"), of NN, Inc. (the "Registrant"), reserved for future issuance under the Registrant's Amended and Restated 2022 Omnibus Incentive Plan (as amended and restated, the "2022 Plan"). Pursuant to Rule 416(a) promulgated under the Securities Act of 1933, as amended (the "Securities Act"), this Registration Statement shall also cover any additional shares of Common Stock that become issuable under the 2022 Plan by reason of any stock dividend, stock split, recapitalization, or other similar transaction effected that results in an increase to the number of outstanding shares of Common Stock. The proposed maximum offering price per share of Common Stock is estimated solely for the purpose of calculating the proposed maximum aggregate offering price and the registration fee in accordance with Rules 457(c) and (h) under the Securities Act, based on the average of the high and low prices of the Common Stock as reported in the consolidated reporting system of The Nasdaq Stock Market LLC on June 18, 2026, which was $2.85.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8541/000091854122000102/nnincforms-82022omnibusplan.htm" TargetMode="External"/><Relationship Id="rId3" Type="http://schemas.openxmlformats.org/officeDocument/2006/relationships/hyperlink" Target="https://www.sec.gov/Archives/edgar/data/918541/000091854124000074/forms-8amendedomnibusplan2.htm" TargetMode="External"/><Relationship Id="rId4" Type="http://schemas.openxmlformats.org/officeDocument/2006/relationships/hyperlink" Target="https://www.sec.gov/ix?doc=/Archives/edgar/data/0000918541/000091854126000006/nnbr-20251231.htm" TargetMode="External"/><Relationship Id="rId5" Type="http://schemas.openxmlformats.org/officeDocument/2006/relationships/hyperlink" Target="https://www.sec.gov/ix?doc=/Archives/edgar/data/0000918541/000091854126000026/nnbr-20260406.htm" TargetMode="External"/><Relationship Id="rId6" Type="http://schemas.openxmlformats.org/officeDocument/2006/relationships/hyperlink" Target="https://www.sec.gov/ix?doc=/Archives/edgar/data/0000918541/000091854126000033/nnbr-20260331.htm" TargetMode="External"/><Relationship Id="rId7" Type="http://schemas.openxmlformats.org/officeDocument/2006/relationships/hyperlink" Target="https://www.sec.gov/ix?doc=/Archives/edgar/data/0000918541/000110465926004834/tm263328d1_8k.htm" TargetMode="External"/><Relationship Id="rId8" Type="http://schemas.openxmlformats.org/officeDocument/2006/relationships/hyperlink" Target="https://www.sec.gov/ix?doc=/Archives/edgar/data/0000918541/000110465926008723/tm264468d1_8k.htm" TargetMode="External"/><Relationship Id="rId9" Type="http://schemas.openxmlformats.org/officeDocument/2006/relationships/hyperlink" Target="https://www.sec.gov/ix?doc=/Archives/edgar/data/0000918541/000091854126000046/nnbr-20260520.htm" TargetMode="External"/><Relationship Id="rId10" Type="http://schemas.openxmlformats.org/officeDocument/2006/relationships/hyperlink" Target="https://www.sec.gov/ix?doc=/Archives/edgar/data/0000918541/000110465926073458/tm2617739d1_8k.htm" TargetMode="External"/><Relationship Id="rId11" Type="http://schemas.openxmlformats.org/officeDocument/2006/relationships/hyperlink" Target="https://www.sec.gov/Archives/edgar/data/918541/000119312520108776/d852778d8a12b.htm" TargetMode="External"/><Relationship Id="rId12" Type="http://schemas.openxmlformats.org/officeDocument/2006/relationships/hyperlink" Target="https://www.sec.gov/Archives/edgar/data/918541/000091854121000003/q42020ex45.htm" TargetMode="External"/><Relationship Id="rId13" Type="http://schemas.openxmlformats.org/officeDocument/2006/relationships/hyperlink" Target="https://www.sec.gov/Archives/edgar/data/918541/000095016802001631/dex31.txt" TargetMode="External"/><Relationship Id="rId14" Type="http://schemas.openxmlformats.org/officeDocument/2006/relationships/hyperlink" Target="https://www.sec.gov/Archives/edgar/data/918541/000095016802001631/dex31.txt" TargetMode="External"/><Relationship Id="rId15" Type="http://schemas.openxmlformats.org/officeDocument/2006/relationships/hyperlink" Target="https://www.sec.gov/Archives/edgar/data/918541/000119312519151712/d750456dex31.htm" TargetMode="External"/><Relationship Id="rId16" Type="http://schemas.openxmlformats.org/officeDocument/2006/relationships/hyperlink" Target="https://www.sec.gov/Archives/edgar/data/918541/000119312519151712/d750456dex31.htm" TargetMode="External"/><Relationship Id="rId17" Type="http://schemas.openxmlformats.org/officeDocument/2006/relationships/hyperlink" Target="https://www.sec.gov/Archives/edgar/data/918541/000119312519151712/d750456dex32.htm" TargetMode="External"/><Relationship Id="rId18" Type="http://schemas.openxmlformats.org/officeDocument/2006/relationships/hyperlink" Target="https://www.sec.gov/Archives/edgar/data/918541/000119312519151712/d750456dex32.htm" TargetMode="External"/><Relationship Id="rId19" Type="http://schemas.openxmlformats.org/officeDocument/2006/relationships/hyperlink" Target="https://www.sec.gov/Archives/edgar/data/918541/000091854123000004/amendedandrestatedbylaws20.htm" TargetMode="External"/><Relationship Id="rId20" Type="http://schemas.openxmlformats.org/officeDocument/2006/relationships/hyperlink" Target="https://www.sec.gov/Archives/edgar/data/918541/000091854123000004/amendedandrestatedbylaws20.htm" TargetMode="External"/><Relationship Id="rId21" Type="http://schemas.openxmlformats.org/officeDocument/2006/relationships/hyperlink" Target="https://www.sec.gov/Archives/edgar/data/918541/000119312521089609/d162543dex31.htm" TargetMode="External"/><Relationship Id="rId22" Type="http://schemas.openxmlformats.org/officeDocument/2006/relationships/hyperlink" Target="https://www.sec.gov/Archives/edgar/data/918541/000119312521089609/d162543dex31.htm" TargetMode="External"/><Relationship Id="rId23" Type="http://schemas.openxmlformats.org/officeDocument/2006/relationships/hyperlink" Target="https://www.sec.gov/Archives/edgar/data/918541/000095016802001631/dex41.txt" TargetMode="External"/><Relationship Id="rId24" Type="http://schemas.openxmlformats.org/officeDocument/2006/relationships/hyperlink" Target="https://www.sec.gov/Archives/edgar/data/918541/000095016802001631/dex41.txt" TargetMode="External"/><Relationship Id="rId25" Type="http://schemas.openxmlformats.org/officeDocument/2006/relationships/hyperlink" Target="http://www.sec.gov/ix?doc=/Archives/edgar/data/0000918541/000091854126000026/nnbr-20260406.htm" TargetMode="External"/><Relationship Id="rId26" Type="http://schemas.openxmlformats.org/officeDocument/2006/relationships/hyperlink" Target="http://www.sec.gov/ix?doc=/Archives/edgar/data/0000918541/000091854126000026/nnbr-20260406.htm" TargetMode="External"/><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2584</Words>
  <Characters>13832</Characters>
  <CharactersWithSpaces>16506</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