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26, 2003 (August 19, 2003)</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0-23486</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10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4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12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4.</w:t>
      </w:r>
      <w:r>
        <w:rPr>
          <w:sz w:val="20"/>
          <w:szCs w:val="20"/>
          <w:color w:val="auto"/>
        </w:rPr>
        <w:tab/>
      </w:r>
      <w:r>
        <w:rPr>
          <w:rFonts w:ascii="Courier New" w:cs="Courier New" w:eastAsia="Courier New" w:hAnsi="Courier New"/>
          <w:sz w:val="16"/>
          <w:szCs w:val="16"/>
          <w:b w:val="1"/>
          <w:bCs w:val="1"/>
          <w:color w:val="auto"/>
        </w:rPr>
        <w:t>Changes in the Registrant's Certifying Accountant.</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August 19, 2003, NN, Inc. (the "Company") appointed PricewaterhouseCoopers LLP ("PWC") to serve as the Company's independent auditors for the year ending December 31, 2003, following approval by the Audit Committee of the Company's Board of Directors.</w:t>
      </w:r>
    </w:p>
    <w:p>
      <w:pPr>
        <w:spacing w:after="0" w:line="207" w:lineRule="exact"/>
        <w:rPr>
          <w:sz w:val="24"/>
          <w:szCs w:val="24"/>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During the years ended December 31, 2002 and 2001 and through August 18, 2003, the Company did not consult PWC with respect to the application of accounting principles to a specified transaction, either completed or proposed, or the type of audit opinion that might be rendered on the Company's consolidated financial statements, or any other matters or reportable events as set forth in Items 304(a)(2)(i) and (ii)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2003</w:t>
      </w:r>
    </w:p>
    <w:p>
      <w:pPr>
        <w:ind w:left="326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260"/>
        <w:spacing w:after="0"/>
        <w:tabs>
          <w:tab w:leader="none" w:pos="3760" w:val="left"/>
        </w:tabs>
        <w:rPr>
          <w:sz w:val="20"/>
          <w:szCs w:val="20"/>
          <w:color w:val="auto"/>
        </w:rPr>
      </w:pPr>
      <w:r>
        <w:rPr>
          <w:rFonts w:ascii="Courier New" w:cs="Courier New" w:eastAsia="Courier New" w:hAnsi="Courier New"/>
          <w:sz w:val="18"/>
          <w:szCs w:val="18"/>
          <w:color w:val="auto"/>
        </w:rPr>
        <w:t>By:</w:t>
        <w:tab/>
        <w:t>/s/ William C. Kelly, Jr.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William C. Kelly, Jr.,</w:t>
      </w:r>
    </w:p>
    <w:p>
      <w:pPr>
        <w:ind w:left="378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3680"/>
        <w:spacing w:after="0"/>
        <w:rPr>
          <w:sz w:val="20"/>
          <w:szCs w:val="20"/>
          <w:color w:val="auto"/>
        </w:rPr>
      </w:pPr>
      <w:r>
        <w:rPr>
          <w:rFonts w:ascii="Courier New" w:cs="Courier New" w:eastAsia="Courier New" w:hAnsi="Courier New"/>
          <w:sz w:val="18"/>
          <w:szCs w:val="18"/>
          <w:color w:val="auto"/>
        </w:rPr>
        <w:t>Administrative Officer</w:t>
      </w:r>
    </w:p>
    <w:sectPr>
      <w:pgSz w:w="11900" w:h="16838" w:orient="portrait"/>
      <w:cols w:equalWidth="0" w:num="1">
        <w:col w:w="9259"/>
      </w:cols>
      <w:pgMar w:left="120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2019-12-14T03:17:11Z</dcterms:created>
  <dcterms:modified xsi:type="dcterms:W3CDTF">2019-12-14T03:17:11Z</dcterms:modified>
</cp:coreProperties>
</file>